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B2D39" w14:textId="77777777" w:rsidR="0022503D" w:rsidRPr="00F23CDB" w:rsidRDefault="0022503D">
      <w:pPr>
        <w:overflowPunct/>
        <w:autoSpaceDE/>
        <w:autoSpaceDN/>
        <w:adjustRightInd/>
        <w:textAlignment w:val="auto"/>
        <w:rPr>
          <w:rFonts w:ascii="Calibri" w:hAnsi="Calibri" w:cs="Calibri"/>
        </w:rPr>
      </w:pPr>
    </w:p>
    <w:p w14:paraId="2F129EE7" w14:textId="77777777" w:rsidR="0022503D" w:rsidRPr="00F23CDB" w:rsidRDefault="0022503D">
      <w:pPr>
        <w:overflowPunct/>
        <w:autoSpaceDE/>
        <w:autoSpaceDN/>
        <w:adjustRightInd/>
        <w:textAlignment w:val="auto"/>
        <w:rPr>
          <w:rFonts w:ascii="Calibri" w:hAnsi="Calibri" w:cs="Calibri"/>
        </w:rPr>
      </w:pPr>
    </w:p>
    <w:p w14:paraId="7866CA6C" w14:textId="77777777" w:rsidR="0022503D" w:rsidRPr="00F23CDB" w:rsidRDefault="0022503D">
      <w:pPr>
        <w:overflowPunct/>
        <w:autoSpaceDE/>
        <w:autoSpaceDN/>
        <w:adjustRightInd/>
        <w:textAlignment w:val="auto"/>
        <w:rPr>
          <w:rFonts w:ascii="Calibri" w:hAnsi="Calibri" w:cs="Calibri"/>
        </w:rPr>
      </w:pPr>
    </w:p>
    <w:p w14:paraId="1A708E84" w14:textId="77777777" w:rsidR="0022503D" w:rsidRDefault="0022503D">
      <w:pPr>
        <w:overflowPunct/>
        <w:autoSpaceDE/>
        <w:autoSpaceDN/>
        <w:adjustRightInd/>
        <w:textAlignment w:val="auto"/>
        <w:rPr>
          <w:rFonts w:ascii="Calibri" w:hAnsi="Calibri" w:cs="Calibri"/>
        </w:rPr>
      </w:pPr>
    </w:p>
    <w:p w14:paraId="6B182C67" w14:textId="77777777" w:rsidR="00A86EB3" w:rsidRPr="00F23CDB" w:rsidRDefault="00A86EB3">
      <w:pPr>
        <w:overflowPunct/>
        <w:autoSpaceDE/>
        <w:autoSpaceDN/>
        <w:adjustRightInd/>
        <w:textAlignment w:val="auto"/>
        <w:rPr>
          <w:rFonts w:ascii="Calibri" w:hAnsi="Calibri" w:cs="Calibri"/>
        </w:rPr>
      </w:pPr>
    </w:p>
    <w:p w14:paraId="196C4C14" w14:textId="77777777" w:rsidR="0022503D" w:rsidRPr="00F23CDB" w:rsidRDefault="0022503D">
      <w:pPr>
        <w:overflowPunct/>
        <w:autoSpaceDE/>
        <w:autoSpaceDN/>
        <w:adjustRightInd/>
        <w:textAlignment w:val="auto"/>
        <w:rPr>
          <w:rFonts w:ascii="Calibri" w:hAnsi="Calibri" w:cs="Calibri"/>
        </w:rPr>
      </w:pPr>
    </w:p>
    <w:p w14:paraId="6AAF5B07" w14:textId="77777777" w:rsidR="0022503D" w:rsidRPr="00F23CDB" w:rsidRDefault="0022503D">
      <w:pPr>
        <w:overflowPunct/>
        <w:autoSpaceDE/>
        <w:autoSpaceDN/>
        <w:adjustRightInd/>
        <w:textAlignment w:val="auto"/>
        <w:rPr>
          <w:rFonts w:ascii="Calibri" w:hAnsi="Calibri" w:cs="Calibri"/>
        </w:rPr>
      </w:pPr>
    </w:p>
    <w:p w14:paraId="64440B7C" w14:textId="77777777" w:rsidR="0022503D" w:rsidRPr="00F23CDB" w:rsidRDefault="0022503D">
      <w:pPr>
        <w:overflowPunct/>
        <w:autoSpaceDE/>
        <w:autoSpaceDN/>
        <w:adjustRightInd/>
        <w:textAlignment w:val="auto"/>
        <w:rPr>
          <w:rFonts w:ascii="Calibri" w:hAnsi="Calibri" w:cs="Calibri"/>
        </w:rPr>
      </w:pPr>
    </w:p>
    <w:p w14:paraId="21797C20" w14:textId="77777777" w:rsidR="0022503D" w:rsidRPr="00DD47DF" w:rsidRDefault="0022503D" w:rsidP="0022503D">
      <w:pPr>
        <w:overflowPunct/>
        <w:autoSpaceDE/>
        <w:autoSpaceDN/>
        <w:adjustRightInd/>
        <w:jc w:val="center"/>
        <w:textAlignment w:val="auto"/>
        <w:rPr>
          <w:rFonts w:ascii="Calibri" w:hAnsi="Calibri" w:cs="Calibri"/>
          <w:b/>
          <w:caps/>
          <w:sz w:val="36"/>
        </w:rPr>
      </w:pPr>
      <w:r w:rsidRPr="00DD47DF">
        <w:rPr>
          <w:rFonts w:ascii="Calibri" w:hAnsi="Calibri" w:cs="Calibri"/>
          <w:b/>
          <w:caps/>
          <w:sz w:val="36"/>
        </w:rPr>
        <w:t>Ministerstvo průmyslu a obchodu</w:t>
      </w:r>
    </w:p>
    <w:p w14:paraId="4C9B9690" w14:textId="77777777" w:rsidR="0022503D" w:rsidRPr="00DD47DF" w:rsidRDefault="0022503D" w:rsidP="0022503D">
      <w:pPr>
        <w:overflowPunct/>
        <w:autoSpaceDE/>
        <w:autoSpaceDN/>
        <w:adjustRightInd/>
        <w:jc w:val="center"/>
        <w:textAlignment w:val="auto"/>
        <w:rPr>
          <w:rFonts w:ascii="Calibri" w:hAnsi="Calibri" w:cs="Calibri"/>
          <w:b/>
          <w:caps/>
          <w:sz w:val="36"/>
        </w:rPr>
      </w:pPr>
      <w:r w:rsidRPr="00DD47DF">
        <w:rPr>
          <w:rFonts w:ascii="Calibri" w:hAnsi="Calibri" w:cs="Calibri"/>
          <w:b/>
          <w:caps/>
          <w:sz w:val="36"/>
        </w:rPr>
        <w:t>České republiky</w:t>
      </w:r>
    </w:p>
    <w:p w14:paraId="07EC0256" w14:textId="77777777" w:rsidR="0022503D" w:rsidRPr="00DD47DF" w:rsidRDefault="0022503D">
      <w:pPr>
        <w:overflowPunct/>
        <w:autoSpaceDE/>
        <w:autoSpaceDN/>
        <w:adjustRightInd/>
        <w:textAlignment w:val="auto"/>
        <w:rPr>
          <w:rFonts w:ascii="Calibri" w:hAnsi="Calibri" w:cs="Calibri"/>
        </w:rPr>
      </w:pPr>
    </w:p>
    <w:p w14:paraId="04223F90" w14:textId="77777777" w:rsidR="0022503D" w:rsidRPr="00DD47DF" w:rsidRDefault="0022503D">
      <w:pPr>
        <w:overflowPunct/>
        <w:autoSpaceDE/>
        <w:autoSpaceDN/>
        <w:adjustRightInd/>
        <w:textAlignment w:val="auto"/>
        <w:rPr>
          <w:rFonts w:ascii="Calibri" w:hAnsi="Calibri" w:cs="Calibri"/>
        </w:rPr>
      </w:pPr>
    </w:p>
    <w:p w14:paraId="30ED3222" w14:textId="77777777" w:rsidR="0022503D" w:rsidRPr="00DD47DF" w:rsidRDefault="0022503D">
      <w:pPr>
        <w:overflowPunct/>
        <w:autoSpaceDE/>
        <w:autoSpaceDN/>
        <w:adjustRightInd/>
        <w:textAlignment w:val="auto"/>
        <w:rPr>
          <w:rFonts w:ascii="Calibri" w:hAnsi="Calibri" w:cs="Calibri"/>
        </w:rPr>
      </w:pPr>
    </w:p>
    <w:p w14:paraId="16A90C62" w14:textId="77777777" w:rsidR="0022503D" w:rsidRPr="00DD47DF" w:rsidRDefault="0022503D">
      <w:pPr>
        <w:overflowPunct/>
        <w:autoSpaceDE/>
        <w:autoSpaceDN/>
        <w:adjustRightInd/>
        <w:textAlignment w:val="auto"/>
        <w:rPr>
          <w:rFonts w:ascii="Calibri" w:hAnsi="Calibri" w:cs="Calibri"/>
        </w:rPr>
      </w:pPr>
    </w:p>
    <w:p w14:paraId="6E4CD0C2" w14:textId="77777777" w:rsidR="0022503D" w:rsidRPr="00DD47DF" w:rsidRDefault="0022503D">
      <w:pPr>
        <w:overflowPunct/>
        <w:autoSpaceDE/>
        <w:autoSpaceDN/>
        <w:adjustRightInd/>
        <w:textAlignment w:val="auto"/>
        <w:rPr>
          <w:rFonts w:ascii="Calibri" w:hAnsi="Calibri" w:cs="Calibri"/>
        </w:rPr>
      </w:pPr>
    </w:p>
    <w:p w14:paraId="13F1956B" w14:textId="77777777" w:rsidR="0022503D" w:rsidRPr="00DD47DF" w:rsidRDefault="0022503D">
      <w:pPr>
        <w:overflowPunct/>
        <w:autoSpaceDE/>
        <w:autoSpaceDN/>
        <w:adjustRightInd/>
        <w:textAlignment w:val="auto"/>
        <w:rPr>
          <w:rFonts w:ascii="Calibri" w:hAnsi="Calibri" w:cs="Calibri"/>
        </w:rPr>
      </w:pPr>
    </w:p>
    <w:p w14:paraId="35FDF5ED" w14:textId="77777777" w:rsidR="0022503D" w:rsidRPr="00DD47DF" w:rsidRDefault="0022503D">
      <w:pPr>
        <w:overflowPunct/>
        <w:autoSpaceDE/>
        <w:autoSpaceDN/>
        <w:adjustRightInd/>
        <w:textAlignment w:val="auto"/>
        <w:rPr>
          <w:rFonts w:ascii="Calibri" w:hAnsi="Calibri" w:cs="Calibri"/>
        </w:rPr>
      </w:pPr>
    </w:p>
    <w:p w14:paraId="6AD04695" w14:textId="77777777" w:rsidR="0022503D" w:rsidRPr="00DD47DF" w:rsidRDefault="0022503D">
      <w:pPr>
        <w:overflowPunct/>
        <w:autoSpaceDE/>
        <w:autoSpaceDN/>
        <w:adjustRightInd/>
        <w:textAlignment w:val="auto"/>
        <w:rPr>
          <w:rFonts w:ascii="Calibri" w:hAnsi="Calibri" w:cs="Calibri"/>
        </w:rPr>
      </w:pPr>
    </w:p>
    <w:p w14:paraId="5330B8E4" w14:textId="77777777" w:rsidR="0022503D" w:rsidRPr="00DD47DF" w:rsidRDefault="0022503D">
      <w:pPr>
        <w:overflowPunct/>
        <w:autoSpaceDE/>
        <w:autoSpaceDN/>
        <w:adjustRightInd/>
        <w:textAlignment w:val="auto"/>
        <w:rPr>
          <w:rFonts w:ascii="Calibri" w:hAnsi="Calibri" w:cs="Calibri"/>
        </w:rPr>
      </w:pPr>
    </w:p>
    <w:p w14:paraId="0F31D8ED" w14:textId="77777777" w:rsidR="0022503D" w:rsidRPr="00DD47DF" w:rsidRDefault="0022503D">
      <w:pPr>
        <w:overflowPunct/>
        <w:autoSpaceDE/>
        <w:autoSpaceDN/>
        <w:adjustRightInd/>
        <w:textAlignment w:val="auto"/>
        <w:rPr>
          <w:rFonts w:ascii="Calibri" w:hAnsi="Calibri" w:cs="Calibri"/>
        </w:rPr>
      </w:pPr>
    </w:p>
    <w:p w14:paraId="065BA443" w14:textId="77777777" w:rsidR="0022503D" w:rsidRPr="00DD47DF" w:rsidRDefault="0022503D">
      <w:pPr>
        <w:overflowPunct/>
        <w:autoSpaceDE/>
        <w:autoSpaceDN/>
        <w:adjustRightInd/>
        <w:textAlignment w:val="auto"/>
        <w:rPr>
          <w:rFonts w:ascii="Calibri" w:hAnsi="Calibri" w:cs="Calibri"/>
        </w:rPr>
      </w:pPr>
    </w:p>
    <w:p w14:paraId="04B95F9B" w14:textId="77777777" w:rsidR="0022503D" w:rsidRPr="00DD47DF" w:rsidRDefault="00495B3E" w:rsidP="0022503D">
      <w:pPr>
        <w:overflowPunct/>
        <w:autoSpaceDE/>
        <w:autoSpaceDN/>
        <w:adjustRightInd/>
        <w:jc w:val="center"/>
        <w:textAlignment w:val="auto"/>
        <w:rPr>
          <w:rFonts w:ascii="Calibri" w:hAnsi="Calibri" w:cs="Calibri"/>
          <w:b/>
          <w:sz w:val="36"/>
        </w:rPr>
      </w:pPr>
      <w:r w:rsidRPr="00DD47DF">
        <w:rPr>
          <w:rFonts w:ascii="Calibri" w:hAnsi="Calibri" w:cs="Calibri"/>
          <w:b/>
          <w:sz w:val="36"/>
        </w:rPr>
        <w:t>Operačn</w:t>
      </w:r>
      <w:r w:rsidR="0022503D" w:rsidRPr="00DD47DF">
        <w:rPr>
          <w:rFonts w:ascii="Calibri" w:hAnsi="Calibri" w:cs="Calibri"/>
          <w:b/>
          <w:sz w:val="36"/>
        </w:rPr>
        <w:t>í program Podnikání a inovace pro konkurenceschopnost 2014 – 2020</w:t>
      </w:r>
    </w:p>
    <w:p w14:paraId="569578CD" w14:textId="77777777" w:rsidR="0022503D" w:rsidRPr="00DD47DF" w:rsidRDefault="0022503D" w:rsidP="0022503D">
      <w:pPr>
        <w:overflowPunct/>
        <w:autoSpaceDE/>
        <w:autoSpaceDN/>
        <w:adjustRightInd/>
        <w:jc w:val="center"/>
        <w:textAlignment w:val="auto"/>
        <w:rPr>
          <w:rFonts w:ascii="Calibri" w:hAnsi="Calibri" w:cs="Calibri"/>
          <w:b/>
          <w:sz w:val="36"/>
        </w:rPr>
      </w:pPr>
    </w:p>
    <w:p w14:paraId="3F4832DB" w14:textId="77777777" w:rsidR="00FF1575" w:rsidRPr="00DD47DF" w:rsidRDefault="00FF1575" w:rsidP="00FE0012">
      <w:pPr>
        <w:overflowPunct/>
        <w:autoSpaceDE/>
        <w:autoSpaceDN/>
        <w:adjustRightInd/>
        <w:jc w:val="center"/>
        <w:textAlignment w:val="auto"/>
        <w:rPr>
          <w:rFonts w:ascii="Calibri" w:hAnsi="Calibri" w:cs="Calibri"/>
          <w:i/>
          <w:strike/>
          <w:sz w:val="32"/>
          <w:szCs w:val="32"/>
        </w:rPr>
      </w:pPr>
    </w:p>
    <w:p w14:paraId="4FD3C1FE" w14:textId="77777777" w:rsidR="00896EDF" w:rsidRPr="00DD47DF" w:rsidRDefault="00896EDF" w:rsidP="00FE0012">
      <w:pPr>
        <w:overflowPunct/>
        <w:autoSpaceDE/>
        <w:autoSpaceDN/>
        <w:adjustRightInd/>
        <w:jc w:val="center"/>
        <w:textAlignment w:val="auto"/>
        <w:rPr>
          <w:rFonts w:ascii="Calibri" w:hAnsi="Calibri" w:cs="Calibri"/>
          <w:i/>
          <w:sz w:val="32"/>
          <w:szCs w:val="32"/>
        </w:rPr>
      </w:pPr>
    </w:p>
    <w:p w14:paraId="09C5FD3A" w14:textId="77777777" w:rsidR="0022503D" w:rsidRPr="00DD47DF" w:rsidRDefault="0022503D" w:rsidP="00FE0012">
      <w:pPr>
        <w:overflowPunct/>
        <w:autoSpaceDE/>
        <w:autoSpaceDN/>
        <w:adjustRightInd/>
        <w:jc w:val="center"/>
        <w:textAlignment w:val="auto"/>
        <w:rPr>
          <w:rFonts w:ascii="Calibri" w:hAnsi="Calibri" w:cs="Calibri"/>
          <w:i/>
          <w:sz w:val="32"/>
          <w:szCs w:val="32"/>
        </w:rPr>
      </w:pPr>
    </w:p>
    <w:p w14:paraId="0B904648" w14:textId="77777777" w:rsidR="0022503D" w:rsidRPr="00DD47DF" w:rsidRDefault="0022503D">
      <w:pPr>
        <w:overflowPunct/>
        <w:autoSpaceDE/>
        <w:autoSpaceDN/>
        <w:adjustRightInd/>
        <w:textAlignment w:val="auto"/>
        <w:rPr>
          <w:rFonts w:ascii="Calibri" w:hAnsi="Calibri" w:cs="Calibri"/>
        </w:rPr>
      </w:pPr>
    </w:p>
    <w:p w14:paraId="38E4F214" w14:textId="77777777" w:rsidR="0022503D" w:rsidRPr="00DD47DF" w:rsidRDefault="0022503D">
      <w:pPr>
        <w:overflowPunct/>
        <w:autoSpaceDE/>
        <w:autoSpaceDN/>
        <w:adjustRightInd/>
        <w:textAlignment w:val="auto"/>
        <w:rPr>
          <w:rFonts w:ascii="Calibri" w:hAnsi="Calibri" w:cs="Calibri"/>
        </w:rPr>
      </w:pPr>
    </w:p>
    <w:p w14:paraId="4227AC67" w14:textId="77777777" w:rsidR="0022503D" w:rsidRPr="00DD47DF" w:rsidRDefault="0022503D">
      <w:pPr>
        <w:overflowPunct/>
        <w:autoSpaceDE/>
        <w:autoSpaceDN/>
        <w:adjustRightInd/>
        <w:textAlignment w:val="auto"/>
        <w:rPr>
          <w:rFonts w:ascii="Calibri" w:hAnsi="Calibri" w:cs="Calibri"/>
        </w:rPr>
      </w:pPr>
    </w:p>
    <w:p w14:paraId="070DBBAC" w14:textId="77777777" w:rsidR="0022503D" w:rsidRPr="00DD47DF" w:rsidRDefault="0022503D" w:rsidP="00B4010A">
      <w:pPr>
        <w:overflowPunct/>
        <w:autoSpaceDE/>
        <w:autoSpaceDN/>
        <w:adjustRightInd/>
        <w:jc w:val="center"/>
        <w:textAlignment w:val="auto"/>
        <w:rPr>
          <w:rFonts w:ascii="Calibri" w:hAnsi="Calibri" w:cs="Calibri"/>
        </w:rPr>
      </w:pPr>
    </w:p>
    <w:p w14:paraId="34E55734" w14:textId="77777777" w:rsidR="0022503D" w:rsidRPr="00DD47DF" w:rsidRDefault="0022503D">
      <w:pPr>
        <w:overflowPunct/>
        <w:autoSpaceDE/>
        <w:autoSpaceDN/>
        <w:adjustRightInd/>
        <w:textAlignment w:val="auto"/>
        <w:rPr>
          <w:rFonts w:ascii="Calibri" w:hAnsi="Calibri" w:cs="Calibri"/>
        </w:rPr>
      </w:pPr>
    </w:p>
    <w:p w14:paraId="5D4F35B0" w14:textId="77777777" w:rsidR="0022503D" w:rsidRPr="00DD47DF" w:rsidRDefault="0022503D">
      <w:pPr>
        <w:overflowPunct/>
        <w:autoSpaceDE/>
        <w:autoSpaceDN/>
        <w:adjustRightInd/>
        <w:textAlignment w:val="auto"/>
        <w:rPr>
          <w:rFonts w:ascii="Calibri" w:hAnsi="Calibri" w:cs="Calibri"/>
        </w:rPr>
      </w:pPr>
    </w:p>
    <w:p w14:paraId="42CB8BEF" w14:textId="77777777" w:rsidR="0022503D" w:rsidRPr="00DD47DF" w:rsidRDefault="0022503D">
      <w:pPr>
        <w:overflowPunct/>
        <w:autoSpaceDE/>
        <w:autoSpaceDN/>
        <w:adjustRightInd/>
        <w:textAlignment w:val="auto"/>
        <w:rPr>
          <w:rFonts w:ascii="Calibri" w:hAnsi="Calibri" w:cs="Calibri"/>
        </w:rPr>
      </w:pPr>
    </w:p>
    <w:p w14:paraId="15C4385A" w14:textId="77777777" w:rsidR="0022503D" w:rsidRPr="00DD47DF" w:rsidRDefault="0022503D">
      <w:pPr>
        <w:overflowPunct/>
        <w:autoSpaceDE/>
        <w:autoSpaceDN/>
        <w:adjustRightInd/>
        <w:textAlignment w:val="auto"/>
        <w:rPr>
          <w:rFonts w:ascii="Calibri" w:hAnsi="Calibri" w:cs="Calibri"/>
        </w:rPr>
      </w:pPr>
    </w:p>
    <w:p w14:paraId="23B29715" w14:textId="77777777" w:rsidR="0022503D" w:rsidRPr="00DD47DF" w:rsidRDefault="0022503D">
      <w:pPr>
        <w:overflowPunct/>
        <w:autoSpaceDE/>
        <w:autoSpaceDN/>
        <w:adjustRightInd/>
        <w:textAlignment w:val="auto"/>
        <w:rPr>
          <w:rFonts w:ascii="Calibri" w:hAnsi="Calibri" w:cs="Calibri"/>
        </w:rPr>
      </w:pPr>
    </w:p>
    <w:p w14:paraId="155AD7EC" w14:textId="77777777" w:rsidR="0022503D" w:rsidRPr="00DD47DF" w:rsidRDefault="0022503D">
      <w:pPr>
        <w:overflowPunct/>
        <w:autoSpaceDE/>
        <w:autoSpaceDN/>
        <w:adjustRightInd/>
        <w:textAlignment w:val="auto"/>
        <w:rPr>
          <w:rFonts w:ascii="Calibri" w:hAnsi="Calibri" w:cs="Calibri"/>
        </w:rPr>
      </w:pPr>
    </w:p>
    <w:p w14:paraId="591A43A9" w14:textId="77777777" w:rsidR="0022503D" w:rsidRPr="00DD47DF" w:rsidRDefault="0022503D">
      <w:pPr>
        <w:overflowPunct/>
        <w:autoSpaceDE/>
        <w:autoSpaceDN/>
        <w:adjustRightInd/>
        <w:textAlignment w:val="auto"/>
        <w:rPr>
          <w:rFonts w:ascii="Calibri" w:hAnsi="Calibri" w:cs="Calibri"/>
        </w:rPr>
      </w:pPr>
    </w:p>
    <w:p w14:paraId="5FA29CCF" w14:textId="77777777" w:rsidR="0022503D" w:rsidRPr="00DD47DF" w:rsidRDefault="0022503D">
      <w:pPr>
        <w:overflowPunct/>
        <w:autoSpaceDE/>
        <w:autoSpaceDN/>
        <w:adjustRightInd/>
        <w:textAlignment w:val="auto"/>
        <w:rPr>
          <w:rFonts w:ascii="Calibri" w:hAnsi="Calibri" w:cs="Calibri"/>
        </w:rPr>
      </w:pPr>
    </w:p>
    <w:p w14:paraId="7C66990C" w14:textId="77777777" w:rsidR="00D369D8" w:rsidRPr="00DD47DF" w:rsidRDefault="00D369D8">
      <w:pPr>
        <w:overflowPunct/>
        <w:autoSpaceDE/>
        <w:autoSpaceDN/>
        <w:adjustRightInd/>
        <w:textAlignment w:val="auto"/>
        <w:rPr>
          <w:rFonts w:ascii="Calibri" w:hAnsi="Calibri" w:cs="Calibri"/>
        </w:rPr>
      </w:pPr>
    </w:p>
    <w:p w14:paraId="070A5820" w14:textId="77777777" w:rsidR="00D369D8" w:rsidRPr="00DD47DF" w:rsidRDefault="00D369D8">
      <w:pPr>
        <w:overflowPunct/>
        <w:autoSpaceDE/>
        <w:autoSpaceDN/>
        <w:adjustRightInd/>
        <w:textAlignment w:val="auto"/>
        <w:rPr>
          <w:rFonts w:ascii="Calibri" w:hAnsi="Calibri" w:cs="Calibri"/>
        </w:rPr>
      </w:pPr>
    </w:p>
    <w:p w14:paraId="32E3735B" w14:textId="77777777" w:rsidR="0022503D" w:rsidRPr="00DD47DF" w:rsidRDefault="0022503D">
      <w:pPr>
        <w:overflowPunct/>
        <w:autoSpaceDE/>
        <w:autoSpaceDN/>
        <w:adjustRightInd/>
        <w:textAlignment w:val="auto"/>
        <w:rPr>
          <w:rFonts w:ascii="Calibri" w:hAnsi="Calibri" w:cs="Calibri"/>
        </w:rPr>
      </w:pPr>
    </w:p>
    <w:p w14:paraId="5ACD3895" w14:textId="77777777" w:rsidR="0022503D" w:rsidRPr="00DD47DF" w:rsidRDefault="0022503D">
      <w:pPr>
        <w:overflowPunct/>
        <w:autoSpaceDE/>
        <w:autoSpaceDN/>
        <w:adjustRightInd/>
        <w:textAlignment w:val="auto"/>
        <w:rPr>
          <w:rFonts w:ascii="Calibri" w:hAnsi="Calibri" w:cs="Calibri"/>
        </w:rPr>
      </w:pPr>
    </w:p>
    <w:p w14:paraId="0E0093C2" w14:textId="23E10C7F" w:rsidR="009B3FA2" w:rsidRPr="00DD47DF" w:rsidRDefault="007A0988" w:rsidP="0022503D">
      <w:pPr>
        <w:overflowPunct/>
        <w:autoSpaceDE/>
        <w:autoSpaceDN/>
        <w:adjustRightInd/>
        <w:jc w:val="center"/>
        <w:textAlignment w:val="auto"/>
        <w:rPr>
          <w:rFonts w:ascii="Calibri" w:hAnsi="Calibri" w:cs="Calibri"/>
          <w:b/>
          <w:sz w:val="28"/>
        </w:rPr>
        <w:sectPr w:rsidR="009B3FA2" w:rsidRPr="00DD47DF" w:rsidSect="00926525">
          <w:headerReference w:type="default" r:id="rId8"/>
          <w:footerReference w:type="default" r:id="rId9"/>
          <w:headerReference w:type="first" r:id="rId10"/>
          <w:footerReference w:type="first" r:id="rId11"/>
          <w:pgSz w:w="11906" w:h="16838"/>
          <w:pgMar w:top="1418" w:right="1276" w:bottom="1276" w:left="1418" w:header="709" w:footer="709" w:gutter="0"/>
          <w:cols w:space="708"/>
          <w:titlePg/>
          <w:docGrid w:linePitch="272"/>
        </w:sectPr>
      </w:pPr>
      <w:r>
        <w:rPr>
          <w:rFonts w:ascii="Calibri" w:hAnsi="Calibri" w:cs="Calibri"/>
          <w:b/>
          <w:sz w:val="28"/>
        </w:rPr>
        <w:t>listopad</w:t>
      </w:r>
      <w:r w:rsidR="003F5933" w:rsidRPr="00DD47DF">
        <w:rPr>
          <w:rFonts w:ascii="Calibri" w:hAnsi="Calibri" w:cs="Calibri"/>
          <w:b/>
          <w:sz w:val="28"/>
        </w:rPr>
        <w:t xml:space="preserve"> </w:t>
      </w:r>
      <w:r w:rsidR="0052716E" w:rsidRPr="00DD47DF">
        <w:rPr>
          <w:rFonts w:ascii="Calibri" w:hAnsi="Calibri" w:cs="Calibri"/>
          <w:b/>
          <w:sz w:val="28"/>
        </w:rPr>
        <w:t>201</w:t>
      </w:r>
      <w:r w:rsidR="003F5933">
        <w:rPr>
          <w:rFonts w:ascii="Calibri" w:hAnsi="Calibri" w:cs="Calibri"/>
          <w:b/>
          <w:sz w:val="28"/>
        </w:rPr>
        <w:t>7</w:t>
      </w:r>
      <w:r w:rsidR="0052716E" w:rsidRPr="00DD47DF">
        <w:rPr>
          <w:rFonts w:ascii="Calibri" w:hAnsi="Calibri" w:cs="Calibri"/>
          <w:b/>
          <w:sz w:val="28"/>
        </w:rPr>
        <w:t xml:space="preserve"> </w:t>
      </w:r>
    </w:p>
    <w:p w14:paraId="473134F8" w14:textId="77777777" w:rsidR="0022503D" w:rsidRPr="00DD47DF" w:rsidRDefault="00CF0F84" w:rsidP="00300283">
      <w:pPr>
        <w:overflowPunct/>
        <w:autoSpaceDE/>
        <w:autoSpaceDN/>
        <w:adjustRightInd/>
        <w:spacing w:before="120" w:after="60"/>
        <w:textAlignment w:val="auto"/>
        <w:rPr>
          <w:rFonts w:ascii="Calibri" w:hAnsi="Calibri" w:cs="Calibri"/>
          <w:b/>
          <w:caps/>
          <w:spacing w:val="20"/>
          <w:sz w:val="28"/>
          <w:szCs w:val="28"/>
        </w:rPr>
      </w:pPr>
      <w:r w:rsidRPr="00DD47DF">
        <w:rPr>
          <w:rFonts w:ascii="Calibri" w:hAnsi="Calibri" w:cs="Calibri"/>
          <w:b/>
          <w:caps/>
          <w:spacing w:val="20"/>
          <w:sz w:val="28"/>
          <w:szCs w:val="28"/>
        </w:rPr>
        <w:lastRenderedPageBreak/>
        <w:t>Obsah</w:t>
      </w:r>
    </w:p>
    <w:p w14:paraId="45C9F079" w14:textId="77777777" w:rsidR="00F23DF3" w:rsidRPr="00DD47DF" w:rsidRDefault="00F23DF3" w:rsidP="00300283">
      <w:pPr>
        <w:overflowPunct/>
        <w:autoSpaceDE/>
        <w:autoSpaceDN/>
        <w:adjustRightInd/>
        <w:spacing w:before="120" w:after="60"/>
        <w:textAlignment w:val="auto"/>
        <w:rPr>
          <w:rFonts w:ascii="Calibri" w:hAnsi="Calibri" w:cs="Calibri"/>
          <w:b/>
          <w:caps/>
          <w:sz w:val="28"/>
          <w:szCs w:val="28"/>
        </w:rPr>
      </w:pPr>
    </w:p>
    <w:p w14:paraId="70B6084F" w14:textId="77777777" w:rsidR="007A094C" w:rsidRDefault="002756E7">
      <w:pPr>
        <w:pStyle w:val="Obsah1"/>
        <w:tabs>
          <w:tab w:val="left" w:pos="1320"/>
          <w:tab w:val="right" w:leader="dot" w:pos="9202"/>
        </w:tabs>
        <w:rPr>
          <w:rFonts w:asciiTheme="minorHAnsi" w:eastAsiaTheme="minorEastAsia" w:hAnsiTheme="minorHAnsi" w:cstheme="minorBidi"/>
          <w:b w:val="0"/>
          <w:noProof/>
          <w:sz w:val="22"/>
          <w:szCs w:val="22"/>
        </w:rPr>
      </w:pPr>
      <w:r w:rsidRPr="00DD47DF">
        <w:rPr>
          <w:rFonts w:cs="Calibri"/>
          <w:b w:val="0"/>
          <w:caps/>
          <w:sz w:val="28"/>
          <w:szCs w:val="28"/>
        </w:rPr>
        <w:fldChar w:fldCharType="begin"/>
      </w:r>
      <w:r w:rsidR="002E4CA7" w:rsidRPr="00DD47DF">
        <w:rPr>
          <w:rFonts w:cs="Calibri"/>
          <w:b w:val="0"/>
          <w:caps/>
          <w:sz w:val="28"/>
          <w:szCs w:val="28"/>
        </w:rPr>
        <w:instrText xml:space="preserve"> TOC \o "1-3" \h \z \u </w:instrText>
      </w:r>
      <w:r w:rsidRPr="00DD47DF">
        <w:rPr>
          <w:rFonts w:cs="Calibri"/>
          <w:b w:val="0"/>
          <w:caps/>
          <w:sz w:val="28"/>
          <w:szCs w:val="28"/>
        </w:rPr>
        <w:fldChar w:fldCharType="separate"/>
      </w:r>
      <w:hyperlink w:anchor="_Toc506884970" w:history="1">
        <w:r w:rsidR="007A094C" w:rsidRPr="00611A94">
          <w:rPr>
            <w:rStyle w:val="Hypertextovodkaz"/>
            <w:noProof/>
            <w:spacing w:val="20"/>
          </w:rPr>
          <w:t>ODDÍL 1</w:t>
        </w:r>
        <w:r w:rsidR="007A094C">
          <w:rPr>
            <w:rFonts w:asciiTheme="minorHAnsi" w:eastAsiaTheme="minorEastAsia" w:hAnsiTheme="minorHAnsi" w:cstheme="minorBidi"/>
            <w:b w:val="0"/>
            <w:noProof/>
            <w:sz w:val="22"/>
            <w:szCs w:val="22"/>
          </w:rPr>
          <w:tab/>
        </w:r>
        <w:r w:rsidR="007A094C" w:rsidRPr="00611A94">
          <w:rPr>
            <w:rStyle w:val="Hypertextovodkaz"/>
            <w:noProof/>
          </w:rPr>
          <w:t>Strategie, na jejímž základě bude operační program přispívat ke strategii Unie pro inteligentní a udržitelný růst podporující začlenění a k dosažení hospodářské, sociální a územní soudržnosti</w:t>
        </w:r>
        <w:r w:rsidR="007A094C">
          <w:rPr>
            <w:noProof/>
            <w:webHidden/>
          </w:rPr>
          <w:tab/>
        </w:r>
        <w:r w:rsidR="007A094C">
          <w:rPr>
            <w:noProof/>
            <w:webHidden/>
          </w:rPr>
          <w:fldChar w:fldCharType="begin"/>
        </w:r>
        <w:r w:rsidR="007A094C">
          <w:rPr>
            <w:noProof/>
            <w:webHidden/>
          </w:rPr>
          <w:instrText xml:space="preserve"> PAGEREF _Toc506884970 \h </w:instrText>
        </w:r>
        <w:r w:rsidR="007A094C">
          <w:rPr>
            <w:noProof/>
            <w:webHidden/>
          </w:rPr>
        </w:r>
        <w:r w:rsidR="007A094C">
          <w:rPr>
            <w:noProof/>
            <w:webHidden/>
          </w:rPr>
          <w:fldChar w:fldCharType="separate"/>
        </w:r>
        <w:r w:rsidR="007A094C">
          <w:rPr>
            <w:noProof/>
            <w:webHidden/>
          </w:rPr>
          <w:t>12</w:t>
        </w:r>
        <w:r w:rsidR="007A094C">
          <w:rPr>
            <w:noProof/>
            <w:webHidden/>
          </w:rPr>
          <w:fldChar w:fldCharType="end"/>
        </w:r>
      </w:hyperlink>
    </w:p>
    <w:p w14:paraId="1269B5FD"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4971" w:history="1">
        <w:r w:rsidR="007A094C" w:rsidRPr="00611A94">
          <w:rPr>
            <w:rStyle w:val="Hypertextovodkaz"/>
            <w:rFonts w:cs="Calibri"/>
            <w:noProof/>
          </w:rPr>
          <w:t>1.1</w:t>
        </w:r>
        <w:r w:rsidR="007A094C">
          <w:rPr>
            <w:rFonts w:asciiTheme="minorHAnsi" w:eastAsiaTheme="minorEastAsia" w:hAnsiTheme="minorHAnsi" w:cstheme="minorBidi"/>
            <w:noProof/>
            <w:sz w:val="22"/>
            <w:szCs w:val="22"/>
          </w:rPr>
          <w:tab/>
        </w:r>
        <w:r w:rsidR="007A094C" w:rsidRPr="00611A94">
          <w:rPr>
            <w:rStyle w:val="Hypertextovodkaz"/>
            <w:rFonts w:cs="Calibri"/>
            <w:noProof/>
          </w:rPr>
          <w:t>Strategie, na jejímž základě bude operační program přispívat ke strategii Unie pro inteligentní a udržitelný růst podporující začlenění a k dosažení hospodářské, sociální a územní soudržnosti</w:t>
        </w:r>
        <w:r w:rsidR="007A094C">
          <w:rPr>
            <w:noProof/>
            <w:webHidden/>
          </w:rPr>
          <w:tab/>
        </w:r>
        <w:r w:rsidR="007A094C">
          <w:rPr>
            <w:noProof/>
            <w:webHidden/>
          </w:rPr>
          <w:fldChar w:fldCharType="begin"/>
        </w:r>
        <w:r w:rsidR="007A094C">
          <w:rPr>
            <w:noProof/>
            <w:webHidden/>
          </w:rPr>
          <w:instrText xml:space="preserve"> PAGEREF _Toc506884971 \h </w:instrText>
        </w:r>
        <w:r w:rsidR="007A094C">
          <w:rPr>
            <w:noProof/>
            <w:webHidden/>
          </w:rPr>
        </w:r>
        <w:r w:rsidR="007A094C">
          <w:rPr>
            <w:noProof/>
            <w:webHidden/>
          </w:rPr>
          <w:fldChar w:fldCharType="separate"/>
        </w:r>
        <w:r w:rsidR="007A094C">
          <w:rPr>
            <w:noProof/>
            <w:webHidden/>
          </w:rPr>
          <w:t>12</w:t>
        </w:r>
        <w:r w:rsidR="007A094C">
          <w:rPr>
            <w:noProof/>
            <w:webHidden/>
          </w:rPr>
          <w:fldChar w:fldCharType="end"/>
        </w:r>
      </w:hyperlink>
    </w:p>
    <w:p w14:paraId="7C7764FA" w14:textId="77777777" w:rsidR="007A094C" w:rsidRDefault="00580034">
      <w:pPr>
        <w:pStyle w:val="Obsah3"/>
        <w:rPr>
          <w:rFonts w:asciiTheme="minorHAnsi" w:eastAsiaTheme="minorEastAsia" w:hAnsiTheme="minorHAnsi" w:cstheme="minorBidi"/>
          <w:i w:val="0"/>
          <w:sz w:val="22"/>
          <w:szCs w:val="22"/>
        </w:rPr>
      </w:pPr>
      <w:hyperlink w:anchor="_Toc506884972" w:history="1">
        <w:r w:rsidR="007A094C" w:rsidRPr="00611A94">
          <w:rPr>
            <w:rStyle w:val="Hypertextovodkaz"/>
            <w:rFonts w:cs="Calibri"/>
          </w:rPr>
          <w:t>1.1.1</w:t>
        </w:r>
        <w:r w:rsidR="007A094C">
          <w:rPr>
            <w:rFonts w:asciiTheme="minorHAnsi" w:eastAsiaTheme="minorEastAsia" w:hAnsiTheme="minorHAnsi" w:cstheme="minorBidi"/>
            <w:i w:val="0"/>
            <w:sz w:val="22"/>
            <w:szCs w:val="22"/>
          </w:rPr>
          <w:tab/>
        </w:r>
        <w:r w:rsidR="007A094C" w:rsidRPr="00611A94">
          <w:rPr>
            <w:rStyle w:val="Hypertextovodkaz"/>
            <w:rFonts w:cs="Calibri"/>
          </w:rPr>
          <w:t>Popis strategie programu, pokud jde o jeho příspěvek k plnění strategie Unie pro inteligentní a udržitelný růst podporující začlenění a k dosažení hospodářské, sociální a územní soudržnosti.</w:t>
        </w:r>
        <w:r w:rsidR="007A094C">
          <w:rPr>
            <w:webHidden/>
          </w:rPr>
          <w:tab/>
        </w:r>
        <w:r w:rsidR="007A094C">
          <w:rPr>
            <w:webHidden/>
          </w:rPr>
          <w:fldChar w:fldCharType="begin"/>
        </w:r>
        <w:r w:rsidR="007A094C">
          <w:rPr>
            <w:webHidden/>
          </w:rPr>
          <w:instrText xml:space="preserve"> PAGEREF _Toc506884972 \h </w:instrText>
        </w:r>
        <w:r w:rsidR="007A094C">
          <w:rPr>
            <w:webHidden/>
          </w:rPr>
        </w:r>
        <w:r w:rsidR="007A094C">
          <w:rPr>
            <w:webHidden/>
          </w:rPr>
          <w:fldChar w:fldCharType="separate"/>
        </w:r>
        <w:r w:rsidR="007A094C">
          <w:rPr>
            <w:webHidden/>
          </w:rPr>
          <w:t>12</w:t>
        </w:r>
        <w:r w:rsidR="007A094C">
          <w:rPr>
            <w:webHidden/>
          </w:rPr>
          <w:fldChar w:fldCharType="end"/>
        </w:r>
      </w:hyperlink>
    </w:p>
    <w:p w14:paraId="0B69C242" w14:textId="77777777" w:rsidR="007A094C" w:rsidRDefault="00580034">
      <w:pPr>
        <w:pStyle w:val="Obsah3"/>
        <w:rPr>
          <w:rFonts w:asciiTheme="minorHAnsi" w:eastAsiaTheme="minorEastAsia" w:hAnsiTheme="minorHAnsi" w:cstheme="minorBidi"/>
          <w:i w:val="0"/>
          <w:sz w:val="22"/>
          <w:szCs w:val="22"/>
        </w:rPr>
      </w:pPr>
      <w:hyperlink w:anchor="_Toc506884973" w:history="1">
        <w:r w:rsidR="007A094C" w:rsidRPr="00611A94">
          <w:rPr>
            <w:rStyle w:val="Hypertextovodkaz"/>
            <w:rFonts w:cs="Calibri"/>
          </w:rPr>
          <w:t>1.1.2</w:t>
        </w:r>
        <w:r w:rsidR="007A094C">
          <w:rPr>
            <w:rFonts w:asciiTheme="minorHAnsi" w:eastAsiaTheme="minorEastAsia" w:hAnsiTheme="minorHAnsi" w:cstheme="minorBidi"/>
            <w:i w:val="0"/>
            <w:sz w:val="22"/>
            <w:szCs w:val="22"/>
          </w:rPr>
          <w:tab/>
        </w:r>
        <w:r w:rsidR="007A094C" w:rsidRPr="00611A94">
          <w:rPr>
            <w:rStyle w:val="Hypertextovodkaz"/>
            <w:rFonts w:cs="Calibri"/>
          </w:rPr>
          <w:t>Odůvodnění výběru tematických cílů a odpovídajících investičních priorit s ohledem na dohodu o partnerství na základě určení regionálních a případně vnitrostátních potřeb, včetně potřeby řešit výzvy vymezené v příslušných doporučeních pro jednotlivé země, které byly přijaty v souladu s čl. 121 odst. 2 SFEU a příslušnými doporučeními Rady přijatými v souladu s čl. 148 odst. 4 SFEU, s přihlédnutím k hodnocení ex ante.</w:t>
        </w:r>
        <w:r w:rsidR="007A094C">
          <w:rPr>
            <w:webHidden/>
          </w:rPr>
          <w:tab/>
        </w:r>
        <w:r w:rsidR="007A094C">
          <w:rPr>
            <w:webHidden/>
          </w:rPr>
          <w:fldChar w:fldCharType="begin"/>
        </w:r>
        <w:r w:rsidR="007A094C">
          <w:rPr>
            <w:webHidden/>
          </w:rPr>
          <w:instrText xml:space="preserve"> PAGEREF _Toc506884973 \h </w:instrText>
        </w:r>
        <w:r w:rsidR="007A094C">
          <w:rPr>
            <w:webHidden/>
          </w:rPr>
        </w:r>
        <w:r w:rsidR="007A094C">
          <w:rPr>
            <w:webHidden/>
          </w:rPr>
          <w:fldChar w:fldCharType="separate"/>
        </w:r>
        <w:r w:rsidR="007A094C">
          <w:rPr>
            <w:webHidden/>
          </w:rPr>
          <w:t>42</w:t>
        </w:r>
        <w:r w:rsidR="007A094C">
          <w:rPr>
            <w:webHidden/>
          </w:rPr>
          <w:fldChar w:fldCharType="end"/>
        </w:r>
      </w:hyperlink>
    </w:p>
    <w:p w14:paraId="734E2621"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4974" w:history="1">
        <w:r w:rsidR="007A094C" w:rsidRPr="00611A94">
          <w:rPr>
            <w:rStyle w:val="Hypertextovodkaz"/>
            <w:rFonts w:cs="Calibri"/>
            <w:noProof/>
          </w:rPr>
          <w:t>1.2</w:t>
        </w:r>
        <w:r w:rsidR="007A094C">
          <w:rPr>
            <w:rFonts w:asciiTheme="minorHAnsi" w:eastAsiaTheme="minorEastAsia" w:hAnsiTheme="minorHAnsi" w:cstheme="minorBidi"/>
            <w:noProof/>
            <w:sz w:val="22"/>
            <w:szCs w:val="22"/>
          </w:rPr>
          <w:tab/>
        </w:r>
        <w:r w:rsidR="007A094C" w:rsidRPr="00611A94">
          <w:rPr>
            <w:rStyle w:val="Hypertextovodkaz"/>
            <w:rFonts w:cs="Calibri"/>
            <w:noProof/>
          </w:rPr>
          <w:t>Odůvodnění přidělení finančních alokací</w:t>
        </w:r>
        <w:r w:rsidR="007A094C">
          <w:rPr>
            <w:noProof/>
            <w:webHidden/>
          </w:rPr>
          <w:tab/>
        </w:r>
        <w:r w:rsidR="007A094C">
          <w:rPr>
            <w:noProof/>
            <w:webHidden/>
          </w:rPr>
          <w:fldChar w:fldCharType="begin"/>
        </w:r>
        <w:r w:rsidR="007A094C">
          <w:rPr>
            <w:noProof/>
            <w:webHidden/>
          </w:rPr>
          <w:instrText xml:space="preserve"> PAGEREF _Toc506884974 \h </w:instrText>
        </w:r>
        <w:r w:rsidR="007A094C">
          <w:rPr>
            <w:noProof/>
            <w:webHidden/>
          </w:rPr>
        </w:r>
        <w:r w:rsidR="007A094C">
          <w:rPr>
            <w:noProof/>
            <w:webHidden/>
          </w:rPr>
          <w:fldChar w:fldCharType="separate"/>
        </w:r>
        <w:r w:rsidR="007A094C">
          <w:rPr>
            <w:noProof/>
            <w:webHidden/>
          </w:rPr>
          <w:t>49</w:t>
        </w:r>
        <w:r w:rsidR="007A094C">
          <w:rPr>
            <w:noProof/>
            <w:webHidden/>
          </w:rPr>
          <w:fldChar w:fldCharType="end"/>
        </w:r>
      </w:hyperlink>
    </w:p>
    <w:p w14:paraId="1819BD1F" w14:textId="77777777" w:rsidR="007A094C" w:rsidRDefault="00580034">
      <w:pPr>
        <w:pStyle w:val="Obsah1"/>
        <w:tabs>
          <w:tab w:val="left" w:pos="1320"/>
          <w:tab w:val="right" w:leader="dot" w:pos="9202"/>
        </w:tabs>
        <w:rPr>
          <w:rFonts w:asciiTheme="minorHAnsi" w:eastAsiaTheme="minorEastAsia" w:hAnsiTheme="minorHAnsi" w:cstheme="minorBidi"/>
          <w:b w:val="0"/>
          <w:noProof/>
          <w:sz w:val="22"/>
          <w:szCs w:val="22"/>
        </w:rPr>
      </w:pPr>
      <w:hyperlink w:anchor="_Toc506884975" w:history="1">
        <w:r w:rsidR="007A094C" w:rsidRPr="00611A94">
          <w:rPr>
            <w:rStyle w:val="Hypertextovodkaz"/>
            <w:noProof/>
            <w:spacing w:val="20"/>
          </w:rPr>
          <w:t>ODDÍL 2</w:t>
        </w:r>
        <w:r w:rsidR="007A094C">
          <w:rPr>
            <w:rFonts w:asciiTheme="minorHAnsi" w:eastAsiaTheme="minorEastAsia" w:hAnsiTheme="minorHAnsi" w:cstheme="minorBidi"/>
            <w:b w:val="0"/>
            <w:noProof/>
            <w:sz w:val="22"/>
            <w:szCs w:val="22"/>
          </w:rPr>
          <w:tab/>
        </w:r>
        <w:r w:rsidR="007A094C" w:rsidRPr="00611A94">
          <w:rPr>
            <w:rStyle w:val="Hypertextovodkaz"/>
            <w:noProof/>
          </w:rPr>
          <w:t>Prioritní osy</w:t>
        </w:r>
        <w:r w:rsidR="007A094C">
          <w:rPr>
            <w:noProof/>
            <w:webHidden/>
          </w:rPr>
          <w:tab/>
        </w:r>
        <w:r w:rsidR="007A094C">
          <w:rPr>
            <w:noProof/>
            <w:webHidden/>
          </w:rPr>
          <w:fldChar w:fldCharType="begin"/>
        </w:r>
        <w:r w:rsidR="007A094C">
          <w:rPr>
            <w:noProof/>
            <w:webHidden/>
          </w:rPr>
          <w:instrText xml:space="preserve"> PAGEREF _Toc506884975 \h </w:instrText>
        </w:r>
        <w:r w:rsidR="007A094C">
          <w:rPr>
            <w:noProof/>
            <w:webHidden/>
          </w:rPr>
        </w:r>
        <w:r w:rsidR="007A094C">
          <w:rPr>
            <w:noProof/>
            <w:webHidden/>
          </w:rPr>
          <w:fldChar w:fldCharType="separate"/>
        </w:r>
        <w:r w:rsidR="007A094C">
          <w:rPr>
            <w:noProof/>
            <w:webHidden/>
          </w:rPr>
          <w:t>56</w:t>
        </w:r>
        <w:r w:rsidR="007A094C">
          <w:rPr>
            <w:noProof/>
            <w:webHidden/>
          </w:rPr>
          <w:fldChar w:fldCharType="end"/>
        </w:r>
      </w:hyperlink>
    </w:p>
    <w:p w14:paraId="2E790EED" w14:textId="77777777" w:rsidR="007A094C" w:rsidRDefault="00580034">
      <w:pPr>
        <w:pStyle w:val="Obsah1"/>
        <w:tabs>
          <w:tab w:val="left" w:pos="600"/>
          <w:tab w:val="right" w:leader="dot" w:pos="9202"/>
        </w:tabs>
        <w:rPr>
          <w:rFonts w:asciiTheme="minorHAnsi" w:eastAsiaTheme="minorEastAsia" w:hAnsiTheme="minorHAnsi" w:cstheme="minorBidi"/>
          <w:b w:val="0"/>
          <w:noProof/>
          <w:sz w:val="22"/>
          <w:szCs w:val="22"/>
        </w:rPr>
      </w:pPr>
      <w:hyperlink w:anchor="_Toc506884976" w:history="1">
        <w:r w:rsidR="007A094C" w:rsidRPr="00611A94">
          <w:rPr>
            <w:rStyle w:val="Hypertextovodkaz"/>
            <w:noProof/>
          </w:rPr>
          <w:t>2.A</w:t>
        </w:r>
        <w:r w:rsidR="007A094C">
          <w:rPr>
            <w:rFonts w:asciiTheme="minorHAnsi" w:eastAsiaTheme="minorEastAsia" w:hAnsiTheme="minorHAnsi" w:cstheme="minorBidi"/>
            <w:b w:val="0"/>
            <w:noProof/>
            <w:sz w:val="22"/>
            <w:szCs w:val="22"/>
          </w:rPr>
          <w:tab/>
        </w:r>
        <w:r w:rsidR="007A094C" w:rsidRPr="00611A94">
          <w:rPr>
            <w:rStyle w:val="Hypertextovodkaz"/>
            <w:noProof/>
          </w:rPr>
          <w:t>Popis prioritních os jiných než technická pomoc</w:t>
        </w:r>
        <w:r w:rsidR="007A094C">
          <w:rPr>
            <w:noProof/>
            <w:webHidden/>
          </w:rPr>
          <w:tab/>
        </w:r>
        <w:r w:rsidR="007A094C">
          <w:rPr>
            <w:noProof/>
            <w:webHidden/>
          </w:rPr>
          <w:fldChar w:fldCharType="begin"/>
        </w:r>
        <w:r w:rsidR="007A094C">
          <w:rPr>
            <w:noProof/>
            <w:webHidden/>
          </w:rPr>
          <w:instrText xml:space="preserve"> PAGEREF _Toc506884976 \h </w:instrText>
        </w:r>
        <w:r w:rsidR="007A094C">
          <w:rPr>
            <w:noProof/>
            <w:webHidden/>
          </w:rPr>
        </w:r>
        <w:r w:rsidR="007A094C">
          <w:rPr>
            <w:noProof/>
            <w:webHidden/>
          </w:rPr>
          <w:fldChar w:fldCharType="separate"/>
        </w:r>
        <w:r w:rsidR="007A094C">
          <w:rPr>
            <w:noProof/>
            <w:webHidden/>
          </w:rPr>
          <w:t>56</w:t>
        </w:r>
        <w:r w:rsidR="007A094C">
          <w:rPr>
            <w:noProof/>
            <w:webHidden/>
          </w:rPr>
          <w:fldChar w:fldCharType="end"/>
        </w:r>
      </w:hyperlink>
    </w:p>
    <w:p w14:paraId="753E6A91" w14:textId="77777777" w:rsidR="007A094C" w:rsidRDefault="00580034">
      <w:pPr>
        <w:pStyle w:val="Obsah3"/>
        <w:rPr>
          <w:rFonts w:asciiTheme="minorHAnsi" w:eastAsiaTheme="minorEastAsia" w:hAnsiTheme="minorHAnsi" w:cstheme="minorBidi"/>
          <w:i w:val="0"/>
          <w:sz w:val="22"/>
          <w:szCs w:val="22"/>
        </w:rPr>
      </w:pPr>
      <w:hyperlink w:anchor="_Toc506884977" w:history="1">
        <w:r w:rsidR="007A094C" w:rsidRPr="00611A94">
          <w:rPr>
            <w:rStyle w:val="Hypertextovodkaz"/>
          </w:rPr>
          <w:t>2.A.1</w:t>
        </w:r>
        <w:r w:rsidR="007A094C">
          <w:rPr>
            <w:rFonts w:asciiTheme="minorHAnsi" w:eastAsiaTheme="minorEastAsia" w:hAnsiTheme="minorHAnsi" w:cstheme="minorBidi"/>
            <w:i w:val="0"/>
            <w:sz w:val="22"/>
            <w:szCs w:val="22"/>
          </w:rPr>
          <w:tab/>
        </w:r>
        <w:r w:rsidR="007A094C" w:rsidRPr="00611A94">
          <w:rPr>
            <w:rStyle w:val="Hypertextovodkaz"/>
          </w:rPr>
          <w:t>PRIORITNÍ OSA 1: Rozvoj výzkumu a vývoje pro inovace</w:t>
        </w:r>
        <w:r w:rsidR="007A094C">
          <w:rPr>
            <w:webHidden/>
          </w:rPr>
          <w:tab/>
        </w:r>
        <w:r w:rsidR="007A094C">
          <w:rPr>
            <w:webHidden/>
          </w:rPr>
          <w:fldChar w:fldCharType="begin"/>
        </w:r>
        <w:r w:rsidR="007A094C">
          <w:rPr>
            <w:webHidden/>
          </w:rPr>
          <w:instrText xml:space="preserve"> PAGEREF _Toc506884977 \h </w:instrText>
        </w:r>
        <w:r w:rsidR="007A094C">
          <w:rPr>
            <w:webHidden/>
          </w:rPr>
        </w:r>
        <w:r w:rsidR="007A094C">
          <w:rPr>
            <w:webHidden/>
          </w:rPr>
          <w:fldChar w:fldCharType="separate"/>
        </w:r>
        <w:r w:rsidR="007A094C">
          <w:rPr>
            <w:webHidden/>
          </w:rPr>
          <w:t>56</w:t>
        </w:r>
        <w:r w:rsidR="007A094C">
          <w:rPr>
            <w:webHidden/>
          </w:rPr>
          <w:fldChar w:fldCharType="end"/>
        </w:r>
      </w:hyperlink>
    </w:p>
    <w:p w14:paraId="768B4006" w14:textId="77777777" w:rsidR="007A094C" w:rsidRDefault="00580034">
      <w:pPr>
        <w:pStyle w:val="Obsah3"/>
        <w:rPr>
          <w:rFonts w:asciiTheme="minorHAnsi" w:eastAsiaTheme="minorEastAsia" w:hAnsiTheme="minorHAnsi" w:cstheme="minorBidi"/>
          <w:i w:val="0"/>
          <w:sz w:val="22"/>
          <w:szCs w:val="22"/>
        </w:rPr>
      </w:pPr>
      <w:hyperlink w:anchor="_Toc506884978" w:history="1">
        <w:r w:rsidR="007A094C" w:rsidRPr="00611A94">
          <w:rPr>
            <w:rStyle w:val="Hypertextovodkaz"/>
          </w:rPr>
          <w:t>2.A.2</w:t>
        </w:r>
        <w:r w:rsidR="007A094C">
          <w:rPr>
            <w:rFonts w:asciiTheme="minorHAnsi" w:eastAsiaTheme="minorEastAsia" w:hAnsiTheme="minorHAnsi" w:cstheme="minorBidi"/>
            <w:i w:val="0"/>
            <w:sz w:val="22"/>
            <w:szCs w:val="22"/>
          </w:rPr>
          <w:tab/>
        </w:r>
        <w:r w:rsidR="007A094C" w:rsidRPr="00611A94">
          <w:rPr>
            <w:rStyle w:val="Hypertextovodkaz"/>
          </w:rPr>
          <w:t>Odůvodnění pro vytvoření prioritní osy, která zahrnuje více než jednu kategorii regionů nebo více než jeden tematický cíl či fond (použije-li se)</w:t>
        </w:r>
        <w:r w:rsidR="007A094C">
          <w:rPr>
            <w:webHidden/>
          </w:rPr>
          <w:tab/>
        </w:r>
        <w:r w:rsidR="007A094C">
          <w:rPr>
            <w:webHidden/>
          </w:rPr>
          <w:fldChar w:fldCharType="begin"/>
        </w:r>
        <w:r w:rsidR="007A094C">
          <w:rPr>
            <w:webHidden/>
          </w:rPr>
          <w:instrText xml:space="preserve"> PAGEREF _Toc506884978 \h </w:instrText>
        </w:r>
        <w:r w:rsidR="007A094C">
          <w:rPr>
            <w:webHidden/>
          </w:rPr>
        </w:r>
        <w:r w:rsidR="007A094C">
          <w:rPr>
            <w:webHidden/>
          </w:rPr>
          <w:fldChar w:fldCharType="separate"/>
        </w:r>
        <w:r w:rsidR="007A094C">
          <w:rPr>
            <w:webHidden/>
          </w:rPr>
          <w:t>56</w:t>
        </w:r>
        <w:r w:rsidR="007A094C">
          <w:rPr>
            <w:webHidden/>
          </w:rPr>
          <w:fldChar w:fldCharType="end"/>
        </w:r>
      </w:hyperlink>
    </w:p>
    <w:p w14:paraId="5724100D" w14:textId="77777777" w:rsidR="007A094C" w:rsidRDefault="00580034">
      <w:pPr>
        <w:pStyle w:val="Obsah3"/>
        <w:rPr>
          <w:rFonts w:asciiTheme="minorHAnsi" w:eastAsiaTheme="minorEastAsia" w:hAnsiTheme="minorHAnsi" w:cstheme="minorBidi"/>
          <w:i w:val="0"/>
          <w:sz w:val="22"/>
          <w:szCs w:val="22"/>
        </w:rPr>
      </w:pPr>
      <w:hyperlink w:anchor="_Toc506884979" w:history="1">
        <w:r w:rsidR="007A094C" w:rsidRPr="00611A94">
          <w:rPr>
            <w:rStyle w:val="Hypertextovodkaz"/>
          </w:rPr>
          <w:t>2.A.3</w:t>
        </w:r>
        <w:r w:rsidR="007A094C">
          <w:rPr>
            <w:rFonts w:asciiTheme="minorHAnsi" w:eastAsiaTheme="minorEastAsia" w:hAnsiTheme="minorHAnsi" w:cstheme="minorBidi"/>
            <w:i w:val="0"/>
            <w:sz w:val="22"/>
            <w:szCs w:val="22"/>
          </w:rPr>
          <w:tab/>
        </w:r>
        <w:r w:rsidR="007A094C" w:rsidRPr="00611A94">
          <w:rPr>
            <w:rStyle w:val="Hypertextovodkaz"/>
          </w:rPr>
          <w:t>Fond, kategorie regionů a základ pro výpočet podpory Unie</w:t>
        </w:r>
        <w:r w:rsidR="007A094C">
          <w:rPr>
            <w:webHidden/>
          </w:rPr>
          <w:tab/>
        </w:r>
        <w:r w:rsidR="007A094C">
          <w:rPr>
            <w:webHidden/>
          </w:rPr>
          <w:fldChar w:fldCharType="begin"/>
        </w:r>
        <w:r w:rsidR="007A094C">
          <w:rPr>
            <w:webHidden/>
          </w:rPr>
          <w:instrText xml:space="preserve"> PAGEREF _Toc506884979 \h </w:instrText>
        </w:r>
        <w:r w:rsidR="007A094C">
          <w:rPr>
            <w:webHidden/>
          </w:rPr>
        </w:r>
        <w:r w:rsidR="007A094C">
          <w:rPr>
            <w:webHidden/>
          </w:rPr>
          <w:fldChar w:fldCharType="separate"/>
        </w:r>
        <w:r w:rsidR="007A094C">
          <w:rPr>
            <w:webHidden/>
          </w:rPr>
          <w:t>56</w:t>
        </w:r>
        <w:r w:rsidR="007A094C">
          <w:rPr>
            <w:webHidden/>
          </w:rPr>
          <w:fldChar w:fldCharType="end"/>
        </w:r>
      </w:hyperlink>
    </w:p>
    <w:p w14:paraId="1D88B5E4" w14:textId="77777777" w:rsidR="007A094C" w:rsidRDefault="00580034">
      <w:pPr>
        <w:pStyle w:val="Obsah3"/>
        <w:rPr>
          <w:rFonts w:asciiTheme="minorHAnsi" w:eastAsiaTheme="minorEastAsia" w:hAnsiTheme="minorHAnsi" w:cstheme="minorBidi"/>
          <w:i w:val="0"/>
          <w:sz w:val="22"/>
          <w:szCs w:val="22"/>
        </w:rPr>
      </w:pPr>
      <w:hyperlink w:anchor="_Toc506884980" w:history="1">
        <w:r w:rsidR="007A094C" w:rsidRPr="00611A94">
          <w:rPr>
            <w:rStyle w:val="Hypertextovodkaz"/>
          </w:rPr>
          <w:t>2.A.4</w:t>
        </w:r>
        <w:r w:rsidR="007A094C">
          <w:rPr>
            <w:rFonts w:asciiTheme="minorHAnsi" w:eastAsiaTheme="minorEastAsia" w:hAnsiTheme="minorHAnsi" w:cstheme="minorBidi"/>
            <w:i w:val="0"/>
            <w:sz w:val="22"/>
            <w:szCs w:val="22"/>
          </w:rPr>
          <w:tab/>
        </w:r>
        <w:r w:rsidR="007A094C" w:rsidRPr="00611A94">
          <w:rPr>
            <w:rStyle w:val="Hypertextovodkaz"/>
          </w:rPr>
          <w:t>INVESTIČNÍ PRIORITA 1 prioritní osy 1: Podpora podnikových investic do výzkumu a inovací a vytváření vazeb a součinnosti mezi podniky, středisky výzkumu a vývoje a odvětvím vysokoškolského vzdělávání, zejména podpora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oblasti klíčových technologií a šíření technologií pro všeobecné použití</w:t>
        </w:r>
        <w:r w:rsidR="007A094C">
          <w:rPr>
            <w:webHidden/>
          </w:rPr>
          <w:tab/>
        </w:r>
        <w:r w:rsidR="007A094C">
          <w:rPr>
            <w:webHidden/>
          </w:rPr>
          <w:fldChar w:fldCharType="begin"/>
        </w:r>
        <w:r w:rsidR="007A094C">
          <w:rPr>
            <w:webHidden/>
          </w:rPr>
          <w:instrText xml:space="preserve"> PAGEREF _Toc506884980 \h </w:instrText>
        </w:r>
        <w:r w:rsidR="007A094C">
          <w:rPr>
            <w:webHidden/>
          </w:rPr>
        </w:r>
        <w:r w:rsidR="007A094C">
          <w:rPr>
            <w:webHidden/>
          </w:rPr>
          <w:fldChar w:fldCharType="separate"/>
        </w:r>
        <w:r w:rsidR="007A094C">
          <w:rPr>
            <w:webHidden/>
          </w:rPr>
          <w:t>56</w:t>
        </w:r>
        <w:r w:rsidR="007A094C">
          <w:rPr>
            <w:webHidden/>
          </w:rPr>
          <w:fldChar w:fldCharType="end"/>
        </w:r>
      </w:hyperlink>
    </w:p>
    <w:p w14:paraId="20B6A646" w14:textId="77777777" w:rsidR="007A094C" w:rsidRDefault="00580034">
      <w:pPr>
        <w:pStyle w:val="Obsah3"/>
        <w:rPr>
          <w:rFonts w:asciiTheme="minorHAnsi" w:eastAsiaTheme="minorEastAsia" w:hAnsiTheme="minorHAnsi" w:cstheme="minorBidi"/>
          <w:i w:val="0"/>
          <w:sz w:val="22"/>
          <w:szCs w:val="22"/>
        </w:rPr>
      </w:pPr>
      <w:hyperlink w:anchor="_Toc506884981"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_Toc506884981 \h </w:instrText>
        </w:r>
        <w:r w:rsidR="007A094C">
          <w:rPr>
            <w:webHidden/>
          </w:rPr>
        </w:r>
        <w:r w:rsidR="007A094C">
          <w:rPr>
            <w:webHidden/>
          </w:rPr>
          <w:fldChar w:fldCharType="separate"/>
        </w:r>
        <w:r w:rsidR="007A094C">
          <w:rPr>
            <w:webHidden/>
          </w:rPr>
          <w:t>56</w:t>
        </w:r>
        <w:r w:rsidR="007A094C">
          <w:rPr>
            <w:webHidden/>
          </w:rPr>
          <w:fldChar w:fldCharType="end"/>
        </w:r>
      </w:hyperlink>
    </w:p>
    <w:p w14:paraId="1A1598FC" w14:textId="77777777" w:rsidR="007A094C" w:rsidRDefault="00580034">
      <w:pPr>
        <w:pStyle w:val="Obsah3"/>
        <w:rPr>
          <w:rFonts w:asciiTheme="minorHAnsi" w:eastAsiaTheme="minorEastAsia" w:hAnsiTheme="minorHAnsi" w:cstheme="minorBidi"/>
          <w:i w:val="0"/>
          <w:sz w:val="22"/>
          <w:szCs w:val="22"/>
        </w:rPr>
      </w:pPr>
      <w:hyperlink w:anchor="_Toc506884982"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_Toc506884982 \h </w:instrText>
        </w:r>
        <w:r w:rsidR="007A094C">
          <w:rPr>
            <w:webHidden/>
          </w:rPr>
        </w:r>
        <w:r w:rsidR="007A094C">
          <w:rPr>
            <w:webHidden/>
          </w:rPr>
          <w:fldChar w:fldCharType="separate"/>
        </w:r>
        <w:r w:rsidR="007A094C">
          <w:rPr>
            <w:webHidden/>
          </w:rPr>
          <w:t>58</w:t>
        </w:r>
        <w:r w:rsidR="007A094C">
          <w:rPr>
            <w:webHidden/>
          </w:rPr>
          <w:fldChar w:fldCharType="end"/>
        </w:r>
      </w:hyperlink>
    </w:p>
    <w:p w14:paraId="499AAEF3" w14:textId="77777777" w:rsidR="007A094C" w:rsidRDefault="00580034">
      <w:pPr>
        <w:pStyle w:val="Obsah3"/>
        <w:rPr>
          <w:rFonts w:asciiTheme="minorHAnsi" w:eastAsiaTheme="minorEastAsia" w:hAnsiTheme="minorHAnsi" w:cstheme="minorBidi"/>
          <w:i w:val="0"/>
          <w:sz w:val="22"/>
          <w:szCs w:val="22"/>
        </w:rPr>
      </w:pPr>
      <w:hyperlink w:anchor="_Toc506884983"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_Toc506884983 \h </w:instrText>
        </w:r>
        <w:r w:rsidR="007A094C">
          <w:rPr>
            <w:webHidden/>
          </w:rPr>
        </w:r>
        <w:r w:rsidR="007A094C">
          <w:rPr>
            <w:webHidden/>
          </w:rPr>
          <w:fldChar w:fldCharType="separate"/>
        </w:r>
        <w:r w:rsidR="007A094C">
          <w:rPr>
            <w:webHidden/>
          </w:rPr>
          <w:t>60</w:t>
        </w:r>
        <w:r w:rsidR="007A094C">
          <w:rPr>
            <w:webHidden/>
          </w:rPr>
          <w:fldChar w:fldCharType="end"/>
        </w:r>
      </w:hyperlink>
    </w:p>
    <w:p w14:paraId="4E366AFB" w14:textId="77777777" w:rsidR="007A094C" w:rsidRDefault="00580034">
      <w:pPr>
        <w:pStyle w:val="Obsah3"/>
        <w:rPr>
          <w:rFonts w:asciiTheme="minorHAnsi" w:eastAsiaTheme="minorEastAsia" w:hAnsiTheme="minorHAnsi" w:cstheme="minorBidi"/>
          <w:i w:val="0"/>
          <w:sz w:val="22"/>
          <w:szCs w:val="22"/>
        </w:rPr>
      </w:pPr>
      <w:hyperlink w:anchor="_Toc506884984"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_Toc506884984 \h </w:instrText>
        </w:r>
        <w:r w:rsidR="007A094C">
          <w:rPr>
            <w:webHidden/>
          </w:rPr>
        </w:r>
        <w:r w:rsidR="007A094C">
          <w:rPr>
            <w:webHidden/>
          </w:rPr>
          <w:fldChar w:fldCharType="separate"/>
        </w:r>
        <w:r w:rsidR="007A094C">
          <w:rPr>
            <w:webHidden/>
          </w:rPr>
          <w:t>62</w:t>
        </w:r>
        <w:r w:rsidR="007A094C">
          <w:rPr>
            <w:webHidden/>
          </w:rPr>
          <w:fldChar w:fldCharType="end"/>
        </w:r>
      </w:hyperlink>
    </w:p>
    <w:p w14:paraId="18B2FCB2" w14:textId="77777777" w:rsidR="007A094C" w:rsidRDefault="00580034">
      <w:pPr>
        <w:pStyle w:val="Obsah3"/>
        <w:rPr>
          <w:rFonts w:asciiTheme="minorHAnsi" w:eastAsiaTheme="minorEastAsia" w:hAnsiTheme="minorHAnsi" w:cstheme="minorBidi"/>
          <w:i w:val="0"/>
          <w:sz w:val="22"/>
          <w:szCs w:val="22"/>
        </w:rPr>
      </w:pPr>
      <w:hyperlink w:anchor="_Toc506884985" w:history="1">
        <w:r w:rsidR="007A094C" w:rsidRPr="00611A94">
          <w:rPr>
            <w:rStyle w:val="Hypertextovodkaz"/>
          </w:rPr>
          <w:t>2.A.7</w:t>
        </w:r>
        <w:r w:rsidR="007A094C">
          <w:rPr>
            <w:rFonts w:asciiTheme="minorHAnsi" w:eastAsiaTheme="minorEastAsia" w:hAnsiTheme="minorHAnsi" w:cstheme="minorBidi"/>
            <w:i w:val="0"/>
            <w:sz w:val="22"/>
            <w:szCs w:val="22"/>
          </w:rPr>
          <w:tab/>
        </w:r>
        <w:r w:rsidR="007A094C" w:rsidRPr="00611A94">
          <w:rPr>
            <w:rStyle w:val="Hypertextovodkaz"/>
          </w:rPr>
          <w:t>Sociální inovace, nadnárodní spolupráce a přínos k tematickým cílům 1 až 7</w:t>
        </w:r>
        <w:r w:rsidR="007A094C">
          <w:rPr>
            <w:webHidden/>
          </w:rPr>
          <w:tab/>
        </w:r>
        <w:r w:rsidR="007A094C">
          <w:rPr>
            <w:webHidden/>
          </w:rPr>
          <w:fldChar w:fldCharType="begin"/>
        </w:r>
        <w:r w:rsidR="007A094C">
          <w:rPr>
            <w:webHidden/>
          </w:rPr>
          <w:instrText xml:space="preserve"> PAGEREF _Toc506884985 \h </w:instrText>
        </w:r>
        <w:r w:rsidR="007A094C">
          <w:rPr>
            <w:webHidden/>
          </w:rPr>
        </w:r>
        <w:r w:rsidR="007A094C">
          <w:rPr>
            <w:webHidden/>
          </w:rPr>
          <w:fldChar w:fldCharType="separate"/>
        </w:r>
        <w:r w:rsidR="007A094C">
          <w:rPr>
            <w:webHidden/>
          </w:rPr>
          <w:t>68</w:t>
        </w:r>
        <w:r w:rsidR="007A094C">
          <w:rPr>
            <w:webHidden/>
          </w:rPr>
          <w:fldChar w:fldCharType="end"/>
        </w:r>
      </w:hyperlink>
    </w:p>
    <w:p w14:paraId="25950684" w14:textId="77777777" w:rsidR="007A094C" w:rsidRDefault="00580034">
      <w:pPr>
        <w:pStyle w:val="Obsah3"/>
        <w:rPr>
          <w:rFonts w:asciiTheme="minorHAnsi" w:eastAsiaTheme="minorEastAsia" w:hAnsiTheme="minorHAnsi" w:cstheme="minorBidi"/>
          <w:i w:val="0"/>
          <w:sz w:val="22"/>
          <w:szCs w:val="22"/>
        </w:rPr>
      </w:pPr>
      <w:hyperlink w:anchor="_Toc506884986" w:history="1">
        <w:r w:rsidR="007A094C" w:rsidRPr="00611A94">
          <w:rPr>
            <w:rStyle w:val="Hypertextovodkaz"/>
          </w:rPr>
          <w:t>2.A.8</w:t>
        </w:r>
        <w:r w:rsidR="007A094C">
          <w:rPr>
            <w:rFonts w:asciiTheme="minorHAnsi" w:eastAsiaTheme="minorEastAsia" w:hAnsiTheme="minorHAnsi" w:cstheme="minorBidi"/>
            <w:i w:val="0"/>
            <w:sz w:val="22"/>
            <w:szCs w:val="22"/>
          </w:rPr>
          <w:tab/>
        </w:r>
        <w:r w:rsidR="007A094C" w:rsidRPr="00611A94">
          <w:rPr>
            <w:rStyle w:val="Hypertextovodkaz"/>
          </w:rPr>
          <w:t>Výkonnostní rámec</w:t>
        </w:r>
        <w:r w:rsidR="007A094C">
          <w:rPr>
            <w:webHidden/>
          </w:rPr>
          <w:tab/>
        </w:r>
        <w:r w:rsidR="007A094C">
          <w:rPr>
            <w:webHidden/>
          </w:rPr>
          <w:fldChar w:fldCharType="begin"/>
        </w:r>
        <w:r w:rsidR="007A094C">
          <w:rPr>
            <w:webHidden/>
          </w:rPr>
          <w:instrText xml:space="preserve"> PAGEREF _Toc506884986 \h </w:instrText>
        </w:r>
        <w:r w:rsidR="007A094C">
          <w:rPr>
            <w:webHidden/>
          </w:rPr>
        </w:r>
        <w:r w:rsidR="007A094C">
          <w:rPr>
            <w:webHidden/>
          </w:rPr>
          <w:fldChar w:fldCharType="separate"/>
        </w:r>
        <w:r w:rsidR="007A094C">
          <w:rPr>
            <w:webHidden/>
          </w:rPr>
          <w:t>69</w:t>
        </w:r>
        <w:r w:rsidR="007A094C">
          <w:rPr>
            <w:webHidden/>
          </w:rPr>
          <w:fldChar w:fldCharType="end"/>
        </w:r>
      </w:hyperlink>
    </w:p>
    <w:p w14:paraId="6127C53A" w14:textId="77777777" w:rsidR="007A094C" w:rsidRDefault="00580034">
      <w:pPr>
        <w:pStyle w:val="Obsah3"/>
        <w:rPr>
          <w:rFonts w:asciiTheme="minorHAnsi" w:eastAsiaTheme="minorEastAsia" w:hAnsiTheme="minorHAnsi" w:cstheme="minorBidi"/>
          <w:i w:val="0"/>
          <w:sz w:val="22"/>
          <w:szCs w:val="22"/>
        </w:rPr>
      </w:pPr>
      <w:hyperlink w:anchor="_Toc506884987" w:history="1">
        <w:r w:rsidR="007A094C" w:rsidRPr="00611A94">
          <w:rPr>
            <w:rStyle w:val="Hypertextovodkaz"/>
          </w:rPr>
          <w:t>2.A.9</w:t>
        </w:r>
        <w:r w:rsidR="007A094C">
          <w:rPr>
            <w:rFonts w:asciiTheme="minorHAnsi" w:eastAsiaTheme="minorEastAsia" w:hAnsiTheme="minorHAnsi" w:cstheme="minorBidi"/>
            <w:i w:val="0"/>
            <w:sz w:val="22"/>
            <w:szCs w:val="22"/>
          </w:rPr>
          <w:tab/>
        </w:r>
        <w:r w:rsidR="007A094C" w:rsidRPr="00611A94">
          <w:rPr>
            <w:rStyle w:val="Hypertextovodkaz"/>
          </w:rPr>
          <w:t>Kategorie zásahů</w:t>
        </w:r>
        <w:r w:rsidR="007A094C">
          <w:rPr>
            <w:webHidden/>
          </w:rPr>
          <w:tab/>
        </w:r>
        <w:r w:rsidR="007A094C">
          <w:rPr>
            <w:webHidden/>
          </w:rPr>
          <w:fldChar w:fldCharType="begin"/>
        </w:r>
        <w:r w:rsidR="007A094C">
          <w:rPr>
            <w:webHidden/>
          </w:rPr>
          <w:instrText xml:space="preserve"> PAGEREF _Toc506884987 \h </w:instrText>
        </w:r>
        <w:r w:rsidR="007A094C">
          <w:rPr>
            <w:webHidden/>
          </w:rPr>
        </w:r>
        <w:r w:rsidR="007A094C">
          <w:rPr>
            <w:webHidden/>
          </w:rPr>
          <w:fldChar w:fldCharType="separate"/>
        </w:r>
        <w:r w:rsidR="007A094C">
          <w:rPr>
            <w:webHidden/>
          </w:rPr>
          <w:t>72</w:t>
        </w:r>
        <w:r w:rsidR="007A094C">
          <w:rPr>
            <w:webHidden/>
          </w:rPr>
          <w:fldChar w:fldCharType="end"/>
        </w:r>
      </w:hyperlink>
    </w:p>
    <w:p w14:paraId="4DC622A7" w14:textId="77777777" w:rsidR="007A094C" w:rsidRDefault="00580034">
      <w:pPr>
        <w:pStyle w:val="Obsah3"/>
        <w:rPr>
          <w:rFonts w:asciiTheme="minorHAnsi" w:eastAsiaTheme="minorEastAsia" w:hAnsiTheme="minorHAnsi" w:cstheme="minorBidi"/>
          <w:i w:val="0"/>
          <w:sz w:val="22"/>
          <w:szCs w:val="22"/>
        </w:rPr>
      </w:pPr>
      <w:hyperlink w:anchor="_Toc506884988" w:history="1">
        <w:r w:rsidR="007A094C" w:rsidRPr="00611A94">
          <w:rPr>
            <w:rStyle w:val="Hypertextovodkaz"/>
          </w:rPr>
          <w:t>2.A.10</w:t>
        </w:r>
        <w:r w:rsidR="007A094C">
          <w:rPr>
            <w:rFonts w:asciiTheme="minorHAnsi" w:eastAsiaTheme="minorEastAsia" w:hAnsiTheme="minorHAnsi" w:cstheme="minorBidi"/>
            <w:i w:val="0"/>
            <w:sz w:val="22"/>
            <w:szCs w:val="22"/>
          </w:rPr>
          <w:tab/>
        </w:r>
        <w:r w:rsidR="007A094C" w:rsidRPr="00611A94">
          <w:rPr>
            <w:rStyle w:val="Hypertextovodkaz"/>
          </w:rPr>
          <w:t>Přehled plánovaného využití technické pomoci, je-li to nutné, včetně opatření na posílení správní kapacity orgánů zapojených do řízení a kontroly programů a příjemců (použije-li se)</w:t>
        </w:r>
        <w:r w:rsidR="007A094C">
          <w:rPr>
            <w:webHidden/>
          </w:rPr>
          <w:tab/>
        </w:r>
        <w:r w:rsidR="007A094C">
          <w:rPr>
            <w:webHidden/>
          </w:rPr>
          <w:fldChar w:fldCharType="begin"/>
        </w:r>
        <w:r w:rsidR="007A094C">
          <w:rPr>
            <w:webHidden/>
          </w:rPr>
          <w:instrText xml:space="preserve"> PAGEREF _Toc506884988 \h </w:instrText>
        </w:r>
        <w:r w:rsidR="007A094C">
          <w:rPr>
            <w:webHidden/>
          </w:rPr>
        </w:r>
        <w:r w:rsidR="007A094C">
          <w:rPr>
            <w:webHidden/>
          </w:rPr>
          <w:fldChar w:fldCharType="separate"/>
        </w:r>
        <w:r w:rsidR="007A094C">
          <w:rPr>
            <w:webHidden/>
          </w:rPr>
          <w:t>72</w:t>
        </w:r>
        <w:r w:rsidR="007A094C">
          <w:rPr>
            <w:webHidden/>
          </w:rPr>
          <w:fldChar w:fldCharType="end"/>
        </w:r>
      </w:hyperlink>
    </w:p>
    <w:p w14:paraId="452C3FAD" w14:textId="77777777" w:rsidR="007A094C" w:rsidRDefault="00580034">
      <w:pPr>
        <w:pStyle w:val="Obsah3"/>
        <w:rPr>
          <w:rFonts w:asciiTheme="minorHAnsi" w:eastAsiaTheme="minorEastAsia" w:hAnsiTheme="minorHAnsi" w:cstheme="minorBidi"/>
          <w:i w:val="0"/>
          <w:sz w:val="22"/>
          <w:szCs w:val="22"/>
        </w:rPr>
      </w:pPr>
      <w:hyperlink w:anchor="_Toc506884989" w:history="1">
        <w:r w:rsidR="007A094C" w:rsidRPr="00611A94">
          <w:rPr>
            <w:rStyle w:val="Hypertextovodkaz"/>
          </w:rPr>
          <w:t>2.A.1</w:t>
        </w:r>
        <w:r w:rsidR="007A094C">
          <w:rPr>
            <w:rFonts w:asciiTheme="minorHAnsi" w:eastAsiaTheme="minorEastAsia" w:hAnsiTheme="minorHAnsi" w:cstheme="minorBidi"/>
            <w:i w:val="0"/>
            <w:sz w:val="22"/>
            <w:szCs w:val="22"/>
          </w:rPr>
          <w:tab/>
        </w:r>
        <w:r w:rsidR="007A094C" w:rsidRPr="00611A94">
          <w:rPr>
            <w:rStyle w:val="Hypertextovodkaz"/>
          </w:rPr>
          <w:t>PRIORITNÍ OSA 2: Rozvoj podnikání a konkurenceschopnosti malých a středních podniků</w:t>
        </w:r>
        <w:r w:rsidR="007A094C">
          <w:rPr>
            <w:webHidden/>
          </w:rPr>
          <w:tab/>
        </w:r>
        <w:r w:rsidR="007A094C">
          <w:rPr>
            <w:webHidden/>
          </w:rPr>
          <w:fldChar w:fldCharType="begin"/>
        </w:r>
        <w:r w:rsidR="007A094C">
          <w:rPr>
            <w:webHidden/>
          </w:rPr>
          <w:instrText xml:space="preserve"> PAGEREF _Toc506884989 \h </w:instrText>
        </w:r>
        <w:r w:rsidR="007A094C">
          <w:rPr>
            <w:webHidden/>
          </w:rPr>
        </w:r>
        <w:r w:rsidR="007A094C">
          <w:rPr>
            <w:webHidden/>
          </w:rPr>
          <w:fldChar w:fldCharType="separate"/>
        </w:r>
        <w:r w:rsidR="007A094C">
          <w:rPr>
            <w:webHidden/>
          </w:rPr>
          <w:t>73</w:t>
        </w:r>
        <w:r w:rsidR="007A094C">
          <w:rPr>
            <w:webHidden/>
          </w:rPr>
          <w:fldChar w:fldCharType="end"/>
        </w:r>
      </w:hyperlink>
    </w:p>
    <w:p w14:paraId="4D93B5F9" w14:textId="77777777" w:rsidR="007A094C" w:rsidRDefault="00580034">
      <w:pPr>
        <w:pStyle w:val="Obsah3"/>
        <w:rPr>
          <w:rFonts w:asciiTheme="minorHAnsi" w:eastAsiaTheme="minorEastAsia" w:hAnsiTheme="minorHAnsi" w:cstheme="minorBidi"/>
          <w:i w:val="0"/>
          <w:sz w:val="22"/>
          <w:szCs w:val="22"/>
        </w:rPr>
      </w:pPr>
      <w:hyperlink w:anchor="_Toc506884990" w:history="1">
        <w:r w:rsidR="007A094C" w:rsidRPr="00611A94">
          <w:rPr>
            <w:rStyle w:val="Hypertextovodkaz"/>
          </w:rPr>
          <w:t>2.A.2</w:t>
        </w:r>
        <w:r w:rsidR="007A094C">
          <w:rPr>
            <w:rFonts w:asciiTheme="minorHAnsi" w:eastAsiaTheme="minorEastAsia" w:hAnsiTheme="minorHAnsi" w:cstheme="minorBidi"/>
            <w:i w:val="0"/>
            <w:sz w:val="22"/>
            <w:szCs w:val="22"/>
          </w:rPr>
          <w:tab/>
        </w:r>
        <w:r w:rsidR="007A094C" w:rsidRPr="00611A94">
          <w:rPr>
            <w:rStyle w:val="Hypertextovodkaz"/>
          </w:rPr>
          <w:t>Odůvodnění pro vytvoření prioritní osy, která zahrnuje více než jednu kategorii regionů nebo více než jeden tematický cíl či fond (použije-li se)</w:t>
        </w:r>
        <w:r w:rsidR="007A094C">
          <w:rPr>
            <w:webHidden/>
          </w:rPr>
          <w:tab/>
        </w:r>
        <w:r w:rsidR="007A094C">
          <w:rPr>
            <w:webHidden/>
          </w:rPr>
          <w:fldChar w:fldCharType="begin"/>
        </w:r>
        <w:r w:rsidR="007A094C">
          <w:rPr>
            <w:webHidden/>
          </w:rPr>
          <w:instrText xml:space="preserve"> PAGEREF _Toc506884990 \h </w:instrText>
        </w:r>
        <w:r w:rsidR="007A094C">
          <w:rPr>
            <w:webHidden/>
          </w:rPr>
        </w:r>
        <w:r w:rsidR="007A094C">
          <w:rPr>
            <w:webHidden/>
          </w:rPr>
          <w:fldChar w:fldCharType="separate"/>
        </w:r>
        <w:r w:rsidR="007A094C">
          <w:rPr>
            <w:webHidden/>
          </w:rPr>
          <w:t>73</w:t>
        </w:r>
        <w:r w:rsidR="007A094C">
          <w:rPr>
            <w:webHidden/>
          </w:rPr>
          <w:fldChar w:fldCharType="end"/>
        </w:r>
      </w:hyperlink>
    </w:p>
    <w:p w14:paraId="36B90167" w14:textId="77777777" w:rsidR="007A094C" w:rsidRDefault="00580034">
      <w:pPr>
        <w:pStyle w:val="Obsah3"/>
        <w:rPr>
          <w:rFonts w:asciiTheme="minorHAnsi" w:eastAsiaTheme="minorEastAsia" w:hAnsiTheme="minorHAnsi" w:cstheme="minorBidi"/>
          <w:i w:val="0"/>
          <w:sz w:val="22"/>
          <w:szCs w:val="22"/>
        </w:rPr>
      </w:pPr>
      <w:hyperlink w:anchor="_Toc506884991" w:history="1">
        <w:r w:rsidR="007A094C" w:rsidRPr="00611A94">
          <w:rPr>
            <w:rStyle w:val="Hypertextovodkaz"/>
          </w:rPr>
          <w:t>2.A.3</w:t>
        </w:r>
        <w:r w:rsidR="007A094C">
          <w:rPr>
            <w:rFonts w:asciiTheme="minorHAnsi" w:eastAsiaTheme="minorEastAsia" w:hAnsiTheme="minorHAnsi" w:cstheme="minorBidi"/>
            <w:i w:val="0"/>
            <w:sz w:val="22"/>
            <w:szCs w:val="22"/>
          </w:rPr>
          <w:tab/>
        </w:r>
        <w:r w:rsidR="007A094C" w:rsidRPr="00611A94">
          <w:rPr>
            <w:rStyle w:val="Hypertextovodkaz"/>
          </w:rPr>
          <w:t>Fond, kategorie regionů a základ pro výpočet podpory Unie</w:t>
        </w:r>
        <w:r w:rsidR="007A094C">
          <w:rPr>
            <w:webHidden/>
          </w:rPr>
          <w:tab/>
        </w:r>
        <w:r w:rsidR="007A094C">
          <w:rPr>
            <w:webHidden/>
          </w:rPr>
          <w:fldChar w:fldCharType="begin"/>
        </w:r>
        <w:r w:rsidR="007A094C">
          <w:rPr>
            <w:webHidden/>
          </w:rPr>
          <w:instrText xml:space="preserve"> PAGEREF _Toc506884991 \h </w:instrText>
        </w:r>
        <w:r w:rsidR="007A094C">
          <w:rPr>
            <w:webHidden/>
          </w:rPr>
        </w:r>
        <w:r w:rsidR="007A094C">
          <w:rPr>
            <w:webHidden/>
          </w:rPr>
          <w:fldChar w:fldCharType="separate"/>
        </w:r>
        <w:r w:rsidR="007A094C">
          <w:rPr>
            <w:webHidden/>
          </w:rPr>
          <w:t>73</w:t>
        </w:r>
        <w:r w:rsidR="007A094C">
          <w:rPr>
            <w:webHidden/>
          </w:rPr>
          <w:fldChar w:fldCharType="end"/>
        </w:r>
      </w:hyperlink>
    </w:p>
    <w:p w14:paraId="72778E21" w14:textId="77777777" w:rsidR="007A094C" w:rsidRDefault="00580034">
      <w:pPr>
        <w:pStyle w:val="Obsah3"/>
        <w:rPr>
          <w:rFonts w:asciiTheme="minorHAnsi" w:eastAsiaTheme="minorEastAsia" w:hAnsiTheme="minorHAnsi" w:cstheme="minorBidi"/>
          <w:i w:val="0"/>
          <w:sz w:val="22"/>
          <w:szCs w:val="22"/>
        </w:rPr>
      </w:pPr>
      <w:hyperlink w:anchor="_Toc506884992" w:history="1">
        <w:r w:rsidR="007A094C" w:rsidRPr="00611A94">
          <w:rPr>
            <w:rStyle w:val="Hypertextovodkaz"/>
          </w:rPr>
          <w:t>2.A.4</w:t>
        </w:r>
        <w:r w:rsidR="007A094C">
          <w:rPr>
            <w:rFonts w:asciiTheme="minorHAnsi" w:eastAsiaTheme="minorEastAsia" w:hAnsiTheme="minorHAnsi" w:cstheme="minorBidi"/>
            <w:i w:val="0"/>
            <w:sz w:val="22"/>
            <w:szCs w:val="22"/>
          </w:rPr>
          <w:tab/>
        </w:r>
        <w:r w:rsidR="007A094C" w:rsidRPr="00611A94">
          <w:rPr>
            <w:rStyle w:val="Hypertextovodkaz"/>
          </w:rPr>
          <w:t>INVESTIČNÍ PRIORITA 1 prioritní osy 2: Podpora podnikání, zejména usnadněním hospodářského využívání nových myšlenek a podporou zakládání nových firem, mimo jiné prostřednictvím podnikatelských inkubátorů</w:t>
        </w:r>
        <w:r w:rsidR="007A094C">
          <w:rPr>
            <w:webHidden/>
          </w:rPr>
          <w:tab/>
        </w:r>
        <w:r w:rsidR="007A094C">
          <w:rPr>
            <w:webHidden/>
          </w:rPr>
          <w:fldChar w:fldCharType="begin"/>
        </w:r>
        <w:r w:rsidR="007A094C">
          <w:rPr>
            <w:webHidden/>
          </w:rPr>
          <w:instrText xml:space="preserve"> PAGEREF _Toc506884992 \h </w:instrText>
        </w:r>
        <w:r w:rsidR="007A094C">
          <w:rPr>
            <w:webHidden/>
          </w:rPr>
        </w:r>
        <w:r w:rsidR="007A094C">
          <w:rPr>
            <w:webHidden/>
          </w:rPr>
          <w:fldChar w:fldCharType="separate"/>
        </w:r>
        <w:r w:rsidR="007A094C">
          <w:rPr>
            <w:webHidden/>
          </w:rPr>
          <w:t>73</w:t>
        </w:r>
        <w:r w:rsidR="007A094C">
          <w:rPr>
            <w:webHidden/>
          </w:rPr>
          <w:fldChar w:fldCharType="end"/>
        </w:r>
      </w:hyperlink>
    </w:p>
    <w:p w14:paraId="6F946D4A" w14:textId="77777777" w:rsidR="007A094C" w:rsidRDefault="00580034">
      <w:pPr>
        <w:pStyle w:val="Obsah3"/>
        <w:rPr>
          <w:rFonts w:asciiTheme="minorHAnsi" w:eastAsiaTheme="minorEastAsia" w:hAnsiTheme="minorHAnsi" w:cstheme="minorBidi"/>
          <w:i w:val="0"/>
          <w:sz w:val="22"/>
          <w:szCs w:val="22"/>
        </w:rPr>
      </w:pPr>
      <w:hyperlink w:anchor="_Toc506884993"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_Toc506884993 \h </w:instrText>
        </w:r>
        <w:r w:rsidR="007A094C">
          <w:rPr>
            <w:webHidden/>
          </w:rPr>
        </w:r>
        <w:r w:rsidR="007A094C">
          <w:rPr>
            <w:webHidden/>
          </w:rPr>
          <w:fldChar w:fldCharType="separate"/>
        </w:r>
        <w:r w:rsidR="007A094C">
          <w:rPr>
            <w:webHidden/>
          </w:rPr>
          <w:t>73</w:t>
        </w:r>
        <w:r w:rsidR="007A094C">
          <w:rPr>
            <w:webHidden/>
          </w:rPr>
          <w:fldChar w:fldCharType="end"/>
        </w:r>
      </w:hyperlink>
    </w:p>
    <w:p w14:paraId="2C319FE7" w14:textId="77777777" w:rsidR="007A094C" w:rsidRDefault="00580034">
      <w:pPr>
        <w:pStyle w:val="Obsah3"/>
        <w:rPr>
          <w:rFonts w:asciiTheme="minorHAnsi" w:eastAsiaTheme="minorEastAsia" w:hAnsiTheme="minorHAnsi" w:cstheme="minorBidi"/>
          <w:i w:val="0"/>
          <w:sz w:val="22"/>
          <w:szCs w:val="22"/>
        </w:rPr>
      </w:pPr>
      <w:hyperlink w:anchor="_Toc506884994"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_Toc506884994 \h </w:instrText>
        </w:r>
        <w:r w:rsidR="007A094C">
          <w:rPr>
            <w:webHidden/>
          </w:rPr>
        </w:r>
        <w:r w:rsidR="007A094C">
          <w:rPr>
            <w:webHidden/>
          </w:rPr>
          <w:fldChar w:fldCharType="separate"/>
        </w:r>
        <w:r w:rsidR="007A094C">
          <w:rPr>
            <w:webHidden/>
          </w:rPr>
          <w:t>74</w:t>
        </w:r>
        <w:r w:rsidR="007A094C">
          <w:rPr>
            <w:webHidden/>
          </w:rPr>
          <w:fldChar w:fldCharType="end"/>
        </w:r>
      </w:hyperlink>
    </w:p>
    <w:p w14:paraId="06D029AD" w14:textId="77777777" w:rsidR="007A094C" w:rsidRDefault="00580034">
      <w:pPr>
        <w:pStyle w:val="Obsah3"/>
        <w:rPr>
          <w:rFonts w:asciiTheme="minorHAnsi" w:eastAsiaTheme="minorEastAsia" w:hAnsiTheme="minorHAnsi" w:cstheme="minorBidi"/>
          <w:i w:val="0"/>
          <w:sz w:val="22"/>
          <w:szCs w:val="22"/>
        </w:rPr>
      </w:pPr>
      <w:hyperlink w:anchor="_Toc506884995" w:history="1">
        <w:r w:rsidR="007A094C" w:rsidRPr="00611A94">
          <w:rPr>
            <w:rStyle w:val="Hypertextovodkaz"/>
          </w:rPr>
          <w:t>2.A.4</w:t>
        </w:r>
        <w:r w:rsidR="007A094C">
          <w:rPr>
            <w:rFonts w:asciiTheme="minorHAnsi" w:eastAsiaTheme="minorEastAsia" w:hAnsiTheme="minorHAnsi" w:cstheme="minorBidi"/>
            <w:i w:val="0"/>
            <w:sz w:val="22"/>
            <w:szCs w:val="22"/>
          </w:rPr>
          <w:tab/>
        </w:r>
        <w:r w:rsidR="007A094C" w:rsidRPr="00611A94">
          <w:rPr>
            <w:rStyle w:val="Hypertextovodkaz"/>
          </w:rPr>
          <w:t>INVESTIČNÍ PRIORITA 2 prioritní osy 2: Vyvíjení a provádění nových obchodních modelů pro MSP, zejména pro oblast mezinárodního obchodu</w:t>
        </w:r>
        <w:r w:rsidR="007A094C">
          <w:rPr>
            <w:webHidden/>
          </w:rPr>
          <w:tab/>
        </w:r>
        <w:r w:rsidR="007A094C">
          <w:rPr>
            <w:webHidden/>
          </w:rPr>
          <w:fldChar w:fldCharType="begin"/>
        </w:r>
        <w:r w:rsidR="007A094C">
          <w:rPr>
            <w:webHidden/>
          </w:rPr>
          <w:instrText xml:space="preserve"> PAGEREF _Toc506884995 \h </w:instrText>
        </w:r>
        <w:r w:rsidR="007A094C">
          <w:rPr>
            <w:webHidden/>
          </w:rPr>
        </w:r>
        <w:r w:rsidR="007A094C">
          <w:rPr>
            <w:webHidden/>
          </w:rPr>
          <w:fldChar w:fldCharType="separate"/>
        </w:r>
        <w:r w:rsidR="007A094C">
          <w:rPr>
            <w:webHidden/>
          </w:rPr>
          <w:t>78</w:t>
        </w:r>
        <w:r w:rsidR="007A094C">
          <w:rPr>
            <w:webHidden/>
          </w:rPr>
          <w:fldChar w:fldCharType="end"/>
        </w:r>
      </w:hyperlink>
    </w:p>
    <w:p w14:paraId="7ADB93A2" w14:textId="77777777" w:rsidR="007A094C" w:rsidRDefault="00580034">
      <w:pPr>
        <w:pStyle w:val="Obsah3"/>
        <w:rPr>
          <w:rFonts w:asciiTheme="minorHAnsi" w:eastAsiaTheme="minorEastAsia" w:hAnsiTheme="minorHAnsi" w:cstheme="minorBidi"/>
          <w:i w:val="0"/>
          <w:sz w:val="22"/>
          <w:szCs w:val="22"/>
        </w:rPr>
      </w:pPr>
      <w:hyperlink w:anchor="_Toc506884996"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_Toc506884996 \h </w:instrText>
        </w:r>
        <w:r w:rsidR="007A094C">
          <w:rPr>
            <w:webHidden/>
          </w:rPr>
        </w:r>
        <w:r w:rsidR="007A094C">
          <w:rPr>
            <w:webHidden/>
          </w:rPr>
          <w:fldChar w:fldCharType="separate"/>
        </w:r>
        <w:r w:rsidR="007A094C">
          <w:rPr>
            <w:webHidden/>
          </w:rPr>
          <w:t>78</w:t>
        </w:r>
        <w:r w:rsidR="007A094C">
          <w:rPr>
            <w:webHidden/>
          </w:rPr>
          <w:fldChar w:fldCharType="end"/>
        </w:r>
      </w:hyperlink>
    </w:p>
    <w:p w14:paraId="54BB9A1F" w14:textId="77777777" w:rsidR="007A094C" w:rsidRDefault="00580034">
      <w:pPr>
        <w:pStyle w:val="Obsah3"/>
        <w:rPr>
          <w:rFonts w:asciiTheme="minorHAnsi" w:eastAsiaTheme="minorEastAsia" w:hAnsiTheme="minorHAnsi" w:cstheme="minorBidi"/>
          <w:i w:val="0"/>
          <w:sz w:val="22"/>
          <w:szCs w:val="22"/>
        </w:rPr>
      </w:pPr>
      <w:hyperlink w:anchor="_Toc506884997"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_Toc506884997 \h </w:instrText>
        </w:r>
        <w:r w:rsidR="007A094C">
          <w:rPr>
            <w:webHidden/>
          </w:rPr>
        </w:r>
        <w:r w:rsidR="007A094C">
          <w:rPr>
            <w:webHidden/>
          </w:rPr>
          <w:fldChar w:fldCharType="separate"/>
        </w:r>
        <w:r w:rsidR="007A094C">
          <w:rPr>
            <w:webHidden/>
          </w:rPr>
          <w:t>79</w:t>
        </w:r>
        <w:r w:rsidR="007A094C">
          <w:rPr>
            <w:webHidden/>
          </w:rPr>
          <w:fldChar w:fldCharType="end"/>
        </w:r>
      </w:hyperlink>
    </w:p>
    <w:p w14:paraId="3C14833C" w14:textId="77777777" w:rsidR="007A094C" w:rsidRDefault="00580034">
      <w:pPr>
        <w:pStyle w:val="Obsah3"/>
        <w:rPr>
          <w:rFonts w:asciiTheme="minorHAnsi" w:eastAsiaTheme="minorEastAsia" w:hAnsiTheme="minorHAnsi" w:cstheme="minorBidi"/>
          <w:i w:val="0"/>
          <w:sz w:val="22"/>
          <w:szCs w:val="22"/>
        </w:rPr>
      </w:pPr>
      <w:hyperlink w:anchor="_Toc506884998" w:history="1">
        <w:r w:rsidR="007A094C" w:rsidRPr="00611A94">
          <w:rPr>
            <w:rStyle w:val="Hypertextovodkaz"/>
          </w:rPr>
          <w:t>2.A.4</w:t>
        </w:r>
        <w:r w:rsidR="007A094C">
          <w:rPr>
            <w:rFonts w:asciiTheme="minorHAnsi" w:eastAsiaTheme="minorEastAsia" w:hAnsiTheme="minorHAnsi" w:cstheme="minorBidi"/>
            <w:i w:val="0"/>
            <w:sz w:val="22"/>
            <w:szCs w:val="22"/>
          </w:rPr>
          <w:tab/>
        </w:r>
        <w:r w:rsidR="007A094C" w:rsidRPr="00611A94">
          <w:rPr>
            <w:rStyle w:val="Hypertextovodkaz"/>
          </w:rPr>
          <w:t>INVESTIČNÍ PRIORITA 3 prioritní osy 2: Podpora vytváření a rozšiřování vyspělých kapacit pro rozvoj produktů a služeb</w:t>
        </w:r>
        <w:r w:rsidR="007A094C">
          <w:rPr>
            <w:webHidden/>
          </w:rPr>
          <w:tab/>
        </w:r>
        <w:r w:rsidR="007A094C">
          <w:rPr>
            <w:webHidden/>
          </w:rPr>
          <w:fldChar w:fldCharType="begin"/>
        </w:r>
        <w:r w:rsidR="007A094C">
          <w:rPr>
            <w:webHidden/>
          </w:rPr>
          <w:instrText xml:space="preserve"> PAGEREF _Toc506884998 \h </w:instrText>
        </w:r>
        <w:r w:rsidR="007A094C">
          <w:rPr>
            <w:webHidden/>
          </w:rPr>
        </w:r>
        <w:r w:rsidR="007A094C">
          <w:rPr>
            <w:webHidden/>
          </w:rPr>
          <w:fldChar w:fldCharType="separate"/>
        </w:r>
        <w:r w:rsidR="007A094C">
          <w:rPr>
            <w:webHidden/>
          </w:rPr>
          <w:t>82</w:t>
        </w:r>
        <w:r w:rsidR="007A094C">
          <w:rPr>
            <w:webHidden/>
          </w:rPr>
          <w:fldChar w:fldCharType="end"/>
        </w:r>
      </w:hyperlink>
    </w:p>
    <w:p w14:paraId="79FB64D1" w14:textId="77777777" w:rsidR="007A094C" w:rsidRDefault="00580034">
      <w:pPr>
        <w:pStyle w:val="Obsah3"/>
        <w:rPr>
          <w:rFonts w:asciiTheme="minorHAnsi" w:eastAsiaTheme="minorEastAsia" w:hAnsiTheme="minorHAnsi" w:cstheme="minorBidi"/>
          <w:i w:val="0"/>
          <w:sz w:val="22"/>
          <w:szCs w:val="22"/>
        </w:rPr>
      </w:pPr>
      <w:hyperlink w:anchor="_Toc506884999"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_Toc506884999 \h </w:instrText>
        </w:r>
        <w:r w:rsidR="007A094C">
          <w:rPr>
            <w:webHidden/>
          </w:rPr>
        </w:r>
        <w:r w:rsidR="007A094C">
          <w:rPr>
            <w:webHidden/>
          </w:rPr>
          <w:fldChar w:fldCharType="separate"/>
        </w:r>
        <w:r w:rsidR="007A094C">
          <w:rPr>
            <w:webHidden/>
          </w:rPr>
          <w:t>82</w:t>
        </w:r>
        <w:r w:rsidR="007A094C">
          <w:rPr>
            <w:webHidden/>
          </w:rPr>
          <w:fldChar w:fldCharType="end"/>
        </w:r>
      </w:hyperlink>
    </w:p>
    <w:p w14:paraId="3C57A5D4" w14:textId="77777777" w:rsidR="007A094C" w:rsidRDefault="00580034">
      <w:pPr>
        <w:pStyle w:val="Obsah3"/>
        <w:rPr>
          <w:rFonts w:asciiTheme="minorHAnsi" w:eastAsiaTheme="minorEastAsia" w:hAnsiTheme="minorHAnsi" w:cstheme="minorBidi"/>
          <w:i w:val="0"/>
          <w:sz w:val="22"/>
          <w:szCs w:val="22"/>
        </w:rPr>
      </w:pPr>
      <w:hyperlink w:anchor="_Toc506885000"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_Toc506885000 \h </w:instrText>
        </w:r>
        <w:r w:rsidR="007A094C">
          <w:rPr>
            <w:webHidden/>
          </w:rPr>
        </w:r>
        <w:r w:rsidR="007A094C">
          <w:rPr>
            <w:webHidden/>
          </w:rPr>
          <w:fldChar w:fldCharType="separate"/>
        </w:r>
        <w:r w:rsidR="007A094C">
          <w:rPr>
            <w:webHidden/>
          </w:rPr>
          <w:t>83</w:t>
        </w:r>
        <w:r w:rsidR="007A094C">
          <w:rPr>
            <w:webHidden/>
          </w:rPr>
          <w:fldChar w:fldCharType="end"/>
        </w:r>
      </w:hyperlink>
    </w:p>
    <w:p w14:paraId="09819242" w14:textId="77777777" w:rsidR="007A094C" w:rsidRDefault="00580034">
      <w:pPr>
        <w:pStyle w:val="Obsah3"/>
        <w:rPr>
          <w:rFonts w:asciiTheme="minorHAnsi" w:eastAsiaTheme="minorEastAsia" w:hAnsiTheme="minorHAnsi" w:cstheme="minorBidi"/>
          <w:i w:val="0"/>
          <w:sz w:val="22"/>
          <w:szCs w:val="22"/>
        </w:rPr>
      </w:pPr>
      <w:hyperlink w:anchor="_Toc506885001"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_Toc506885001 \h </w:instrText>
        </w:r>
        <w:r w:rsidR="007A094C">
          <w:rPr>
            <w:webHidden/>
          </w:rPr>
        </w:r>
        <w:r w:rsidR="007A094C">
          <w:rPr>
            <w:webHidden/>
          </w:rPr>
          <w:fldChar w:fldCharType="separate"/>
        </w:r>
        <w:r w:rsidR="007A094C">
          <w:rPr>
            <w:webHidden/>
          </w:rPr>
          <w:t>84</w:t>
        </w:r>
        <w:r w:rsidR="007A094C">
          <w:rPr>
            <w:webHidden/>
          </w:rPr>
          <w:fldChar w:fldCharType="end"/>
        </w:r>
      </w:hyperlink>
    </w:p>
    <w:p w14:paraId="4AD49217" w14:textId="77777777" w:rsidR="007A094C" w:rsidRDefault="00580034">
      <w:pPr>
        <w:pStyle w:val="Obsah3"/>
        <w:rPr>
          <w:rFonts w:asciiTheme="minorHAnsi" w:eastAsiaTheme="minorEastAsia" w:hAnsiTheme="minorHAnsi" w:cstheme="minorBidi"/>
          <w:i w:val="0"/>
          <w:sz w:val="22"/>
          <w:szCs w:val="22"/>
        </w:rPr>
      </w:pPr>
      <w:hyperlink w:anchor="_Toc506885002"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_Toc506885002 \h </w:instrText>
        </w:r>
        <w:r w:rsidR="007A094C">
          <w:rPr>
            <w:webHidden/>
          </w:rPr>
        </w:r>
        <w:r w:rsidR="007A094C">
          <w:rPr>
            <w:webHidden/>
          </w:rPr>
          <w:fldChar w:fldCharType="separate"/>
        </w:r>
        <w:r w:rsidR="007A094C">
          <w:rPr>
            <w:webHidden/>
          </w:rPr>
          <w:t>86</w:t>
        </w:r>
        <w:r w:rsidR="007A094C">
          <w:rPr>
            <w:webHidden/>
          </w:rPr>
          <w:fldChar w:fldCharType="end"/>
        </w:r>
      </w:hyperlink>
    </w:p>
    <w:p w14:paraId="57F56B53" w14:textId="77777777" w:rsidR="007A094C" w:rsidRDefault="00580034">
      <w:pPr>
        <w:pStyle w:val="Obsah3"/>
        <w:rPr>
          <w:rFonts w:asciiTheme="minorHAnsi" w:eastAsiaTheme="minorEastAsia" w:hAnsiTheme="minorHAnsi" w:cstheme="minorBidi"/>
          <w:i w:val="0"/>
          <w:sz w:val="22"/>
          <w:szCs w:val="22"/>
        </w:rPr>
      </w:pPr>
      <w:hyperlink w:anchor="_Toc506885003" w:history="1">
        <w:r w:rsidR="007A094C" w:rsidRPr="00611A94">
          <w:rPr>
            <w:rStyle w:val="Hypertextovodkaz"/>
          </w:rPr>
          <w:t>2.A.7</w:t>
        </w:r>
        <w:r w:rsidR="007A094C">
          <w:rPr>
            <w:rFonts w:asciiTheme="minorHAnsi" w:eastAsiaTheme="minorEastAsia" w:hAnsiTheme="minorHAnsi" w:cstheme="minorBidi"/>
            <w:i w:val="0"/>
            <w:sz w:val="22"/>
            <w:szCs w:val="22"/>
          </w:rPr>
          <w:tab/>
        </w:r>
        <w:r w:rsidR="007A094C" w:rsidRPr="00611A94">
          <w:rPr>
            <w:rStyle w:val="Hypertextovodkaz"/>
          </w:rPr>
          <w:t>Sociální inovace, nadnárodní spolupráce a přínos k tematickým cílům 1 až 7</w:t>
        </w:r>
        <w:r w:rsidR="007A094C">
          <w:rPr>
            <w:webHidden/>
          </w:rPr>
          <w:tab/>
        </w:r>
        <w:r w:rsidR="007A094C">
          <w:rPr>
            <w:webHidden/>
          </w:rPr>
          <w:fldChar w:fldCharType="begin"/>
        </w:r>
        <w:r w:rsidR="007A094C">
          <w:rPr>
            <w:webHidden/>
          </w:rPr>
          <w:instrText xml:space="preserve"> PAGEREF _Toc506885003 \h </w:instrText>
        </w:r>
        <w:r w:rsidR="007A094C">
          <w:rPr>
            <w:webHidden/>
          </w:rPr>
        </w:r>
        <w:r w:rsidR="007A094C">
          <w:rPr>
            <w:webHidden/>
          </w:rPr>
          <w:fldChar w:fldCharType="separate"/>
        </w:r>
        <w:r w:rsidR="007A094C">
          <w:rPr>
            <w:webHidden/>
          </w:rPr>
          <w:t>89</w:t>
        </w:r>
        <w:r w:rsidR="007A094C">
          <w:rPr>
            <w:webHidden/>
          </w:rPr>
          <w:fldChar w:fldCharType="end"/>
        </w:r>
      </w:hyperlink>
    </w:p>
    <w:p w14:paraId="7D23295D" w14:textId="77777777" w:rsidR="007A094C" w:rsidRDefault="00580034">
      <w:pPr>
        <w:pStyle w:val="Obsah3"/>
        <w:rPr>
          <w:rFonts w:asciiTheme="minorHAnsi" w:eastAsiaTheme="minorEastAsia" w:hAnsiTheme="minorHAnsi" w:cstheme="minorBidi"/>
          <w:i w:val="0"/>
          <w:sz w:val="22"/>
          <w:szCs w:val="22"/>
        </w:rPr>
      </w:pPr>
      <w:hyperlink w:anchor="_Toc506885004" w:history="1">
        <w:r w:rsidR="007A094C" w:rsidRPr="00611A94">
          <w:rPr>
            <w:rStyle w:val="Hypertextovodkaz"/>
          </w:rPr>
          <w:t>2.A.8</w:t>
        </w:r>
        <w:r w:rsidR="007A094C">
          <w:rPr>
            <w:rFonts w:asciiTheme="minorHAnsi" w:eastAsiaTheme="minorEastAsia" w:hAnsiTheme="minorHAnsi" w:cstheme="minorBidi"/>
            <w:i w:val="0"/>
            <w:sz w:val="22"/>
            <w:szCs w:val="22"/>
          </w:rPr>
          <w:tab/>
        </w:r>
        <w:r w:rsidR="007A094C" w:rsidRPr="00611A94">
          <w:rPr>
            <w:rStyle w:val="Hypertextovodkaz"/>
          </w:rPr>
          <w:t>Výkonnostní rámec</w:t>
        </w:r>
        <w:r w:rsidR="007A094C">
          <w:rPr>
            <w:webHidden/>
          </w:rPr>
          <w:tab/>
        </w:r>
        <w:r w:rsidR="007A094C">
          <w:rPr>
            <w:webHidden/>
          </w:rPr>
          <w:fldChar w:fldCharType="begin"/>
        </w:r>
        <w:r w:rsidR="007A094C">
          <w:rPr>
            <w:webHidden/>
          </w:rPr>
          <w:instrText xml:space="preserve"> PAGEREF _Toc506885004 \h </w:instrText>
        </w:r>
        <w:r w:rsidR="007A094C">
          <w:rPr>
            <w:webHidden/>
          </w:rPr>
        </w:r>
        <w:r w:rsidR="007A094C">
          <w:rPr>
            <w:webHidden/>
          </w:rPr>
          <w:fldChar w:fldCharType="separate"/>
        </w:r>
        <w:r w:rsidR="007A094C">
          <w:rPr>
            <w:webHidden/>
          </w:rPr>
          <w:t>90</w:t>
        </w:r>
        <w:r w:rsidR="007A094C">
          <w:rPr>
            <w:webHidden/>
          </w:rPr>
          <w:fldChar w:fldCharType="end"/>
        </w:r>
      </w:hyperlink>
    </w:p>
    <w:p w14:paraId="48F6C94C" w14:textId="77777777" w:rsidR="007A094C" w:rsidRDefault="00580034">
      <w:pPr>
        <w:pStyle w:val="Obsah3"/>
        <w:rPr>
          <w:rFonts w:asciiTheme="minorHAnsi" w:eastAsiaTheme="minorEastAsia" w:hAnsiTheme="minorHAnsi" w:cstheme="minorBidi"/>
          <w:i w:val="0"/>
          <w:sz w:val="22"/>
          <w:szCs w:val="22"/>
        </w:rPr>
      </w:pPr>
      <w:hyperlink w:anchor="_Toc506885005" w:history="1">
        <w:r w:rsidR="007A094C" w:rsidRPr="00611A94">
          <w:rPr>
            <w:rStyle w:val="Hypertextovodkaz"/>
          </w:rPr>
          <w:t>2.A.9</w:t>
        </w:r>
        <w:r w:rsidR="007A094C">
          <w:rPr>
            <w:rFonts w:asciiTheme="minorHAnsi" w:eastAsiaTheme="minorEastAsia" w:hAnsiTheme="minorHAnsi" w:cstheme="minorBidi"/>
            <w:i w:val="0"/>
            <w:sz w:val="22"/>
            <w:szCs w:val="22"/>
          </w:rPr>
          <w:tab/>
        </w:r>
        <w:r w:rsidR="007A094C" w:rsidRPr="00611A94">
          <w:rPr>
            <w:rStyle w:val="Hypertextovodkaz"/>
          </w:rPr>
          <w:t>Kategorie zásahů</w:t>
        </w:r>
        <w:r w:rsidR="007A094C">
          <w:rPr>
            <w:webHidden/>
          </w:rPr>
          <w:tab/>
        </w:r>
        <w:r w:rsidR="007A094C">
          <w:rPr>
            <w:webHidden/>
          </w:rPr>
          <w:fldChar w:fldCharType="begin"/>
        </w:r>
        <w:r w:rsidR="007A094C">
          <w:rPr>
            <w:webHidden/>
          </w:rPr>
          <w:instrText xml:space="preserve"> PAGEREF _Toc506885005 \h </w:instrText>
        </w:r>
        <w:r w:rsidR="007A094C">
          <w:rPr>
            <w:webHidden/>
          </w:rPr>
        </w:r>
        <w:r w:rsidR="007A094C">
          <w:rPr>
            <w:webHidden/>
          </w:rPr>
          <w:fldChar w:fldCharType="separate"/>
        </w:r>
        <w:r w:rsidR="007A094C">
          <w:rPr>
            <w:webHidden/>
          </w:rPr>
          <w:t>93</w:t>
        </w:r>
        <w:r w:rsidR="007A094C">
          <w:rPr>
            <w:webHidden/>
          </w:rPr>
          <w:fldChar w:fldCharType="end"/>
        </w:r>
      </w:hyperlink>
    </w:p>
    <w:p w14:paraId="3E9553D5" w14:textId="77777777" w:rsidR="007A094C" w:rsidRDefault="00580034">
      <w:pPr>
        <w:pStyle w:val="Obsah3"/>
        <w:rPr>
          <w:rFonts w:asciiTheme="minorHAnsi" w:eastAsiaTheme="minorEastAsia" w:hAnsiTheme="minorHAnsi" w:cstheme="minorBidi"/>
          <w:i w:val="0"/>
          <w:sz w:val="22"/>
          <w:szCs w:val="22"/>
        </w:rPr>
      </w:pPr>
      <w:hyperlink w:anchor="_Toc506885006" w:history="1">
        <w:r w:rsidR="007A094C" w:rsidRPr="00611A94">
          <w:rPr>
            <w:rStyle w:val="Hypertextovodkaz"/>
          </w:rPr>
          <w:t>2.A.10</w:t>
        </w:r>
        <w:r w:rsidR="007A094C">
          <w:rPr>
            <w:rFonts w:asciiTheme="minorHAnsi" w:eastAsiaTheme="minorEastAsia" w:hAnsiTheme="minorHAnsi" w:cstheme="minorBidi"/>
            <w:i w:val="0"/>
            <w:sz w:val="22"/>
            <w:szCs w:val="22"/>
          </w:rPr>
          <w:tab/>
        </w:r>
        <w:r w:rsidR="007A094C" w:rsidRPr="00611A94">
          <w:rPr>
            <w:rStyle w:val="Hypertextovodkaz"/>
          </w:rPr>
          <w:t>Přehled plánovaného využití technické pomoci, je-li to nutné, včetně opatření na posílení správní kapacity orgánů zapojených do řízení a kontroly programů a příjemců (použije-li se)</w:t>
        </w:r>
        <w:r w:rsidR="007A094C">
          <w:rPr>
            <w:webHidden/>
          </w:rPr>
          <w:tab/>
        </w:r>
        <w:r w:rsidR="007A094C">
          <w:rPr>
            <w:webHidden/>
          </w:rPr>
          <w:fldChar w:fldCharType="begin"/>
        </w:r>
        <w:r w:rsidR="007A094C">
          <w:rPr>
            <w:webHidden/>
          </w:rPr>
          <w:instrText xml:space="preserve"> PAGEREF _Toc506885006 \h </w:instrText>
        </w:r>
        <w:r w:rsidR="007A094C">
          <w:rPr>
            <w:webHidden/>
          </w:rPr>
        </w:r>
        <w:r w:rsidR="007A094C">
          <w:rPr>
            <w:webHidden/>
          </w:rPr>
          <w:fldChar w:fldCharType="separate"/>
        </w:r>
        <w:r w:rsidR="007A094C">
          <w:rPr>
            <w:webHidden/>
          </w:rPr>
          <w:t>93</w:t>
        </w:r>
        <w:r w:rsidR="007A094C">
          <w:rPr>
            <w:webHidden/>
          </w:rPr>
          <w:fldChar w:fldCharType="end"/>
        </w:r>
      </w:hyperlink>
    </w:p>
    <w:p w14:paraId="01BDE973" w14:textId="77777777" w:rsidR="007A094C" w:rsidRDefault="00580034">
      <w:pPr>
        <w:pStyle w:val="Obsah3"/>
        <w:rPr>
          <w:rFonts w:asciiTheme="minorHAnsi" w:eastAsiaTheme="minorEastAsia" w:hAnsiTheme="minorHAnsi" w:cstheme="minorBidi"/>
          <w:i w:val="0"/>
          <w:sz w:val="22"/>
          <w:szCs w:val="22"/>
        </w:rPr>
      </w:pPr>
      <w:hyperlink w:anchor="_Toc506885007" w:history="1">
        <w:r w:rsidR="007A094C" w:rsidRPr="00611A94">
          <w:rPr>
            <w:rStyle w:val="Hypertextovodkaz"/>
          </w:rPr>
          <w:t>2.A.1</w:t>
        </w:r>
        <w:r w:rsidR="007A094C">
          <w:rPr>
            <w:rFonts w:asciiTheme="minorHAnsi" w:eastAsiaTheme="minorEastAsia" w:hAnsiTheme="minorHAnsi" w:cstheme="minorBidi"/>
            <w:i w:val="0"/>
            <w:sz w:val="22"/>
            <w:szCs w:val="22"/>
          </w:rPr>
          <w:tab/>
        </w:r>
        <w:r w:rsidR="007A094C" w:rsidRPr="00611A94">
          <w:rPr>
            <w:rStyle w:val="Hypertextovodkaz"/>
          </w:rPr>
          <w:t>PRIORITNÍ OSA 3: Účinné nakládání energií, rozvoj energetické infrastruktury a obnovitelných zdrojů energie, podpora zavádění nových technologií v oblasti nakládání energií a druhotných surovin</w:t>
        </w:r>
        <w:r w:rsidR="007A094C">
          <w:rPr>
            <w:webHidden/>
          </w:rPr>
          <w:tab/>
        </w:r>
        <w:r w:rsidR="007A094C">
          <w:rPr>
            <w:webHidden/>
          </w:rPr>
          <w:fldChar w:fldCharType="begin"/>
        </w:r>
        <w:r w:rsidR="007A094C">
          <w:rPr>
            <w:webHidden/>
          </w:rPr>
          <w:instrText xml:space="preserve"> PAGEREF _Toc506885007 \h </w:instrText>
        </w:r>
        <w:r w:rsidR="007A094C">
          <w:rPr>
            <w:webHidden/>
          </w:rPr>
        </w:r>
        <w:r w:rsidR="007A094C">
          <w:rPr>
            <w:webHidden/>
          </w:rPr>
          <w:fldChar w:fldCharType="separate"/>
        </w:r>
        <w:r w:rsidR="007A094C">
          <w:rPr>
            <w:webHidden/>
          </w:rPr>
          <w:t>94</w:t>
        </w:r>
        <w:r w:rsidR="007A094C">
          <w:rPr>
            <w:webHidden/>
          </w:rPr>
          <w:fldChar w:fldCharType="end"/>
        </w:r>
      </w:hyperlink>
    </w:p>
    <w:p w14:paraId="6DB196CC" w14:textId="77777777" w:rsidR="007A094C" w:rsidRDefault="00580034">
      <w:pPr>
        <w:pStyle w:val="Obsah3"/>
        <w:rPr>
          <w:rFonts w:asciiTheme="minorHAnsi" w:eastAsiaTheme="minorEastAsia" w:hAnsiTheme="minorHAnsi" w:cstheme="minorBidi"/>
          <w:i w:val="0"/>
          <w:sz w:val="22"/>
          <w:szCs w:val="22"/>
        </w:rPr>
      </w:pPr>
      <w:hyperlink w:anchor="_Toc506885008" w:history="1">
        <w:r w:rsidR="007A094C" w:rsidRPr="00611A94">
          <w:rPr>
            <w:rStyle w:val="Hypertextovodkaz"/>
          </w:rPr>
          <w:t>2.A.2</w:t>
        </w:r>
        <w:r w:rsidR="007A094C">
          <w:rPr>
            <w:rFonts w:asciiTheme="minorHAnsi" w:eastAsiaTheme="minorEastAsia" w:hAnsiTheme="minorHAnsi" w:cstheme="minorBidi"/>
            <w:i w:val="0"/>
            <w:sz w:val="22"/>
            <w:szCs w:val="22"/>
          </w:rPr>
          <w:tab/>
        </w:r>
        <w:r w:rsidR="007A094C" w:rsidRPr="00611A94">
          <w:rPr>
            <w:rStyle w:val="Hypertextovodkaz"/>
          </w:rPr>
          <w:t>Odůvodnění pro vytvoření prioritní osy, která zahrnuje více než jednu kategorii regionů nebo více než jeden tematický cíl či fond</w:t>
        </w:r>
        <w:r w:rsidR="007A094C">
          <w:rPr>
            <w:webHidden/>
          </w:rPr>
          <w:tab/>
        </w:r>
        <w:r w:rsidR="007A094C">
          <w:rPr>
            <w:webHidden/>
          </w:rPr>
          <w:fldChar w:fldCharType="begin"/>
        </w:r>
        <w:r w:rsidR="007A094C">
          <w:rPr>
            <w:webHidden/>
          </w:rPr>
          <w:instrText xml:space="preserve"> PAGEREF _Toc506885008 \h </w:instrText>
        </w:r>
        <w:r w:rsidR="007A094C">
          <w:rPr>
            <w:webHidden/>
          </w:rPr>
        </w:r>
        <w:r w:rsidR="007A094C">
          <w:rPr>
            <w:webHidden/>
          </w:rPr>
          <w:fldChar w:fldCharType="separate"/>
        </w:r>
        <w:r w:rsidR="007A094C">
          <w:rPr>
            <w:webHidden/>
          </w:rPr>
          <w:t>94</w:t>
        </w:r>
        <w:r w:rsidR="007A094C">
          <w:rPr>
            <w:webHidden/>
          </w:rPr>
          <w:fldChar w:fldCharType="end"/>
        </w:r>
      </w:hyperlink>
    </w:p>
    <w:p w14:paraId="50F30EE4" w14:textId="77777777" w:rsidR="007A094C" w:rsidRDefault="00580034">
      <w:pPr>
        <w:pStyle w:val="Obsah3"/>
        <w:rPr>
          <w:rFonts w:asciiTheme="minorHAnsi" w:eastAsiaTheme="minorEastAsia" w:hAnsiTheme="minorHAnsi" w:cstheme="minorBidi"/>
          <w:i w:val="0"/>
          <w:sz w:val="22"/>
          <w:szCs w:val="22"/>
        </w:rPr>
      </w:pPr>
      <w:hyperlink w:anchor="_Toc506885009" w:history="1">
        <w:r w:rsidR="007A094C" w:rsidRPr="00611A94">
          <w:rPr>
            <w:rStyle w:val="Hypertextovodkaz"/>
          </w:rPr>
          <w:t>2.A.3</w:t>
        </w:r>
        <w:r w:rsidR="007A094C">
          <w:rPr>
            <w:rFonts w:asciiTheme="minorHAnsi" w:eastAsiaTheme="minorEastAsia" w:hAnsiTheme="minorHAnsi" w:cstheme="minorBidi"/>
            <w:i w:val="0"/>
            <w:sz w:val="22"/>
            <w:szCs w:val="22"/>
          </w:rPr>
          <w:tab/>
        </w:r>
        <w:r w:rsidR="007A094C" w:rsidRPr="00611A94">
          <w:rPr>
            <w:rStyle w:val="Hypertextovodkaz"/>
          </w:rPr>
          <w:t>Fond, kategorie regionů a základ pro výpočet podpory Unie</w:t>
        </w:r>
        <w:r w:rsidR="007A094C">
          <w:rPr>
            <w:webHidden/>
          </w:rPr>
          <w:tab/>
        </w:r>
        <w:r w:rsidR="007A094C">
          <w:rPr>
            <w:webHidden/>
          </w:rPr>
          <w:fldChar w:fldCharType="begin"/>
        </w:r>
        <w:r w:rsidR="007A094C">
          <w:rPr>
            <w:webHidden/>
          </w:rPr>
          <w:instrText xml:space="preserve"> PAGEREF _Toc506885009 \h </w:instrText>
        </w:r>
        <w:r w:rsidR="007A094C">
          <w:rPr>
            <w:webHidden/>
          </w:rPr>
        </w:r>
        <w:r w:rsidR="007A094C">
          <w:rPr>
            <w:webHidden/>
          </w:rPr>
          <w:fldChar w:fldCharType="separate"/>
        </w:r>
        <w:r w:rsidR="007A094C">
          <w:rPr>
            <w:webHidden/>
          </w:rPr>
          <w:t>94</w:t>
        </w:r>
        <w:r w:rsidR="007A094C">
          <w:rPr>
            <w:webHidden/>
          </w:rPr>
          <w:fldChar w:fldCharType="end"/>
        </w:r>
      </w:hyperlink>
    </w:p>
    <w:p w14:paraId="178F1846" w14:textId="77777777" w:rsidR="007A094C" w:rsidRDefault="00580034">
      <w:pPr>
        <w:pStyle w:val="Obsah3"/>
        <w:rPr>
          <w:rFonts w:asciiTheme="minorHAnsi" w:eastAsiaTheme="minorEastAsia" w:hAnsiTheme="minorHAnsi" w:cstheme="minorBidi"/>
          <w:i w:val="0"/>
          <w:sz w:val="22"/>
          <w:szCs w:val="22"/>
        </w:rPr>
      </w:pPr>
      <w:hyperlink w:anchor="_Toc506885010" w:history="1">
        <w:r w:rsidR="007A094C" w:rsidRPr="00611A94">
          <w:rPr>
            <w:rStyle w:val="Hypertextovodkaz"/>
          </w:rPr>
          <w:t>2.A.4</w:t>
        </w:r>
        <w:r w:rsidR="007A094C">
          <w:rPr>
            <w:rFonts w:asciiTheme="minorHAnsi" w:eastAsiaTheme="minorEastAsia" w:hAnsiTheme="minorHAnsi" w:cstheme="minorBidi"/>
            <w:i w:val="0"/>
            <w:sz w:val="22"/>
            <w:szCs w:val="22"/>
          </w:rPr>
          <w:tab/>
        </w:r>
        <w:r w:rsidR="007A094C" w:rsidRPr="00611A94">
          <w:rPr>
            <w:rStyle w:val="Hypertextovodkaz"/>
          </w:rPr>
          <w:t>INVESTIČNÍ PRIORITA 1 prioritní osy 3: Podpora výroby a distribuce energie pocházející z obnovitelných zdrojů</w:t>
        </w:r>
        <w:r w:rsidR="007A094C">
          <w:rPr>
            <w:webHidden/>
          </w:rPr>
          <w:tab/>
        </w:r>
        <w:r w:rsidR="007A094C">
          <w:rPr>
            <w:webHidden/>
          </w:rPr>
          <w:fldChar w:fldCharType="begin"/>
        </w:r>
        <w:r w:rsidR="007A094C">
          <w:rPr>
            <w:webHidden/>
          </w:rPr>
          <w:instrText xml:space="preserve"> PAGEREF _Toc506885010 \h </w:instrText>
        </w:r>
        <w:r w:rsidR="007A094C">
          <w:rPr>
            <w:webHidden/>
          </w:rPr>
        </w:r>
        <w:r w:rsidR="007A094C">
          <w:rPr>
            <w:webHidden/>
          </w:rPr>
          <w:fldChar w:fldCharType="separate"/>
        </w:r>
        <w:r w:rsidR="007A094C">
          <w:rPr>
            <w:webHidden/>
          </w:rPr>
          <w:t>94</w:t>
        </w:r>
        <w:r w:rsidR="007A094C">
          <w:rPr>
            <w:webHidden/>
          </w:rPr>
          <w:fldChar w:fldCharType="end"/>
        </w:r>
      </w:hyperlink>
    </w:p>
    <w:p w14:paraId="67A2E7EE" w14:textId="77777777" w:rsidR="007A094C" w:rsidRDefault="00580034">
      <w:pPr>
        <w:pStyle w:val="Obsah3"/>
        <w:rPr>
          <w:rFonts w:asciiTheme="minorHAnsi" w:eastAsiaTheme="minorEastAsia" w:hAnsiTheme="minorHAnsi" w:cstheme="minorBidi"/>
          <w:i w:val="0"/>
          <w:sz w:val="22"/>
          <w:szCs w:val="22"/>
        </w:rPr>
      </w:pPr>
      <w:hyperlink w:anchor="_Toc506885011"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_Toc506885011 \h </w:instrText>
        </w:r>
        <w:r w:rsidR="007A094C">
          <w:rPr>
            <w:webHidden/>
          </w:rPr>
        </w:r>
        <w:r w:rsidR="007A094C">
          <w:rPr>
            <w:webHidden/>
          </w:rPr>
          <w:fldChar w:fldCharType="separate"/>
        </w:r>
        <w:r w:rsidR="007A094C">
          <w:rPr>
            <w:webHidden/>
          </w:rPr>
          <w:t>94</w:t>
        </w:r>
        <w:r w:rsidR="007A094C">
          <w:rPr>
            <w:webHidden/>
          </w:rPr>
          <w:fldChar w:fldCharType="end"/>
        </w:r>
      </w:hyperlink>
    </w:p>
    <w:p w14:paraId="6FA87FA2" w14:textId="77777777" w:rsidR="007A094C" w:rsidRDefault="00580034">
      <w:pPr>
        <w:pStyle w:val="Obsah3"/>
        <w:rPr>
          <w:rFonts w:asciiTheme="minorHAnsi" w:eastAsiaTheme="minorEastAsia" w:hAnsiTheme="minorHAnsi" w:cstheme="minorBidi"/>
          <w:i w:val="0"/>
          <w:sz w:val="22"/>
          <w:szCs w:val="22"/>
        </w:rPr>
      </w:pPr>
      <w:hyperlink w:anchor="_Toc506885012"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_Toc506885012 \h </w:instrText>
        </w:r>
        <w:r w:rsidR="007A094C">
          <w:rPr>
            <w:webHidden/>
          </w:rPr>
        </w:r>
        <w:r w:rsidR="007A094C">
          <w:rPr>
            <w:webHidden/>
          </w:rPr>
          <w:fldChar w:fldCharType="separate"/>
        </w:r>
        <w:r w:rsidR="007A094C">
          <w:rPr>
            <w:webHidden/>
          </w:rPr>
          <w:t>95</w:t>
        </w:r>
        <w:r w:rsidR="007A094C">
          <w:rPr>
            <w:webHidden/>
          </w:rPr>
          <w:fldChar w:fldCharType="end"/>
        </w:r>
      </w:hyperlink>
    </w:p>
    <w:p w14:paraId="2E355274" w14:textId="77777777" w:rsidR="007A094C" w:rsidRDefault="00580034">
      <w:pPr>
        <w:pStyle w:val="Obsah3"/>
        <w:rPr>
          <w:rFonts w:asciiTheme="minorHAnsi" w:eastAsiaTheme="minorEastAsia" w:hAnsiTheme="minorHAnsi" w:cstheme="minorBidi"/>
          <w:i w:val="0"/>
          <w:sz w:val="22"/>
          <w:szCs w:val="22"/>
        </w:rPr>
      </w:pPr>
      <w:hyperlink w:anchor="_Toc506885013" w:history="1">
        <w:r w:rsidR="007A094C" w:rsidRPr="00611A94">
          <w:rPr>
            <w:rStyle w:val="Hypertextovodkaz"/>
          </w:rPr>
          <w:t>2.A.4</w:t>
        </w:r>
        <w:r w:rsidR="007A094C">
          <w:rPr>
            <w:rFonts w:asciiTheme="minorHAnsi" w:eastAsiaTheme="minorEastAsia" w:hAnsiTheme="minorHAnsi" w:cstheme="minorBidi"/>
            <w:i w:val="0"/>
            <w:sz w:val="22"/>
            <w:szCs w:val="22"/>
          </w:rPr>
          <w:tab/>
        </w:r>
        <w:r w:rsidR="007A094C" w:rsidRPr="00611A94">
          <w:rPr>
            <w:rStyle w:val="Hypertextovodkaz"/>
          </w:rPr>
          <w:t>INVESTIČNÍ PRIORITA 2 prioritní osy 3: Podpora energetické účinnosti a využívání energie z obnovitelných zdrojů v podnicích</w:t>
        </w:r>
        <w:r w:rsidR="007A094C">
          <w:rPr>
            <w:webHidden/>
          </w:rPr>
          <w:tab/>
        </w:r>
        <w:r w:rsidR="007A094C">
          <w:rPr>
            <w:webHidden/>
          </w:rPr>
          <w:fldChar w:fldCharType="begin"/>
        </w:r>
        <w:r w:rsidR="007A094C">
          <w:rPr>
            <w:webHidden/>
          </w:rPr>
          <w:instrText xml:space="preserve"> PAGEREF _Toc506885013 \h </w:instrText>
        </w:r>
        <w:r w:rsidR="007A094C">
          <w:rPr>
            <w:webHidden/>
          </w:rPr>
        </w:r>
        <w:r w:rsidR="007A094C">
          <w:rPr>
            <w:webHidden/>
          </w:rPr>
          <w:fldChar w:fldCharType="separate"/>
        </w:r>
        <w:r w:rsidR="007A094C">
          <w:rPr>
            <w:webHidden/>
          </w:rPr>
          <w:t>99</w:t>
        </w:r>
        <w:r w:rsidR="007A094C">
          <w:rPr>
            <w:webHidden/>
          </w:rPr>
          <w:fldChar w:fldCharType="end"/>
        </w:r>
      </w:hyperlink>
    </w:p>
    <w:p w14:paraId="4EA8F57F" w14:textId="77777777" w:rsidR="007A094C" w:rsidRDefault="00580034">
      <w:pPr>
        <w:pStyle w:val="Obsah3"/>
        <w:rPr>
          <w:rFonts w:asciiTheme="minorHAnsi" w:eastAsiaTheme="minorEastAsia" w:hAnsiTheme="minorHAnsi" w:cstheme="minorBidi"/>
          <w:i w:val="0"/>
          <w:sz w:val="22"/>
          <w:szCs w:val="22"/>
        </w:rPr>
      </w:pPr>
      <w:hyperlink w:anchor="_Toc506885014"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_Toc506885014 \h </w:instrText>
        </w:r>
        <w:r w:rsidR="007A094C">
          <w:rPr>
            <w:webHidden/>
          </w:rPr>
        </w:r>
        <w:r w:rsidR="007A094C">
          <w:rPr>
            <w:webHidden/>
          </w:rPr>
          <w:fldChar w:fldCharType="separate"/>
        </w:r>
        <w:r w:rsidR="007A094C">
          <w:rPr>
            <w:webHidden/>
          </w:rPr>
          <w:t>99</w:t>
        </w:r>
        <w:r w:rsidR="007A094C">
          <w:rPr>
            <w:webHidden/>
          </w:rPr>
          <w:fldChar w:fldCharType="end"/>
        </w:r>
      </w:hyperlink>
    </w:p>
    <w:p w14:paraId="42DEDC4F" w14:textId="77777777" w:rsidR="007A094C" w:rsidRDefault="00580034">
      <w:pPr>
        <w:pStyle w:val="Obsah3"/>
        <w:rPr>
          <w:rFonts w:asciiTheme="minorHAnsi" w:eastAsiaTheme="minorEastAsia" w:hAnsiTheme="minorHAnsi" w:cstheme="minorBidi"/>
          <w:i w:val="0"/>
          <w:sz w:val="22"/>
          <w:szCs w:val="22"/>
        </w:rPr>
      </w:pPr>
      <w:hyperlink w:anchor="_Toc506885015"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_Toc506885015 \h </w:instrText>
        </w:r>
        <w:r w:rsidR="007A094C">
          <w:rPr>
            <w:webHidden/>
          </w:rPr>
        </w:r>
        <w:r w:rsidR="007A094C">
          <w:rPr>
            <w:webHidden/>
          </w:rPr>
          <w:fldChar w:fldCharType="separate"/>
        </w:r>
        <w:r w:rsidR="007A094C">
          <w:rPr>
            <w:webHidden/>
          </w:rPr>
          <w:t>101</w:t>
        </w:r>
        <w:r w:rsidR="007A094C">
          <w:rPr>
            <w:webHidden/>
          </w:rPr>
          <w:fldChar w:fldCharType="end"/>
        </w:r>
      </w:hyperlink>
    </w:p>
    <w:p w14:paraId="7AB68E00" w14:textId="77777777" w:rsidR="007A094C" w:rsidRDefault="00580034">
      <w:pPr>
        <w:pStyle w:val="Obsah3"/>
        <w:rPr>
          <w:rFonts w:asciiTheme="minorHAnsi" w:eastAsiaTheme="minorEastAsia" w:hAnsiTheme="minorHAnsi" w:cstheme="minorBidi"/>
          <w:i w:val="0"/>
          <w:sz w:val="22"/>
          <w:szCs w:val="22"/>
        </w:rPr>
      </w:pPr>
      <w:hyperlink w:anchor="_Toc506885016" w:history="1">
        <w:r w:rsidR="007A094C" w:rsidRPr="00611A94">
          <w:rPr>
            <w:rStyle w:val="Hypertextovodkaz"/>
          </w:rPr>
          <w:t>2.A.4</w:t>
        </w:r>
        <w:r w:rsidR="007A094C">
          <w:rPr>
            <w:rFonts w:asciiTheme="minorHAnsi" w:eastAsiaTheme="minorEastAsia" w:hAnsiTheme="minorHAnsi" w:cstheme="minorBidi"/>
            <w:i w:val="0"/>
            <w:sz w:val="22"/>
            <w:szCs w:val="22"/>
          </w:rPr>
          <w:tab/>
        </w:r>
        <w:r w:rsidR="007A094C" w:rsidRPr="00611A94">
          <w:rPr>
            <w:rStyle w:val="Hypertextovodkaz"/>
          </w:rPr>
          <w:t>INVESTIČNÍ PRIORITA 3 prioritní osy 3: Rozvoj a zavádění inteligentních distribučních soustav, jež fungují na hladině nízkého a středního napětí</w:t>
        </w:r>
        <w:r w:rsidR="007A094C">
          <w:rPr>
            <w:webHidden/>
          </w:rPr>
          <w:tab/>
        </w:r>
        <w:r w:rsidR="007A094C">
          <w:rPr>
            <w:webHidden/>
          </w:rPr>
          <w:fldChar w:fldCharType="begin"/>
        </w:r>
        <w:r w:rsidR="007A094C">
          <w:rPr>
            <w:webHidden/>
          </w:rPr>
          <w:instrText xml:space="preserve"> PAGEREF _Toc506885016 \h </w:instrText>
        </w:r>
        <w:r w:rsidR="007A094C">
          <w:rPr>
            <w:webHidden/>
          </w:rPr>
        </w:r>
        <w:r w:rsidR="007A094C">
          <w:rPr>
            <w:webHidden/>
          </w:rPr>
          <w:fldChar w:fldCharType="separate"/>
        </w:r>
        <w:r w:rsidR="007A094C">
          <w:rPr>
            <w:webHidden/>
          </w:rPr>
          <w:t>107</w:t>
        </w:r>
        <w:r w:rsidR="007A094C">
          <w:rPr>
            <w:webHidden/>
          </w:rPr>
          <w:fldChar w:fldCharType="end"/>
        </w:r>
      </w:hyperlink>
    </w:p>
    <w:p w14:paraId="487284E5" w14:textId="77777777" w:rsidR="007A094C" w:rsidRDefault="00580034">
      <w:pPr>
        <w:pStyle w:val="Obsah3"/>
        <w:rPr>
          <w:rFonts w:asciiTheme="minorHAnsi" w:eastAsiaTheme="minorEastAsia" w:hAnsiTheme="minorHAnsi" w:cstheme="minorBidi"/>
          <w:i w:val="0"/>
          <w:sz w:val="22"/>
          <w:szCs w:val="22"/>
        </w:rPr>
      </w:pPr>
      <w:hyperlink w:anchor="_Toc506885017"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_Toc506885017 \h </w:instrText>
        </w:r>
        <w:r w:rsidR="007A094C">
          <w:rPr>
            <w:webHidden/>
          </w:rPr>
        </w:r>
        <w:r w:rsidR="007A094C">
          <w:rPr>
            <w:webHidden/>
          </w:rPr>
          <w:fldChar w:fldCharType="separate"/>
        </w:r>
        <w:r w:rsidR="007A094C">
          <w:rPr>
            <w:webHidden/>
          </w:rPr>
          <w:t>107</w:t>
        </w:r>
        <w:r w:rsidR="007A094C">
          <w:rPr>
            <w:webHidden/>
          </w:rPr>
          <w:fldChar w:fldCharType="end"/>
        </w:r>
      </w:hyperlink>
    </w:p>
    <w:p w14:paraId="6C61186F" w14:textId="77777777" w:rsidR="007A094C" w:rsidRDefault="00580034">
      <w:pPr>
        <w:pStyle w:val="Obsah3"/>
        <w:rPr>
          <w:rFonts w:asciiTheme="minorHAnsi" w:eastAsiaTheme="minorEastAsia" w:hAnsiTheme="minorHAnsi" w:cstheme="minorBidi"/>
          <w:i w:val="0"/>
          <w:sz w:val="22"/>
          <w:szCs w:val="22"/>
        </w:rPr>
      </w:pPr>
      <w:hyperlink w:anchor="_Toc506885018"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_Toc506885018 \h </w:instrText>
        </w:r>
        <w:r w:rsidR="007A094C">
          <w:rPr>
            <w:webHidden/>
          </w:rPr>
        </w:r>
        <w:r w:rsidR="007A094C">
          <w:rPr>
            <w:webHidden/>
          </w:rPr>
          <w:fldChar w:fldCharType="separate"/>
        </w:r>
        <w:r w:rsidR="007A094C">
          <w:rPr>
            <w:webHidden/>
          </w:rPr>
          <w:t>108</w:t>
        </w:r>
        <w:r w:rsidR="007A094C">
          <w:rPr>
            <w:webHidden/>
          </w:rPr>
          <w:fldChar w:fldCharType="end"/>
        </w:r>
      </w:hyperlink>
    </w:p>
    <w:p w14:paraId="63F352F5" w14:textId="77777777" w:rsidR="007A094C" w:rsidRDefault="00580034">
      <w:pPr>
        <w:pStyle w:val="Obsah3"/>
        <w:rPr>
          <w:rFonts w:asciiTheme="minorHAnsi" w:eastAsiaTheme="minorEastAsia" w:hAnsiTheme="minorHAnsi" w:cstheme="minorBidi"/>
          <w:i w:val="0"/>
          <w:sz w:val="22"/>
          <w:szCs w:val="22"/>
        </w:rPr>
      </w:pPr>
      <w:hyperlink w:anchor="_Toc506885019" w:history="1">
        <w:r w:rsidR="007A094C" w:rsidRPr="00611A94">
          <w:rPr>
            <w:rStyle w:val="Hypertextovodkaz"/>
          </w:rPr>
          <w:t>2.A.4</w:t>
        </w:r>
        <w:r w:rsidR="007A094C">
          <w:rPr>
            <w:rFonts w:asciiTheme="minorHAnsi" w:eastAsiaTheme="minorEastAsia" w:hAnsiTheme="minorHAnsi" w:cstheme="minorBidi"/>
            <w:i w:val="0"/>
            <w:sz w:val="22"/>
            <w:szCs w:val="22"/>
          </w:rPr>
          <w:tab/>
        </w:r>
        <w:r w:rsidR="007A094C" w:rsidRPr="00611A94">
          <w:rPr>
            <w:rStyle w:val="Hypertextovodkaz"/>
          </w:rPr>
          <w:t>INVESTIČNÍ PRIORITA 4 prioritní osy 3: Podpora výzkumu a inovací a zavádění nízkouhlíkových technologií</w:t>
        </w:r>
        <w:r w:rsidR="007A094C">
          <w:rPr>
            <w:webHidden/>
          </w:rPr>
          <w:tab/>
        </w:r>
        <w:r w:rsidR="007A094C">
          <w:rPr>
            <w:webHidden/>
          </w:rPr>
          <w:fldChar w:fldCharType="begin"/>
        </w:r>
        <w:r w:rsidR="007A094C">
          <w:rPr>
            <w:webHidden/>
          </w:rPr>
          <w:instrText xml:space="preserve"> PAGEREF _Toc506885019 \h </w:instrText>
        </w:r>
        <w:r w:rsidR="007A094C">
          <w:rPr>
            <w:webHidden/>
          </w:rPr>
        </w:r>
        <w:r w:rsidR="007A094C">
          <w:rPr>
            <w:webHidden/>
          </w:rPr>
          <w:fldChar w:fldCharType="separate"/>
        </w:r>
        <w:r w:rsidR="007A094C">
          <w:rPr>
            <w:webHidden/>
          </w:rPr>
          <w:t>111</w:t>
        </w:r>
        <w:r w:rsidR="007A094C">
          <w:rPr>
            <w:webHidden/>
          </w:rPr>
          <w:fldChar w:fldCharType="end"/>
        </w:r>
      </w:hyperlink>
    </w:p>
    <w:p w14:paraId="08C26BEE" w14:textId="77777777" w:rsidR="007A094C" w:rsidRDefault="00580034">
      <w:pPr>
        <w:pStyle w:val="Obsah3"/>
        <w:rPr>
          <w:rFonts w:asciiTheme="minorHAnsi" w:eastAsiaTheme="minorEastAsia" w:hAnsiTheme="minorHAnsi" w:cstheme="minorBidi"/>
          <w:i w:val="0"/>
          <w:sz w:val="22"/>
          <w:szCs w:val="22"/>
        </w:rPr>
      </w:pPr>
      <w:hyperlink w:anchor="_Toc506885020"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_Toc506885020 \h </w:instrText>
        </w:r>
        <w:r w:rsidR="007A094C">
          <w:rPr>
            <w:webHidden/>
          </w:rPr>
        </w:r>
        <w:r w:rsidR="007A094C">
          <w:rPr>
            <w:webHidden/>
          </w:rPr>
          <w:fldChar w:fldCharType="separate"/>
        </w:r>
        <w:r w:rsidR="007A094C">
          <w:rPr>
            <w:webHidden/>
          </w:rPr>
          <w:t>111</w:t>
        </w:r>
        <w:r w:rsidR="007A094C">
          <w:rPr>
            <w:webHidden/>
          </w:rPr>
          <w:fldChar w:fldCharType="end"/>
        </w:r>
      </w:hyperlink>
    </w:p>
    <w:p w14:paraId="25B344A8" w14:textId="77777777" w:rsidR="007A094C" w:rsidRDefault="00580034">
      <w:pPr>
        <w:pStyle w:val="Obsah3"/>
        <w:rPr>
          <w:rFonts w:asciiTheme="minorHAnsi" w:eastAsiaTheme="minorEastAsia" w:hAnsiTheme="minorHAnsi" w:cstheme="minorBidi"/>
          <w:i w:val="0"/>
          <w:sz w:val="22"/>
          <w:szCs w:val="22"/>
        </w:rPr>
      </w:pPr>
      <w:hyperlink w:anchor="_Toc506885021"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_Toc506885021 \h </w:instrText>
        </w:r>
        <w:r w:rsidR="007A094C">
          <w:rPr>
            <w:webHidden/>
          </w:rPr>
        </w:r>
        <w:r w:rsidR="007A094C">
          <w:rPr>
            <w:webHidden/>
          </w:rPr>
          <w:fldChar w:fldCharType="separate"/>
        </w:r>
        <w:r w:rsidR="007A094C">
          <w:rPr>
            <w:webHidden/>
          </w:rPr>
          <w:t>113</w:t>
        </w:r>
        <w:r w:rsidR="007A094C">
          <w:rPr>
            <w:webHidden/>
          </w:rPr>
          <w:fldChar w:fldCharType="end"/>
        </w:r>
      </w:hyperlink>
    </w:p>
    <w:p w14:paraId="695DA789" w14:textId="77777777" w:rsidR="007A094C" w:rsidRDefault="00580034">
      <w:pPr>
        <w:pStyle w:val="Obsah3"/>
        <w:rPr>
          <w:rFonts w:asciiTheme="minorHAnsi" w:eastAsiaTheme="minorEastAsia" w:hAnsiTheme="minorHAnsi" w:cstheme="minorBidi"/>
          <w:i w:val="0"/>
          <w:sz w:val="22"/>
          <w:szCs w:val="22"/>
        </w:rPr>
      </w:pPr>
      <w:hyperlink w:anchor="_Toc506885022" w:history="1">
        <w:r w:rsidR="007A094C" w:rsidRPr="00611A94">
          <w:rPr>
            <w:rStyle w:val="Hypertextovodkaz"/>
          </w:rPr>
          <w:t>2.A.4</w:t>
        </w:r>
        <w:r w:rsidR="007A094C">
          <w:rPr>
            <w:rFonts w:asciiTheme="minorHAnsi" w:eastAsiaTheme="minorEastAsia" w:hAnsiTheme="minorHAnsi" w:cstheme="minorBidi"/>
            <w:i w:val="0"/>
            <w:sz w:val="22"/>
            <w:szCs w:val="22"/>
          </w:rPr>
          <w:tab/>
        </w:r>
        <w:r w:rsidR="007A094C" w:rsidRPr="00611A94">
          <w:rPr>
            <w:rStyle w:val="Hypertextovodkaz"/>
          </w:rPr>
          <w:t>INVESTIČNÍ PRIORITA 5 prioritní osy 3: Podpora využívání vysoce účinné kombinované výroby tepla a elektřiny na základě poptávky po užitečném teple</w:t>
        </w:r>
        <w:r w:rsidR="007A094C">
          <w:rPr>
            <w:webHidden/>
          </w:rPr>
          <w:tab/>
        </w:r>
        <w:r w:rsidR="007A094C">
          <w:rPr>
            <w:webHidden/>
          </w:rPr>
          <w:fldChar w:fldCharType="begin"/>
        </w:r>
        <w:r w:rsidR="007A094C">
          <w:rPr>
            <w:webHidden/>
          </w:rPr>
          <w:instrText xml:space="preserve"> PAGEREF _Toc506885022 \h </w:instrText>
        </w:r>
        <w:r w:rsidR="007A094C">
          <w:rPr>
            <w:webHidden/>
          </w:rPr>
        </w:r>
        <w:r w:rsidR="007A094C">
          <w:rPr>
            <w:webHidden/>
          </w:rPr>
          <w:fldChar w:fldCharType="separate"/>
        </w:r>
        <w:r w:rsidR="007A094C">
          <w:rPr>
            <w:webHidden/>
          </w:rPr>
          <w:t>117</w:t>
        </w:r>
        <w:r w:rsidR="007A094C">
          <w:rPr>
            <w:webHidden/>
          </w:rPr>
          <w:fldChar w:fldCharType="end"/>
        </w:r>
      </w:hyperlink>
    </w:p>
    <w:p w14:paraId="48F1300D" w14:textId="77777777" w:rsidR="007A094C" w:rsidRDefault="00580034">
      <w:pPr>
        <w:pStyle w:val="Obsah3"/>
        <w:rPr>
          <w:rFonts w:asciiTheme="minorHAnsi" w:eastAsiaTheme="minorEastAsia" w:hAnsiTheme="minorHAnsi" w:cstheme="minorBidi"/>
          <w:i w:val="0"/>
          <w:sz w:val="22"/>
          <w:szCs w:val="22"/>
        </w:rPr>
      </w:pPr>
      <w:hyperlink w:anchor="_Toc506885023"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_Toc506885023 \h </w:instrText>
        </w:r>
        <w:r w:rsidR="007A094C">
          <w:rPr>
            <w:webHidden/>
          </w:rPr>
        </w:r>
        <w:r w:rsidR="007A094C">
          <w:rPr>
            <w:webHidden/>
          </w:rPr>
          <w:fldChar w:fldCharType="separate"/>
        </w:r>
        <w:r w:rsidR="007A094C">
          <w:rPr>
            <w:webHidden/>
          </w:rPr>
          <w:t>117</w:t>
        </w:r>
        <w:r w:rsidR="007A094C">
          <w:rPr>
            <w:webHidden/>
          </w:rPr>
          <w:fldChar w:fldCharType="end"/>
        </w:r>
      </w:hyperlink>
    </w:p>
    <w:p w14:paraId="67CD312C" w14:textId="77777777" w:rsidR="007A094C" w:rsidRDefault="00580034">
      <w:pPr>
        <w:pStyle w:val="Obsah3"/>
        <w:rPr>
          <w:rFonts w:asciiTheme="minorHAnsi" w:eastAsiaTheme="minorEastAsia" w:hAnsiTheme="minorHAnsi" w:cstheme="minorBidi"/>
          <w:i w:val="0"/>
          <w:sz w:val="22"/>
          <w:szCs w:val="22"/>
        </w:rPr>
      </w:pPr>
      <w:hyperlink w:anchor="_Toc506885024"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_Toc506885024 \h </w:instrText>
        </w:r>
        <w:r w:rsidR="007A094C">
          <w:rPr>
            <w:webHidden/>
          </w:rPr>
        </w:r>
        <w:r w:rsidR="007A094C">
          <w:rPr>
            <w:webHidden/>
          </w:rPr>
          <w:fldChar w:fldCharType="separate"/>
        </w:r>
        <w:r w:rsidR="007A094C">
          <w:rPr>
            <w:webHidden/>
          </w:rPr>
          <w:t>118</w:t>
        </w:r>
        <w:r w:rsidR="007A094C">
          <w:rPr>
            <w:webHidden/>
          </w:rPr>
          <w:fldChar w:fldCharType="end"/>
        </w:r>
      </w:hyperlink>
    </w:p>
    <w:p w14:paraId="45E445A4" w14:textId="77777777" w:rsidR="007A094C" w:rsidRDefault="00580034">
      <w:pPr>
        <w:pStyle w:val="Obsah3"/>
        <w:rPr>
          <w:rFonts w:asciiTheme="minorHAnsi" w:eastAsiaTheme="minorEastAsia" w:hAnsiTheme="minorHAnsi" w:cstheme="minorBidi"/>
          <w:i w:val="0"/>
          <w:sz w:val="22"/>
          <w:szCs w:val="22"/>
        </w:rPr>
      </w:pPr>
      <w:hyperlink w:anchor="_Toc506885025" w:history="1">
        <w:r w:rsidR="007A094C" w:rsidRPr="00611A94">
          <w:rPr>
            <w:rStyle w:val="Hypertextovodkaz"/>
          </w:rPr>
          <w:t>2.A.4</w:t>
        </w:r>
        <w:r w:rsidR="007A094C">
          <w:rPr>
            <w:rFonts w:asciiTheme="minorHAnsi" w:eastAsiaTheme="minorEastAsia" w:hAnsiTheme="minorHAnsi" w:cstheme="minorBidi"/>
            <w:i w:val="0"/>
            <w:sz w:val="22"/>
            <w:szCs w:val="22"/>
          </w:rPr>
          <w:tab/>
        </w:r>
        <w:r w:rsidR="007A094C" w:rsidRPr="00611A94">
          <w:rPr>
            <w:rStyle w:val="Hypertextovodkaz"/>
          </w:rPr>
          <w:t>INVESTIČNÍ PRIORITA 6 prioritní osy 3: Zvyšování energetické účinnosti a zabezpečení dodávek prostřednictvím rozvoje inteligentních systémů pro distribuci, skladování a přenos energie a prostřednictvím integrace distribuované výroby z obnovitelných zdrojů</w:t>
        </w:r>
        <w:r w:rsidR="007A094C">
          <w:rPr>
            <w:webHidden/>
          </w:rPr>
          <w:tab/>
        </w:r>
        <w:r w:rsidR="007A094C">
          <w:rPr>
            <w:webHidden/>
          </w:rPr>
          <w:fldChar w:fldCharType="begin"/>
        </w:r>
        <w:r w:rsidR="007A094C">
          <w:rPr>
            <w:webHidden/>
          </w:rPr>
          <w:instrText xml:space="preserve"> PAGEREF _Toc506885025 \h </w:instrText>
        </w:r>
        <w:r w:rsidR="007A094C">
          <w:rPr>
            <w:webHidden/>
          </w:rPr>
        </w:r>
        <w:r w:rsidR="007A094C">
          <w:rPr>
            <w:webHidden/>
          </w:rPr>
          <w:fldChar w:fldCharType="separate"/>
        </w:r>
        <w:r w:rsidR="007A094C">
          <w:rPr>
            <w:webHidden/>
          </w:rPr>
          <w:t>123</w:t>
        </w:r>
        <w:r w:rsidR="007A094C">
          <w:rPr>
            <w:webHidden/>
          </w:rPr>
          <w:fldChar w:fldCharType="end"/>
        </w:r>
      </w:hyperlink>
    </w:p>
    <w:p w14:paraId="61508A8E" w14:textId="77777777" w:rsidR="007A094C" w:rsidRDefault="00580034">
      <w:pPr>
        <w:pStyle w:val="Obsah3"/>
        <w:rPr>
          <w:rFonts w:asciiTheme="minorHAnsi" w:eastAsiaTheme="minorEastAsia" w:hAnsiTheme="minorHAnsi" w:cstheme="minorBidi"/>
          <w:i w:val="0"/>
          <w:sz w:val="22"/>
          <w:szCs w:val="22"/>
        </w:rPr>
      </w:pPr>
      <w:hyperlink w:anchor="_Toc506885026"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_Toc506885026 \h </w:instrText>
        </w:r>
        <w:r w:rsidR="007A094C">
          <w:rPr>
            <w:webHidden/>
          </w:rPr>
        </w:r>
        <w:r w:rsidR="007A094C">
          <w:rPr>
            <w:webHidden/>
          </w:rPr>
          <w:fldChar w:fldCharType="separate"/>
        </w:r>
        <w:r w:rsidR="007A094C">
          <w:rPr>
            <w:webHidden/>
          </w:rPr>
          <w:t>123</w:t>
        </w:r>
        <w:r w:rsidR="007A094C">
          <w:rPr>
            <w:webHidden/>
          </w:rPr>
          <w:fldChar w:fldCharType="end"/>
        </w:r>
      </w:hyperlink>
    </w:p>
    <w:p w14:paraId="69E04B97" w14:textId="77777777" w:rsidR="007A094C" w:rsidRDefault="00580034">
      <w:pPr>
        <w:pStyle w:val="Obsah3"/>
        <w:rPr>
          <w:rFonts w:asciiTheme="minorHAnsi" w:eastAsiaTheme="minorEastAsia" w:hAnsiTheme="minorHAnsi" w:cstheme="minorBidi"/>
          <w:i w:val="0"/>
          <w:sz w:val="22"/>
          <w:szCs w:val="22"/>
        </w:rPr>
      </w:pPr>
      <w:hyperlink w:anchor="_Toc506885027"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_Toc506885027 \h </w:instrText>
        </w:r>
        <w:r w:rsidR="007A094C">
          <w:rPr>
            <w:webHidden/>
          </w:rPr>
        </w:r>
        <w:r w:rsidR="007A094C">
          <w:rPr>
            <w:webHidden/>
          </w:rPr>
          <w:fldChar w:fldCharType="separate"/>
        </w:r>
        <w:r w:rsidR="007A094C">
          <w:rPr>
            <w:webHidden/>
          </w:rPr>
          <w:t>124</w:t>
        </w:r>
        <w:r w:rsidR="007A094C">
          <w:rPr>
            <w:webHidden/>
          </w:rPr>
          <w:fldChar w:fldCharType="end"/>
        </w:r>
      </w:hyperlink>
    </w:p>
    <w:p w14:paraId="5CC0D02C" w14:textId="77777777" w:rsidR="007A094C" w:rsidRDefault="00580034">
      <w:pPr>
        <w:pStyle w:val="Obsah3"/>
        <w:rPr>
          <w:rFonts w:asciiTheme="minorHAnsi" w:eastAsiaTheme="minorEastAsia" w:hAnsiTheme="minorHAnsi" w:cstheme="minorBidi"/>
          <w:i w:val="0"/>
          <w:sz w:val="22"/>
          <w:szCs w:val="22"/>
        </w:rPr>
      </w:pPr>
      <w:hyperlink w:anchor="_Toc506885028" w:history="1">
        <w:r w:rsidR="007A094C" w:rsidRPr="00611A94">
          <w:rPr>
            <w:rStyle w:val="Hypertextovodkaz"/>
          </w:rPr>
          <w:t>2.A.7</w:t>
        </w:r>
        <w:r w:rsidR="007A094C">
          <w:rPr>
            <w:rFonts w:asciiTheme="minorHAnsi" w:eastAsiaTheme="minorEastAsia" w:hAnsiTheme="minorHAnsi" w:cstheme="minorBidi"/>
            <w:i w:val="0"/>
            <w:sz w:val="22"/>
            <w:szCs w:val="22"/>
          </w:rPr>
          <w:tab/>
        </w:r>
        <w:r w:rsidR="007A094C" w:rsidRPr="00611A94">
          <w:rPr>
            <w:rStyle w:val="Hypertextovodkaz"/>
          </w:rPr>
          <w:t>Sociální inovace, nadnárodní spolupráce a přínos k tematickým cílům 1 až 7</w:t>
        </w:r>
        <w:r w:rsidR="007A094C">
          <w:rPr>
            <w:webHidden/>
          </w:rPr>
          <w:tab/>
        </w:r>
        <w:r w:rsidR="007A094C">
          <w:rPr>
            <w:webHidden/>
          </w:rPr>
          <w:fldChar w:fldCharType="begin"/>
        </w:r>
        <w:r w:rsidR="007A094C">
          <w:rPr>
            <w:webHidden/>
          </w:rPr>
          <w:instrText xml:space="preserve"> PAGEREF _Toc506885028 \h </w:instrText>
        </w:r>
        <w:r w:rsidR="007A094C">
          <w:rPr>
            <w:webHidden/>
          </w:rPr>
        </w:r>
        <w:r w:rsidR="007A094C">
          <w:rPr>
            <w:webHidden/>
          </w:rPr>
          <w:fldChar w:fldCharType="separate"/>
        </w:r>
        <w:r w:rsidR="007A094C">
          <w:rPr>
            <w:webHidden/>
          </w:rPr>
          <w:t>127</w:t>
        </w:r>
        <w:r w:rsidR="007A094C">
          <w:rPr>
            <w:webHidden/>
          </w:rPr>
          <w:fldChar w:fldCharType="end"/>
        </w:r>
      </w:hyperlink>
    </w:p>
    <w:p w14:paraId="6BFF0C89" w14:textId="77777777" w:rsidR="007A094C" w:rsidRDefault="00580034">
      <w:pPr>
        <w:pStyle w:val="Obsah3"/>
        <w:rPr>
          <w:rFonts w:asciiTheme="minorHAnsi" w:eastAsiaTheme="minorEastAsia" w:hAnsiTheme="minorHAnsi" w:cstheme="minorBidi"/>
          <w:i w:val="0"/>
          <w:sz w:val="22"/>
          <w:szCs w:val="22"/>
        </w:rPr>
      </w:pPr>
      <w:hyperlink w:anchor="_Toc506885029" w:history="1">
        <w:r w:rsidR="007A094C" w:rsidRPr="00611A94">
          <w:rPr>
            <w:rStyle w:val="Hypertextovodkaz"/>
          </w:rPr>
          <w:t>2.A.8</w:t>
        </w:r>
        <w:r w:rsidR="007A094C">
          <w:rPr>
            <w:rFonts w:asciiTheme="minorHAnsi" w:eastAsiaTheme="minorEastAsia" w:hAnsiTheme="minorHAnsi" w:cstheme="minorBidi"/>
            <w:i w:val="0"/>
            <w:sz w:val="22"/>
            <w:szCs w:val="22"/>
          </w:rPr>
          <w:tab/>
        </w:r>
        <w:r w:rsidR="007A094C" w:rsidRPr="00611A94">
          <w:rPr>
            <w:rStyle w:val="Hypertextovodkaz"/>
          </w:rPr>
          <w:t>Výkonnostní rámec</w:t>
        </w:r>
        <w:r w:rsidR="007A094C">
          <w:rPr>
            <w:webHidden/>
          </w:rPr>
          <w:tab/>
        </w:r>
        <w:r w:rsidR="007A094C">
          <w:rPr>
            <w:webHidden/>
          </w:rPr>
          <w:fldChar w:fldCharType="begin"/>
        </w:r>
        <w:r w:rsidR="007A094C">
          <w:rPr>
            <w:webHidden/>
          </w:rPr>
          <w:instrText xml:space="preserve"> PAGEREF _Toc506885029 \h </w:instrText>
        </w:r>
        <w:r w:rsidR="007A094C">
          <w:rPr>
            <w:webHidden/>
          </w:rPr>
        </w:r>
        <w:r w:rsidR="007A094C">
          <w:rPr>
            <w:webHidden/>
          </w:rPr>
          <w:fldChar w:fldCharType="separate"/>
        </w:r>
        <w:r w:rsidR="007A094C">
          <w:rPr>
            <w:webHidden/>
          </w:rPr>
          <w:t>128</w:t>
        </w:r>
        <w:r w:rsidR="007A094C">
          <w:rPr>
            <w:webHidden/>
          </w:rPr>
          <w:fldChar w:fldCharType="end"/>
        </w:r>
      </w:hyperlink>
    </w:p>
    <w:p w14:paraId="3290DAD5" w14:textId="77777777" w:rsidR="007A094C" w:rsidRDefault="00580034">
      <w:pPr>
        <w:pStyle w:val="Obsah3"/>
        <w:rPr>
          <w:rFonts w:asciiTheme="minorHAnsi" w:eastAsiaTheme="minorEastAsia" w:hAnsiTheme="minorHAnsi" w:cstheme="minorBidi"/>
          <w:i w:val="0"/>
          <w:sz w:val="22"/>
          <w:szCs w:val="22"/>
        </w:rPr>
      </w:pPr>
      <w:hyperlink w:anchor="_Toc506885030" w:history="1">
        <w:r w:rsidR="007A094C" w:rsidRPr="00611A94">
          <w:rPr>
            <w:rStyle w:val="Hypertextovodkaz"/>
          </w:rPr>
          <w:t>2.A.9</w:t>
        </w:r>
        <w:r w:rsidR="007A094C">
          <w:rPr>
            <w:rFonts w:asciiTheme="minorHAnsi" w:eastAsiaTheme="minorEastAsia" w:hAnsiTheme="minorHAnsi" w:cstheme="minorBidi"/>
            <w:i w:val="0"/>
            <w:sz w:val="22"/>
            <w:szCs w:val="22"/>
          </w:rPr>
          <w:tab/>
        </w:r>
        <w:r w:rsidR="007A094C" w:rsidRPr="00611A94">
          <w:rPr>
            <w:rStyle w:val="Hypertextovodkaz"/>
          </w:rPr>
          <w:t>Kategorie zásahů</w:t>
        </w:r>
        <w:r w:rsidR="007A094C">
          <w:rPr>
            <w:webHidden/>
          </w:rPr>
          <w:tab/>
        </w:r>
        <w:r w:rsidR="007A094C">
          <w:rPr>
            <w:webHidden/>
          </w:rPr>
          <w:fldChar w:fldCharType="begin"/>
        </w:r>
        <w:r w:rsidR="007A094C">
          <w:rPr>
            <w:webHidden/>
          </w:rPr>
          <w:instrText xml:space="preserve"> PAGEREF _Toc506885030 \h </w:instrText>
        </w:r>
        <w:r w:rsidR="007A094C">
          <w:rPr>
            <w:webHidden/>
          </w:rPr>
        </w:r>
        <w:r w:rsidR="007A094C">
          <w:rPr>
            <w:webHidden/>
          </w:rPr>
          <w:fldChar w:fldCharType="separate"/>
        </w:r>
        <w:r w:rsidR="007A094C">
          <w:rPr>
            <w:webHidden/>
          </w:rPr>
          <w:t>131</w:t>
        </w:r>
        <w:r w:rsidR="007A094C">
          <w:rPr>
            <w:webHidden/>
          </w:rPr>
          <w:fldChar w:fldCharType="end"/>
        </w:r>
      </w:hyperlink>
    </w:p>
    <w:p w14:paraId="7A27E8FA" w14:textId="77777777" w:rsidR="007A094C" w:rsidRDefault="00580034">
      <w:pPr>
        <w:pStyle w:val="Obsah3"/>
        <w:rPr>
          <w:rFonts w:asciiTheme="minorHAnsi" w:eastAsiaTheme="minorEastAsia" w:hAnsiTheme="minorHAnsi" w:cstheme="minorBidi"/>
          <w:i w:val="0"/>
          <w:sz w:val="22"/>
          <w:szCs w:val="22"/>
        </w:rPr>
      </w:pPr>
      <w:hyperlink w:anchor="_Toc506885031" w:history="1">
        <w:r w:rsidR="007A094C" w:rsidRPr="00611A94">
          <w:rPr>
            <w:rStyle w:val="Hypertextovodkaz"/>
          </w:rPr>
          <w:t>2.A.10</w:t>
        </w:r>
        <w:r w:rsidR="007A094C">
          <w:rPr>
            <w:rFonts w:asciiTheme="minorHAnsi" w:eastAsiaTheme="minorEastAsia" w:hAnsiTheme="minorHAnsi" w:cstheme="minorBidi"/>
            <w:i w:val="0"/>
            <w:sz w:val="22"/>
            <w:szCs w:val="22"/>
          </w:rPr>
          <w:tab/>
        </w:r>
        <w:r w:rsidR="007A094C" w:rsidRPr="00611A94">
          <w:rPr>
            <w:rStyle w:val="Hypertextovodkaz"/>
          </w:rPr>
          <w:t>Přehled plánovaného využití technické pomoci, je-li to nutné, včetně opatření na posílení správní kapacity orgánů zapojených do řízení a kontroly programů a příjemců (použije-li se)</w:t>
        </w:r>
        <w:r w:rsidR="007A094C">
          <w:rPr>
            <w:webHidden/>
          </w:rPr>
          <w:tab/>
        </w:r>
        <w:r w:rsidR="007A094C">
          <w:rPr>
            <w:webHidden/>
          </w:rPr>
          <w:fldChar w:fldCharType="begin"/>
        </w:r>
        <w:r w:rsidR="007A094C">
          <w:rPr>
            <w:webHidden/>
          </w:rPr>
          <w:instrText xml:space="preserve"> PAGEREF _Toc506885031 \h </w:instrText>
        </w:r>
        <w:r w:rsidR="007A094C">
          <w:rPr>
            <w:webHidden/>
          </w:rPr>
        </w:r>
        <w:r w:rsidR="007A094C">
          <w:rPr>
            <w:webHidden/>
          </w:rPr>
          <w:fldChar w:fldCharType="separate"/>
        </w:r>
        <w:r w:rsidR="007A094C">
          <w:rPr>
            <w:webHidden/>
          </w:rPr>
          <w:t>131</w:t>
        </w:r>
        <w:r w:rsidR="007A094C">
          <w:rPr>
            <w:webHidden/>
          </w:rPr>
          <w:fldChar w:fldCharType="end"/>
        </w:r>
      </w:hyperlink>
    </w:p>
    <w:p w14:paraId="6821C996" w14:textId="77777777" w:rsidR="007A094C" w:rsidRDefault="00580034">
      <w:pPr>
        <w:pStyle w:val="Obsah3"/>
        <w:rPr>
          <w:rFonts w:asciiTheme="minorHAnsi" w:eastAsiaTheme="minorEastAsia" w:hAnsiTheme="minorHAnsi" w:cstheme="minorBidi"/>
          <w:i w:val="0"/>
          <w:sz w:val="22"/>
          <w:szCs w:val="22"/>
        </w:rPr>
      </w:pPr>
      <w:hyperlink w:anchor="_Toc506885032" w:history="1">
        <w:r w:rsidR="007A094C" w:rsidRPr="00611A94">
          <w:rPr>
            <w:rStyle w:val="Hypertextovodkaz"/>
          </w:rPr>
          <w:t>2.A.1</w:t>
        </w:r>
        <w:r w:rsidR="007A094C">
          <w:rPr>
            <w:rFonts w:asciiTheme="minorHAnsi" w:eastAsiaTheme="minorEastAsia" w:hAnsiTheme="minorHAnsi" w:cstheme="minorBidi"/>
            <w:i w:val="0"/>
            <w:sz w:val="22"/>
            <w:szCs w:val="22"/>
          </w:rPr>
          <w:tab/>
        </w:r>
        <w:r w:rsidR="007A094C" w:rsidRPr="00611A94">
          <w:rPr>
            <w:rStyle w:val="Hypertextovodkaz"/>
          </w:rPr>
          <w:t>PRIORITNÍ OSA 4: Rozvoj vysokorychlostních přístupových sítí k internetu a informačních a komunikačních technologií</w:t>
        </w:r>
        <w:r w:rsidR="007A094C">
          <w:rPr>
            <w:webHidden/>
          </w:rPr>
          <w:tab/>
        </w:r>
        <w:r w:rsidR="007A094C">
          <w:rPr>
            <w:webHidden/>
          </w:rPr>
          <w:fldChar w:fldCharType="begin"/>
        </w:r>
        <w:r w:rsidR="007A094C">
          <w:rPr>
            <w:webHidden/>
          </w:rPr>
          <w:instrText xml:space="preserve"> PAGEREF _Toc506885032 \h </w:instrText>
        </w:r>
        <w:r w:rsidR="007A094C">
          <w:rPr>
            <w:webHidden/>
          </w:rPr>
        </w:r>
        <w:r w:rsidR="007A094C">
          <w:rPr>
            <w:webHidden/>
          </w:rPr>
          <w:fldChar w:fldCharType="separate"/>
        </w:r>
        <w:r w:rsidR="007A094C">
          <w:rPr>
            <w:webHidden/>
          </w:rPr>
          <w:t>132</w:t>
        </w:r>
        <w:r w:rsidR="007A094C">
          <w:rPr>
            <w:webHidden/>
          </w:rPr>
          <w:fldChar w:fldCharType="end"/>
        </w:r>
      </w:hyperlink>
    </w:p>
    <w:p w14:paraId="733F689D" w14:textId="77777777" w:rsidR="007A094C" w:rsidRDefault="00580034">
      <w:pPr>
        <w:pStyle w:val="Obsah3"/>
        <w:rPr>
          <w:rFonts w:asciiTheme="minorHAnsi" w:eastAsiaTheme="minorEastAsia" w:hAnsiTheme="minorHAnsi" w:cstheme="minorBidi"/>
          <w:i w:val="0"/>
          <w:sz w:val="22"/>
          <w:szCs w:val="22"/>
        </w:rPr>
      </w:pPr>
      <w:hyperlink w:anchor="_Toc506885033" w:history="1">
        <w:r w:rsidR="007A094C" w:rsidRPr="00611A94">
          <w:rPr>
            <w:rStyle w:val="Hypertextovodkaz"/>
          </w:rPr>
          <w:t>2.A.2</w:t>
        </w:r>
        <w:r w:rsidR="007A094C">
          <w:rPr>
            <w:rFonts w:asciiTheme="minorHAnsi" w:eastAsiaTheme="minorEastAsia" w:hAnsiTheme="minorHAnsi" w:cstheme="minorBidi"/>
            <w:i w:val="0"/>
            <w:sz w:val="22"/>
            <w:szCs w:val="22"/>
          </w:rPr>
          <w:tab/>
        </w:r>
        <w:r w:rsidR="007A094C" w:rsidRPr="00611A94">
          <w:rPr>
            <w:rStyle w:val="Hypertextovodkaz"/>
          </w:rPr>
          <w:t>Odůvodnění pro vytvoření prioritní osy, která zahrnuje více než jednu kategorii regionů nebo více než jeden tematický cíl či fond (použije-li se)</w:t>
        </w:r>
        <w:r w:rsidR="007A094C">
          <w:rPr>
            <w:webHidden/>
          </w:rPr>
          <w:tab/>
        </w:r>
        <w:r w:rsidR="007A094C">
          <w:rPr>
            <w:webHidden/>
          </w:rPr>
          <w:fldChar w:fldCharType="begin"/>
        </w:r>
        <w:r w:rsidR="007A094C">
          <w:rPr>
            <w:webHidden/>
          </w:rPr>
          <w:instrText xml:space="preserve"> PAGEREF _Toc506885033 \h </w:instrText>
        </w:r>
        <w:r w:rsidR="007A094C">
          <w:rPr>
            <w:webHidden/>
          </w:rPr>
        </w:r>
        <w:r w:rsidR="007A094C">
          <w:rPr>
            <w:webHidden/>
          </w:rPr>
          <w:fldChar w:fldCharType="separate"/>
        </w:r>
        <w:r w:rsidR="007A094C">
          <w:rPr>
            <w:webHidden/>
          </w:rPr>
          <w:t>132</w:t>
        </w:r>
        <w:r w:rsidR="007A094C">
          <w:rPr>
            <w:webHidden/>
          </w:rPr>
          <w:fldChar w:fldCharType="end"/>
        </w:r>
      </w:hyperlink>
    </w:p>
    <w:p w14:paraId="629D492B" w14:textId="77777777" w:rsidR="007A094C" w:rsidRDefault="00580034">
      <w:pPr>
        <w:pStyle w:val="Obsah3"/>
        <w:rPr>
          <w:rFonts w:asciiTheme="minorHAnsi" w:eastAsiaTheme="minorEastAsia" w:hAnsiTheme="minorHAnsi" w:cstheme="minorBidi"/>
          <w:i w:val="0"/>
          <w:sz w:val="22"/>
          <w:szCs w:val="22"/>
        </w:rPr>
      </w:pPr>
      <w:hyperlink w:anchor="_Toc506885034" w:history="1">
        <w:r w:rsidR="007A094C" w:rsidRPr="00611A94">
          <w:rPr>
            <w:rStyle w:val="Hypertextovodkaz"/>
          </w:rPr>
          <w:t>2.A.3</w:t>
        </w:r>
        <w:r w:rsidR="007A094C">
          <w:rPr>
            <w:rFonts w:asciiTheme="minorHAnsi" w:eastAsiaTheme="minorEastAsia" w:hAnsiTheme="minorHAnsi" w:cstheme="minorBidi"/>
            <w:i w:val="0"/>
            <w:sz w:val="22"/>
            <w:szCs w:val="22"/>
          </w:rPr>
          <w:tab/>
        </w:r>
        <w:r w:rsidR="007A094C" w:rsidRPr="00611A94">
          <w:rPr>
            <w:rStyle w:val="Hypertextovodkaz"/>
          </w:rPr>
          <w:t>Fond, kategorie regionů a základ pro výpočet podpory Unie</w:t>
        </w:r>
        <w:r w:rsidR="007A094C">
          <w:rPr>
            <w:webHidden/>
          </w:rPr>
          <w:tab/>
        </w:r>
        <w:r w:rsidR="007A094C">
          <w:rPr>
            <w:webHidden/>
          </w:rPr>
          <w:fldChar w:fldCharType="begin"/>
        </w:r>
        <w:r w:rsidR="007A094C">
          <w:rPr>
            <w:webHidden/>
          </w:rPr>
          <w:instrText xml:space="preserve"> PAGEREF _Toc506885034 \h </w:instrText>
        </w:r>
        <w:r w:rsidR="007A094C">
          <w:rPr>
            <w:webHidden/>
          </w:rPr>
        </w:r>
        <w:r w:rsidR="007A094C">
          <w:rPr>
            <w:webHidden/>
          </w:rPr>
          <w:fldChar w:fldCharType="separate"/>
        </w:r>
        <w:r w:rsidR="007A094C">
          <w:rPr>
            <w:webHidden/>
          </w:rPr>
          <w:t>132</w:t>
        </w:r>
        <w:r w:rsidR="007A094C">
          <w:rPr>
            <w:webHidden/>
          </w:rPr>
          <w:fldChar w:fldCharType="end"/>
        </w:r>
      </w:hyperlink>
    </w:p>
    <w:p w14:paraId="470CD375" w14:textId="77777777" w:rsidR="007A094C" w:rsidRDefault="00580034">
      <w:pPr>
        <w:pStyle w:val="Obsah3"/>
        <w:rPr>
          <w:rFonts w:asciiTheme="minorHAnsi" w:eastAsiaTheme="minorEastAsia" w:hAnsiTheme="minorHAnsi" w:cstheme="minorBidi"/>
          <w:i w:val="0"/>
          <w:sz w:val="22"/>
          <w:szCs w:val="22"/>
        </w:rPr>
      </w:pPr>
      <w:hyperlink w:anchor="_Toc506885035" w:history="1">
        <w:r w:rsidR="007A094C" w:rsidRPr="00611A94">
          <w:rPr>
            <w:rStyle w:val="Hypertextovodkaz"/>
          </w:rPr>
          <w:t>2.A.4</w:t>
        </w:r>
        <w:r w:rsidR="007A094C">
          <w:rPr>
            <w:rFonts w:asciiTheme="minorHAnsi" w:eastAsiaTheme="minorEastAsia" w:hAnsiTheme="minorHAnsi" w:cstheme="minorBidi"/>
            <w:i w:val="0"/>
            <w:sz w:val="22"/>
            <w:szCs w:val="22"/>
          </w:rPr>
          <w:tab/>
        </w:r>
        <w:r w:rsidR="007A094C" w:rsidRPr="00611A94">
          <w:rPr>
            <w:rStyle w:val="Hypertextovodkaz"/>
          </w:rPr>
          <w:t>INVESTIČNÍ PRIORITA 1 prioritní osy 4: Rozšiřování širokopásmového připojení a zavádění vysokorychlostních sítí a podpora zavádění vznikajících technologií a sítí pro digitální hospodářství</w:t>
        </w:r>
        <w:r w:rsidR="007A094C">
          <w:rPr>
            <w:webHidden/>
          </w:rPr>
          <w:tab/>
        </w:r>
        <w:r w:rsidR="007A094C">
          <w:rPr>
            <w:webHidden/>
          </w:rPr>
          <w:fldChar w:fldCharType="begin"/>
        </w:r>
        <w:r w:rsidR="007A094C">
          <w:rPr>
            <w:webHidden/>
          </w:rPr>
          <w:instrText xml:space="preserve"> PAGEREF _Toc506885035 \h </w:instrText>
        </w:r>
        <w:r w:rsidR="007A094C">
          <w:rPr>
            <w:webHidden/>
          </w:rPr>
        </w:r>
        <w:r w:rsidR="007A094C">
          <w:rPr>
            <w:webHidden/>
          </w:rPr>
          <w:fldChar w:fldCharType="separate"/>
        </w:r>
        <w:r w:rsidR="007A094C">
          <w:rPr>
            <w:webHidden/>
          </w:rPr>
          <w:t>132</w:t>
        </w:r>
        <w:r w:rsidR="007A094C">
          <w:rPr>
            <w:webHidden/>
          </w:rPr>
          <w:fldChar w:fldCharType="end"/>
        </w:r>
      </w:hyperlink>
    </w:p>
    <w:p w14:paraId="52190B5D" w14:textId="77777777" w:rsidR="007A094C" w:rsidRDefault="00580034">
      <w:pPr>
        <w:pStyle w:val="Obsah3"/>
        <w:rPr>
          <w:rFonts w:asciiTheme="minorHAnsi" w:eastAsiaTheme="minorEastAsia" w:hAnsiTheme="minorHAnsi" w:cstheme="minorBidi"/>
          <w:i w:val="0"/>
          <w:sz w:val="22"/>
          <w:szCs w:val="22"/>
        </w:rPr>
      </w:pPr>
      <w:hyperlink w:anchor="_Toc506885036"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_Toc506885036 \h </w:instrText>
        </w:r>
        <w:r w:rsidR="007A094C">
          <w:rPr>
            <w:webHidden/>
          </w:rPr>
        </w:r>
        <w:r w:rsidR="007A094C">
          <w:rPr>
            <w:webHidden/>
          </w:rPr>
          <w:fldChar w:fldCharType="separate"/>
        </w:r>
        <w:r w:rsidR="007A094C">
          <w:rPr>
            <w:webHidden/>
          </w:rPr>
          <w:t>132</w:t>
        </w:r>
        <w:r w:rsidR="007A094C">
          <w:rPr>
            <w:webHidden/>
          </w:rPr>
          <w:fldChar w:fldCharType="end"/>
        </w:r>
      </w:hyperlink>
    </w:p>
    <w:p w14:paraId="25D5E327" w14:textId="77777777" w:rsidR="007A094C" w:rsidRDefault="00580034">
      <w:pPr>
        <w:pStyle w:val="Obsah3"/>
        <w:rPr>
          <w:rFonts w:asciiTheme="minorHAnsi" w:eastAsiaTheme="minorEastAsia" w:hAnsiTheme="minorHAnsi" w:cstheme="minorBidi"/>
          <w:i w:val="0"/>
          <w:sz w:val="22"/>
          <w:szCs w:val="22"/>
        </w:rPr>
      </w:pPr>
      <w:hyperlink w:anchor="_Toc506885037"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_Toc506885037 \h </w:instrText>
        </w:r>
        <w:r w:rsidR="007A094C">
          <w:rPr>
            <w:webHidden/>
          </w:rPr>
        </w:r>
        <w:r w:rsidR="007A094C">
          <w:rPr>
            <w:webHidden/>
          </w:rPr>
          <w:fldChar w:fldCharType="separate"/>
        </w:r>
        <w:r w:rsidR="007A094C">
          <w:rPr>
            <w:webHidden/>
          </w:rPr>
          <w:t>133</w:t>
        </w:r>
        <w:r w:rsidR="007A094C">
          <w:rPr>
            <w:webHidden/>
          </w:rPr>
          <w:fldChar w:fldCharType="end"/>
        </w:r>
      </w:hyperlink>
    </w:p>
    <w:p w14:paraId="19780605" w14:textId="77777777" w:rsidR="007A094C" w:rsidRDefault="00580034">
      <w:pPr>
        <w:pStyle w:val="Obsah3"/>
        <w:rPr>
          <w:rFonts w:asciiTheme="minorHAnsi" w:eastAsiaTheme="minorEastAsia" w:hAnsiTheme="minorHAnsi" w:cstheme="minorBidi"/>
          <w:i w:val="0"/>
          <w:sz w:val="22"/>
          <w:szCs w:val="22"/>
        </w:rPr>
      </w:pPr>
      <w:hyperlink w:anchor="_Toc506885038" w:history="1">
        <w:r w:rsidR="007A094C" w:rsidRPr="00611A94">
          <w:rPr>
            <w:rStyle w:val="Hypertextovodkaz"/>
          </w:rPr>
          <w:t>2.A.4</w:t>
        </w:r>
        <w:r w:rsidR="007A094C">
          <w:rPr>
            <w:rFonts w:asciiTheme="minorHAnsi" w:eastAsiaTheme="minorEastAsia" w:hAnsiTheme="minorHAnsi" w:cstheme="minorBidi"/>
            <w:i w:val="0"/>
            <w:sz w:val="22"/>
            <w:szCs w:val="22"/>
          </w:rPr>
          <w:tab/>
        </w:r>
        <w:r w:rsidR="007A094C" w:rsidRPr="00611A94">
          <w:rPr>
            <w:rStyle w:val="Hypertextovodkaz"/>
          </w:rPr>
          <w:t>INVESTIČNÍ PRIORITA 2 prioritní osy 4: Vyvíjení produktů a služeb v oblasti IKT, elektronický obchod a zvyšování poptávky po IKT</w:t>
        </w:r>
        <w:r w:rsidR="007A094C">
          <w:rPr>
            <w:webHidden/>
          </w:rPr>
          <w:tab/>
        </w:r>
        <w:r w:rsidR="007A094C">
          <w:rPr>
            <w:webHidden/>
          </w:rPr>
          <w:fldChar w:fldCharType="begin"/>
        </w:r>
        <w:r w:rsidR="007A094C">
          <w:rPr>
            <w:webHidden/>
          </w:rPr>
          <w:instrText xml:space="preserve"> PAGEREF _Toc506885038 \h </w:instrText>
        </w:r>
        <w:r w:rsidR="007A094C">
          <w:rPr>
            <w:webHidden/>
          </w:rPr>
        </w:r>
        <w:r w:rsidR="007A094C">
          <w:rPr>
            <w:webHidden/>
          </w:rPr>
          <w:fldChar w:fldCharType="separate"/>
        </w:r>
        <w:r w:rsidR="007A094C">
          <w:rPr>
            <w:webHidden/>
          </w:rPr>
          <w:t>136</w:t>
        </w:r>
        <w:r w:rsidR="007A094C">
          <w:rPr>
            <w:webHidden/>
          </w:rPr>
          <w:fldChar w:fldCharType="end"/>
        </w:r>
      </w:hyperlink>
    </w:p>
    <w:p w14:paraId="2C8B9FCC" w14:textId="77777777" w:rsidR="007A094C" w:rsidRDefault="00580034">
      <w:pPr>
        <w:pStyle w:val="Obsah3"/>
        <w:rPr>
          <w:rFonts w:asciiTheme="minorHAnsi" w:eastAsiaTheme="minorEastAsia" w:hAnsiTheme="minorHAnsi" w:cstheme="minorBidi"/>
          <w:i w:val="0"/>
          <w:sz w:val="22"/>
          <w:szCs w:val="22"/>
        </w:rPr>
      </w:pPr>
      <w:hyperlink w:anchor="_Toc506885039" w:history="1">
        <w:r w:rsidR="007A094C" w:rsidRPr="00611A94">
          <w:rPr>
            <w:rStyle w:val="Hypertextovodkaz"/>
          </w:rPr>
          <w:t>2.A.5</w:t>
        </w:r>
        <w:r w:rsidR="007A094C">
          <w:rPr>
            <w:rFonts w:asciiTheme="minorHAnsi" w:eastAsiaTheme="minorEastAsia" w:hAnsiTheme="minorHAnsi" w:cstheme="minorBidi"/>
            <w:i w:val="0"/>
            <w:sz w:val="22"/>
            <w:szCs w:val="22"/>
          </w:rPr>
          <w:tab/>
        </w:r>
        <w:r w:rsidR="007A094C" w:rsidRPr="00611A94">
          <w:rPr>
            <w:rStyle w:val="Hypertextovodkaz"/>
          </w:rPr>
          <w:t>Specifické cíle odpovídající investiční prioritě a očekávané výsledky</w:t>
        </w:r>
        <w:r w:rsidR="007A094C">
          <w:rPr>
            <w:webHidden/>
          </w:rPr>
          <w:tab/>
        </w:r>
        <w:r w:rsidR="007A094C">
          <w:rPr>
            <w:webHidden/>
          </w:rPr>
          <w:fldChar w:fldCharType="begin"/>
        </w:r>
        <w:r w:rsidR="007A094C">
          <w:rPr>
            <w:webHidden/>
          </w:rPr>
          <w:instrText xml:space="preserve"> PAGEREF _Toc506885039 \h </w:instrText>
        </w:r>
        <w:r w:rsidR="007A094C">
          <w:rPr>
            <w:webHidden/>
          </w:rPr>
        </w:r>
        <w:r w:rsidR="007A094C">
          <w:rPr>
            <w:webHidden/>
          </w:rPr>
          <w:fldChar w:fldCharType="separate"/>
        </w:r>
        <w:r w:rsidR="007A094C">
          <w:rPr>
            <w:webHidden/>
          </w:rPr>
          <w:t>136</w:t>
        </w:r>
        <w:r w:rsidR="007A094C">
          <w:rPr>
            <w:webHidden/>
          </w:rPr>
          <w:fldChar w:fldCharType="end"/>
        </w:r>
      </w:hyperlink>
    </w:p>
    <w:p w14:paraId="037E0E82" w14:textId="77777777" w:rsidR="007A094C" w:rsidRDefault="00580034">
      <w:pPr>
        <w:pStyle w:val="Obsah3"/>
        <w:rPr>
          <w:rFonts w:asciiTheme="minorHAnsi" w:eastAsiaTheme="minorEastAsia" w:hAnsiTheme="minorHAnsi" w:cstheme="minorBidi"/>
          <w:i w:val="0"/>
          <w:sz w:val="22"/>
          <w:szCs w:val="22"/>
        </w:rPr>
      </w:pPr>
      <w:hyperlink w:anchor="_Toc506885040" w:history="1">
        <w:r w:rsidR="007A094C" w:rsidRPr="00611A94">
          <w:rPr>
            <w:rStyle w:val="Hypertextovodkaz"/>
          </w:rPr>
          <w:t>2.A.6</w:t>
        </w:r>
        <w:r w:rsidR="007A094C">
          <w:rPr>
            <w:rFonts w:asciiTheme="minorHAnsi" w:eastAsiaTheme="minorEastAsia" w:hAnsiTheme="minorHAnsi" w:cstheme="minorBidi"/>
            <w:i w:val="0"/>
            <w:sz w:val="22"/>
            <w:szCs w:val="22"/>
          </w:rPr>
          <w:tab/>
        </w:r>
        <w:r w:rsidR="007A094C" w:rsidRPr="00611A94">
          <w:rPr>
            <w:rStyle w:val="Hypertextovodkaz"/>
          </w:rPr>
          <w:t>Opatření, jež má být podpořeno v rámci investiční priority</w:t>
        </w:r>
        <w:r w:rsidR="007A094C">
          <w:rPr>
            <w:webHidden/>
          </w:rPr>
          <w:tab/>
        </w:r>
        <w:r w:rsidR="007A094C">
          <w:rPr>
            <w:webHidden/>
          </w:rPr>
          <w:fldChar w:fldCharType="begin"/>
        </w:r>
        <w:r w:rsidR="007A094C">
          <w:rPr>
            <w:webHidden/>
          </w:rPr>
          <w:instrText xml:space="preserve"> PAGEREF _Toc506885040 \h </w:instrText>
        </w:r>
        <w:r w:rsidR="007A094C">
          <w:rPr>
            <w:webHidden/>
          </w:rPr>
        </w:r>
        <w:r w:rsidR="007A094C">
          <w:rPr>
            <w:webHidden/>
          </w:rPr>
          <w:fldChar w:fldCharType="separate"/>
        </w:r>
        <w:r w:rsidR="007A094C">
          <w:rPr>
            <w:webHidden/>
          </w:rPr>
          <w:t>138</w:t>
        </w:r>
        <w:r w:rsidR="007A094C">
          <w:rPr>
            <w:webHidden/>
          </w:rPr>
          <w:fldChar w:fldCharType="end"/>
        </w:r>
      </w:hyperlink>
    </w:p>
    <w:p w14:paraId="15FF49F3" w14:textId="77777777" w:rsidR="007A094C" w:rsidRDefault="00580034">
      <w:pPr>
        <w:pStyle w:val="Obsah3"/>
        <w:rPr>
          <w:rFonts w:asciiTheme="minorHAnsi" w:eastAsiaTheme="minorEastAsia" w:hAnsiTheme="minorHAnsi" w:cstheme="minorBidi"/>
          <w:i w:val="0"/>
          <w:sz w:val="22"/>
          <w:szCs w:val="22"/>
        </w:rPr>
      </w:pPr>
      <w:hyperlink w:anchor="_Toc506885041" w:history="1">
        <w:r w:rsidR="007A094C" w:rsidRPr="00611A94">
          <w:rPr>
            <w:rStyle w:val="Hypertextovodkaz"/>
          </w:rPr>
          <w:t>2.A.7</w:t>
        </w:r>
        <w:r w:rsidR="007A094C">
          <w:rPr>
            <w:rFonts w:asciiTheme="minorHAnsi" w:eastAsiaTheme="minorEastAsia" w:hAnsiTheme="minorHAnsi" w:cstheme="minorBidi"/>
            <w:i w:val="0"/>
            <w:sz w:val="22"/>
            <w:szCs w:val="22"/>
          </w:rPr>
          <w:tab/>
        </w:r>
        <w:r w:rsidR="007A094C" w:rsidRPr="00611A94">
          <w:rPr>
            <w:rStyle w:val="Hypertextovodkaz"/>
          </w:rPr>
          <w:t>Sociální inovace, nadnárodní spolupráce a přínos k tematickým cílům 1 až 7</w:t>
        </w:r>
        <w:r w:rsidR="007A094C">
          <w:rPr>
            <w:webHidden/>
          </w:rPr>
          <w:tab/>
        </w:r>
        <w:r w:rsidR="007A094C">
          <w:rPr>
            <w:webHidden/>
          </w:rPr>
          <w:fldChar w:fldCharType="begin"/>
        </w:r>
        <w:r w:rsidR="007A094C">
          <w:rPr>
            <w:webHidden/>
          </w:rPr>
          <w:instrText xml:space="preserve"> PAGEREF _Toc506885041 \h </w:instrText>
        </w:r>
        <w:r w:rsidR="007A094C">
          <w:rPr>
            <w:webHidden/>
          </w:rPr>
        </w:r>
        <w:r w:rsidR="007A094C">
          <w:rPr>
            <w:webHidden/>
          </w:rPr>
          <w:fldChar w:fldCharType="separate"/>
        </w:r>
        <w:r w:rsidR="007A094C">
          <w:rPr>
            <w:webHidden/>
          </w:rPr>
          <w:t>140</w:t>
        </w:r>
        <w:r w:rsidR="007A094C">
          <w:rPr>
            <w:webHidden/>
          </w:rPr>
          <w:fldChar w:fldCharType="end"/>
        </w:r>
      </w:hyperlink>
    </w:p>
    <w:p w14:paraId="7DC4B602" w14:textId="77777777" w:rsidR="007A094C" w:rsidRDefault="00580034">
      <w:pPr>
        <w:pStyle w:val="Obsah3"/>
        <w:rPr>
          <w:rFonts w:asciiTheme="minorHAnsi" w:eastAsiaTheme="minorEastAsia" w:hAnsiTheme="minorHAnsi" w:cstheme="minorBidi"/>
          <w:i w:val="0"/>
          <w:sz w:val="22"/>
          <w:szCs w:val="22"/>
        </w:rPr>
      </w:pPr>
      <w:hyperlink w:anchor="_Toc506885042" w:history="1">
        <w:r w:rsidR="007A094C" w:rsidRPr="00611A94">
          <w:rPr>
            <w:rStyle w:val="Hypertextovodkaz"/>
          </w:rPr>
          <w:t>2.A.8</w:t>
        </w:r>
        <w:r w:rsidR="007A094C">
          <w:rPr>
            <w:rFonts w:asciiTheme="minorHAnsi" w:eastAsiaTheme="minorEastAsia" w:hAnsiTheme="minorHAnsi" w:cstheme="minorBidi"/>
            <w:i w:val="0"/>
            <w:sz w:val="22"/>
            <w:szCs w:val="22"/>
          </w:rPr>
          <w:tab/>
        </w:r>
        <w:r w:rsidR="007A094C" w:rsidRPr="00611A94">
          <w:rPr>
            <w:rStyle w:val="Hypertextovodkaz"/>
          </w:rPr>
          <w:t>Výkonnostní rámec</w:t>
        </w:r>
        <w:r w:rsidR="007A094C">
          <w:rPr>
            <w:webHidden/>
          </w:rPr>
          <w:tab/>
        </w:r>
        <w:r w:rsidR="007A094C">
          <w:rPr>
            <w:webHidden/>
          </w:rPr>
          <w:fldChar w:fldCharType="begin"/>
        </w:r>
        <w:r w:rsidR="007A094C">
          <w:rPr>
            <w:webHidden/>
          </w:rPr>
          <w:instrText xml:space="preserve"> PAGEREF _Toc506885042 \h </w:instrText>
        </w:r>
        <w:r w:rsidR="007A094C">
          <w:rPr>
            <w:webHidden/>
          </w:rPr>
        </w:r>
        <w:r w:rsidR="007A094C">
          <w:rPr>
            <w:webHidden/>
          </w:rPr>
          <w:fldChar w:fldCharType="separate"/>
        </w:r>
        <w:r w:rsidR="007A094C">
          <w:rPr>
            <w:webHidden/>
          </w:rPr>
          <w:t>141</w:t>
        </w:r>
        <w:r w:rsidR="007A094C">
          <w:rPr>
            <w:webHidden/>
          </w:rPr>
          <w:fldChar w:fldCharType="end"/>
        </w:r>
      </w:hyperlink>
    </w:p>
    <w:p w14:paraId="7E87568B" w14:textId="77777777" w:rsidR="007A094C" w:rsidRDefault="00580034">
      <w:pPr>
        <w:pStyle w:val="Obsah3"/>
        <w:rPr>
          <w:rFonts w:asciiTheme="minorHAnsi" w:eastAsiaTheme="minorEastAsia" w:hAnsiTheme="minorHAnsi" w:cstheme="minorBidi"/>
          <w:i w:val="0"/>
          <w:sz w:val="22"/>
          <w:szCs w:val="22"/>
        </w:rPr>
      </w:pPr>
      <w:hyperlink w:anchor="_Toc506885043" w:history="1">
        <w:r w:rsidR="007A094C" w:rsidRPr="00611A94">
          <w:rPr>
            <w:rStyle w:val="Hypertextovodkaz"/>
          </w:rPr>
          <w:t>2.A.9</w:t>
        </w:r>
        <w:r w:rsidR="007A094C">
          <w:rPr>
            <w:rFonts w:asciiTheme="minorHAnsi" w:eastAsiaTheme="minorEastAsia" w:hAnsiTheme="minorHAnsi" w:cstheme="minorBidi"/>
            <w:i w:val="0"/>
            <w:sz w:val="22"/>
            <w:szCs w:val="22"/>
          </w:rPr>
          <w:tab/>
        </w:r>
        <w:r w:rsidR="007A094C" w:rsidRPr="00611A94">
          <w:rPr>
            <w:rStyle w:val="Hypertextovodkaz"/>
          </w:rPr>
          <w:t>Kategorie zásahů</w:t>
        </w:r>
        <w:r w:rsidR="007A094C">
          <w:rPr>
            <w:webHidden/>
          </w:rPr>
          <w:tab/>
        </w:r>
        <w:r w:rsidR="007A094C">
          <w:rPr>
            <w:webHidden/>
          </w:rPr>
          <w:fldChar w:fldCharType="begin"/>
        </w:r>
        <w:r w:rsidR="007A094C">
          <w:rPr>
            <w:webHidden/>
          </w:rPr>
          <w:instrText xml:space="preserve"> PAGEREF _Toc506885043 \h </w:instrText>
        </w:r>
        <w:r w:rsidR="007A094C">
          <w:rPr>
            <w:webHidden/>
          </w:rPr>
        </w:r>
        <w:r w:rsidR="007A094C">
          <w:rPr>
            <w:webHidden/>
          </w:rPr>
          <w:fldChar w:fldCharType="separate"/>
        </w:r>
        <w:r w:rsidR="007A094C">
          <w:rPr>
            <w:webHidden/>
          </w:rPr>
          <w:t>144</w:t>
        </w:r>
        <w:r w:rsidR="007A094C">
          <w:rPr>
            <w:webHidden/>
          </w:rPr>
          <w:fldChar w:fldCharType="end"/>
        </w:r>
      </w:hyperlink>
    </w:p>
    <w:p w14:paraId="29102163" w14:textId="77777777" w:rsidR="007A094C" w:rsidRDefault="00580034">
      <w:pPr>
        <w:pStyle w:val="Obsah3"/>
        <w:rPr>
          <w:rFonts w:asciiTheme="minorHAnsi" w:eastAsiaTheme="minorEastAsia" w:hAnsiTheme="minorHAnsi" w:cstheme="minorBidi"/>
          <w:i w:val="0"/>
          <w:sz w:val="22"/>
          <w:szCs w:val="22"/>
        </w:rPr>
      </w:pPr>
      <w:hyperlink w:anchor="_Toc506885044" w:history="1">
        <w:r w:rsidR="007A094C" w:rsidRPr="00611A94">
          <w:rPr>
            <w:rStyle w:val="Hypertextovodkaz"/>
          </w:rPr>
          <w:t>2.A.10</w:t>
        </w:r>
        <w:r w:rsidR="007A094C">
          <w:rPr>
            <w:rFonts w:asciiTheme="minorHAnsi" w:eastAsiaTheme="minorEastAsia" w:hAnsiTheme="minorHAnsi" w:cstheme="minorBidi"/>
            <w:i w:val="0"/>
            <w:sz w:val="22"/>
            <w:szCs w:val="22"/>
          </w:rPr>
          <w:tab/>
        </w:r>
        <w:r w:rsidR="007A094C" w:rsidRPr="00611A94">
          <w:rPr>
            <w:rStyle w:val="Hypertextovodkaz"/>
          </w:rPr>
          <w:t>Přehled plánovaného využití technické pomoci, je-li to nutné, včetně opatření na posílení správní kapacity orgánů zapojených do řízení a kontroly programů a příjemců (použije-li se)</w:t>
        </w:r>
        <w:r w:rsidR="007A094C">
          <w:rPr>
            <w:webHidden/>
          </w:rPr>
          <w:tab/>
        </w:r>
        <w:r w:rsidR="007A094C">
          <w:rPr>
            <w:webHidden/>
          </w:rPr>
          <w:fldChar w:fldCharType="begin"/>
        </w:r>
        <w:r w:rsidR="007A094C">
          <w:rPr>
            <w:webHidden/>
          </w:rPr>
          <w:instrText xml:space="preserve"> PAGEREF _Toc506885044 \h </w:instrText>
        </w:r>
        <w:r w:rsidR="007A094C">
          <w:rPr>
            <w:webHidden/>
          </w:rPr>
        </w:r>
        <w:r w:rsidR="007A094C">
          <w:rPr>
            <w:webHidden/>
          </w:rPr>
          <w:fldChar w:fldCharType="separate"/>
        </w:r>
        <w:r w:rsidR="007A094C">
          <w:rPr>
            <w:webHidden/>
          </w:rPr>
          <w:t>144</w:t>
        </w:r>
        <w:r w:rsidR="007A094C">
          <w:rPr>
            <w:webHidden/>
          </w:rPr>
          <w:fldChar w:fldCharType="end"/>
        </w:r>
      </w:hyperlink>
    </w:p>
    <w:p w14:paraId="6ADD956D" w14:textId="77777777" w:rsidR="007A094C" w:rsidRDefault="00580034">
      <w:pPr>
        <w:pStyle w:val="Obsah1"/>
        <w:tabs>
          <w:tab w:val="left" w:pos="600"/>
          <w:tab w:val="right" w:leader="dot" w:pos="9202"/>
        </w:tabs>
        <w:rPr>
          <w:rFonts w:asciiTheme="minorHAnsi" w:eastAsiaTheme="minorEastAsia" w:hAnsiTheme="minorHAnsi" w:cstheme="minorBidi"/>
          <w:b w:val="0"/>
          <w:noProof/>
          <w:sz w:val="22"/>
          <w:szCs w:val="22"/>
        </w:rPr>
      </w:pPr>
      <w:hyperlink w:anchor="_Toc506885045" w:history="1">
        <w:r w:rsidR="007A094C" w:rsidRPr="00611A94">
          <w:rPr>
            <w:rStyle w:val="Hypertextovodkaz"/>
            <w:noProof/>
          </w:rPr>
          <w:t>2.B</w:t>
        </w:r>
        <w:r w:rsidR="007A094C">
          <w:rPr>
            <w:rFonts w:asciiTheme="minorHAnsi" w:eastAsiaTheme="minorEastAsia" w:hAnsiTheme="minorHAnsi" w:cstheme="minorBidi"/>
            <w:b w:val="0"/>
            <w:noProof/>
            <w:sz w:val="22"/>
            <w:szCs w:val="22"/>
          </w:rPr>
          <w:tab/>
        </w:r>
        <w:r w:rsidR="007A094C" w:rsidRPr="00611A94">
          <w:rPr>
            <w:rStyle w:val="Hypertextovodkaz"/>
            <w:noProof/>
          </w:rPr>
          <w:t>Popis prioritních os pro technickou pomoc</w:t>
        </w:r>
        <w:r w:rsidR="007A094C">
          <w:rPr>
            <w:noProof/>
            <w:webHidden/>
          </w:rPr>
          <w:tab/>
        </w:r>
        <w:r w:rsidR="007A094C">
          <w:rPr>
            <w:noProof/>
            <w:webHidden/>
          </w:rPr>
          <w:fldChar w:fldCharType="begin"/>
        </w:r>
        <w:r w:rsidR="007A094C">
          <w:rPr>
            <w:noProof/>
            <w:webHidden/>
          </w:rPr>
          <w:instrText xml:space="preserve"> PAGEREF _Toc506885045 \h </w:instrText>
        </w:r>
        <w:r w:rsidR="007A094C">
          <w:rPr>
            <w:noProof/>
            <w:webHidden/>
          </w:rPr>
        </w:r>
        <w:r w:rsidR="007A094C">
          <w:rPr>
            <w:noProof/>
            <w:webHidden/>
          </w:rPr>
          <w:fldChar w:fldCharType="separate"/>
        </w:r>
        <w:r w:rsidR="007A094C">
          <w:rPr>
            <w:noProof/>
            <w:webHidden/>
          </w:rPr>
          <w:t>145</w:t>
        </w:r>
        <w:r w:rsidR="007A094C">
          <w:rPr>
            <w:noProof/>
            <w:webHidden/>
          </w:rPr>
          <w:fldChar w:fldCharType="end"/>
        </w:r>
      </w:hyperlink>
    </w:p>
    <w:p w14:paraId="51BA54DB" w14:textId="77777777" w:rsidR="007A094C" w:rsidRDefault="00580034">
      <w:pPr>
        <w:pStyle w:val="Obsah3"/>
        <w:rPr>
          <w:rFonts w:asciiTheme="minorHAnsi" w:eastAsiaTheme="minorEastAsia" w:hAnsiTheme="minorHAnsi" w:cstheme="minorBidi"/>
          <w:i w:val="0"/>
          <w:sz w:val="22"/>
          <w:szCs w:val="22"/>
        </w:rPr>
      </w:pPr>
      <w:hyperlink w:anchor="_Toc506885046" w:history="1">
        <w:r w:rsidR="007A094C" w:rsidRPr="00611A94">
          <w:rPr>
            <w:rStyle w:val="Hypertextovodkaz"/>
          </w:rPr>
          <w:t>2.B.1</w:t>
        </w:r>
        <w:r w:rsidR="007A094C">
          <w:rPr>
            <w:rFonts w:asciiTheme="minorHAnsi" w:eastAsiaTheme="minorEastAsia" w:hAnsiTheme="minorHAnsi" w:cstheme="minorBidi"/>
            <w:i w:val="0"/>
            <w:sz w:val="22"/>
            <w:szCs w:val="22"/>
          </w:rPr>
          <w:tab/>
        </w:r>
        <w:r w:rsidR="007A094C" w:rsidRPr="00611A94">
          <w:rPr>
            <w:rStyle w:val="Hypertextovodkaz"/>
          </w:rPr>
          <w:t>PRIORITNÍ OSA 5: Technická pomoc</w:t>
        </w:r>
        <w:r w:rsidR="007A094C">
          <w:rPr>
            <w:webHidden/>
          </w:rPr>
          <w:tab/>
        </w:r>
        <w:r w:rsidR="007A094C">
          <w:rPr>
            <w:webHidden/>
          </w:rPr>
          <w:fldChar w:fldCharType="begin"/>
        </w:r>
        <w:r w:rsidR="007A094C">
          <w:rPr>
            <w:webHidden/>
          </w:rPr>
          <w:instrText xml:space="preserve"> PAGEREF _Toc506885046 \h </w:instrText>
        </w:r>
        <w:r w:rsidR="007A094C">
          <w:rPr>
            <w:webHidden/>
          </w:rPr>
        </w:r>
        <w:r w:rsidR="007A094C">
          <w:rPr>
            <w:webHidden/>
          </w:rPr>
          <w:fldChar w:fldCharType="separate"/>
        </w:r>
        <w:r w:rsidR="007A094C">
          <w:rPr>
            <w:webHidden/>
          </w:rPr>
          <w:t>145</w:t>
        </w:r>
        <w:r w:rsidR="007A094C">
          <w:rPr>
            <w:webHidden/>
          </w:rPr>
          <w:fldChar w:fldCharType="end"/>
        </w:r>
      </w:hyperlink>
    </w:p>
    <w:p w14:paraId="745642E0" w14:textId="77777777" w:rsidR="007A094C" w:rsidRDefault="00580034">
      <w:pPr>
        <w:pStyle w:val="Obsah3"/>
        <w:rPr>
          <w:rFonts w:asciiTheme="minorHAnsi" w:eastAsiaTheme="minorEastAsia" w:hAnsiTheme="minorHAnsi" w:cstheme="minorBidi"/>
          <w:i w:val="0"/>
          <w:sz w:val="22"/>
          <w:szCs w:val="22"/>
        </w:rPr>
      </w:pPr>
      <w:hyperlink w:anchor="_Toc506885047" w:history="1">
        <w:r w:rsidR="007A094C" w:rsidRPr="00611A94">
          <w:rPr>
            <w:rStyle w:val="Hypertextovodkaz"/>
          </w:rPr>
          <w:t>2.B.2</w:t>
        </w:r>
        <w:r w:rsidR="007A094C">
          <w:rPr>
            <w:rFonts w:asciiTheme="minorHAnsi" w:eastAsiaTheme="minorEastAsia" w:hAnsiTheme="minorHAnsi" w:cstheme="minorBidi"/>
            <w:i w:val="0"/>
            <w:sz w:val="22"/>
            <w:szCs w:val="22"/>
          </w:rPr>
          <w:tab/>
        </w:r>
        <w:r w:rsidR="007A094C" w:rsidRPr="00611A94">
          <w:rPr>
            <w:rStyle w:val="Hypertextovodkaz"/>
          </w:rPr>
          <w:t>Odůvodnění stanovení prioritní osy, jež zahrnuje více než jednu kategorii regionů (použije-li se)</w:t>
        </w:r>
        <w:r w:rsidR="007A094C">
          <w:rPr>
            <w:webHidden/>
          </w:rPr>
          <w:tab/>
        </w:r>
        <w:r w:rsidR="007A094C">
          <w:rPr>
            <w:webHidden/>
          </w:rPr>
          <w:fldChar w:fldCharType="begin"/>
        </w:r>
        <w:r w:rsidR="007A094C">
          <w:rPr>
            <w:webHidden/>
          </w:rPr>
          <w:instrText xml:space="preserve"> PAGEREF _Toc506885047 \h </w:instrText>
        </w:r>
        <w:r w:rsidR="007A094C">
          <w:rPr>
            <w:webHidden/>
          </w:rPr>
        </w:r>
        <w:r w:rsidR="007A094C">
          <w:rPr>
            <w:webHidden/>
          </w:rPr>
          <w:fldChar w:fldCharType="separate"/>
        </w:r>
        <w:r w:rsidR="007A094C">
          <w:rPr>
            <w:webHidden/>
          </w:rPr>
          <w:t>145</w:t>
        </w:r>
        <w:r w:rsidR="007A094C">
          <w:rPr>
            <w:webHidden/>
          </w:rPr>
          <w:fldChar w:fldCharType="end"/>
        </w:r>
      </w:hyperlink>
    </w:p>
    <w:p w14:paraId="2C508C1A" w14:textId="77777777" w:rsidR="007A094C" w:rsidRDefault="00580034">
      <w:pPr>
        <w:pStyle w:val="Obsah3"/>
        <w:rPr>
          <w:rFonts w:asciiTheme="minorHAnsi" w:eastAsiaTheme="minorEastAsia" w:hAnsiTheme="minorHAnsi" w:cstheme="minorBidi"/>
          <w:i w:val="0"/>
          <w:sz w:val="22"/>
          <w:szCs w:val="22"/>
        </w:rPr>
      </w:pPr>
      <w:hyperlink w:anchor="_Toc506885048" w:history="1">
        <w:r w:rsidR="007A094C" w:rsidRPr="00611A94">
          <w:rPr>
            <w:rStyle w:val="Hypertextovodkaz"/>
          </w:rPr>
          <w:t>2.B.3</w:t>
        </w:r>
        <w:r w:rsidR="007A094C">
          <w:rPr>
            <w:rFonts w:asciiTheme="minorHAnsi" w:eastAsiaTheme="minorEastAsia" w:hAnsiTheme="minorHAnsi" w:cstheme="minorBidi"/>
            <w:i w:val="0"/>
            <w:sz w:val="22"/>
            <w:szCs w:val="22"/>
          </w:rPr>
          <w:tab/>
        </w:r>
        <w:r w:rsidR="007A094C" w:rsidRPr="00611A94">
          <w:rPr>
            <w:rStyle w:val="Hypertextovodkaz"/>
          </w:rPr>
          <w:t>Fond a kategorie regionů</w:t>
        </w:r>
        <w:r w:rsidR="007A094C">
          <w:rPr>
            <w:webHidden/>
          </w:rPr>
          <w:tab/>
        </w:r>
        <w:r w:rsidR="007A094C">
          <w:rPr>
            <w:webHidden/>
          </w:rPr>
          <w:fldChar w:fldCharType="begin"/>
        </w:r>
        <w:r w:rsidR="007A094C">
          <w:rPr>
            <w:webHidden/>
          </w:rPr>
          <w:instrText xml:space="preserve"> PAGEREF _Toc506885048 \h </w:instrText>
        </w:r>
        <w:r w:rsidR="007A094C">
          <w:rPr>
            <w:webHidden/>
          </w:rPr>
        </w:r>
        <w:r w:rsidR="007A094C">
          <w:rPr>
            <w:webHidden/>
          </w:rPr>
          <w:fldChar w:fldCharType="separate"/>
        </w:r>
        <w:r w:rsidR="007A094C">
          <w:rPr>
            <w:webHidden/>
          </w:rPr>
          <w:t>145</w:t>
        </w:r>
        <w:r w:rsidR="007A094C">
          <w:rPr>
            <w:webHidden/>
          </w:rPr>
          <w:fldChar w:fldCharType="end"/>
        </w:r>
      </w:hyperlink>
    </w:p>
    <w:p w14:paraId="291B9DAF" w14:textId="77777777" w:rsidR="007A094C" w:rsidRDefault="00580034">
      <w:pPr>
        <w:pStyle w:val="Obsah3"/>
        <w:rPr>
          <w:rFonts w:asciiTheme="minorHAnsi" w:eastAsiaTheme="minorEastAsia" w:hAnsiTheme="minorHAnsi" w:cstheme="minorBidi"/>
          <w:i w:val="0"/>
          <w:sz w:val="22"/>
          <w:szCs w:val="22"/>
        </w:rPr>
      </w:pPr>
      <w:hyperlink w:anchor="_Toc506885049" w:history="1">
        <w:r w:rsidR="007A094C" w:rsidRPr="00611A94">
          <w:rPr>
            <w:rStyle w:val="Hypertextovodkaz"/>
          </w:rPr>
          <w:t>2.B.4</w:t>
        </w:r>
        <w:r w:rsidR="007A094C">
          <w:rPr>
            <w:rFonts w:asciiTheme="minorHAnsi" w:eastAsiaTheme="minorEastAsia" w:hAnsiTheme="minorHAnsi" w:cstheme="minorBidi"/>
            <w:i w:val="0"/>
            <w:sz w:val="22"/>
            <w:szCs w:val="22"/>
          </w:rPr>
          <w:tab/>
        </w:r>
        <w:r w:rsidR="007A094C" w:rsidRPr="00611A94">
          <w:rPr>
            <w:rStyle w:val="Hypertextovodkaz"/>
          </w:rPr>
          <w:t>Specifické cíle a očekávané výsledky</w:t>
        </w:r>
        <w:r w:rsidR="007A094C">
          <w:rPr>
            <w:webHidden/>
          </w:rPr>
          <w:tab/>
        </w:r>
        <w:r w:rsidR="007A094C">
          <w:rPr>
            <w:webHidden/>
          </w:rPr>
          <w:fldChar w:fldCharType="begin"/>
        </w:r>
        <w:r w:rsidR="007A094C">
          <w:rPr>
            <w:webHidden/>
          </w:rPr>
          <w:instrText xml:space="preserve"> PAGEREF _Toc506885049 \h </w:instrText>
        </w:r>
        <w:r w:rsidR="007A094C">
          <w:rPr>
            <w:webHidden/>
          </w:rPr>
        </w:r>
        <w:r w:rsidR="007A094C">
          <w:rPr>
            <w:webHidden/>
          </w:rPr>
          <w:fldChar w:fldCharType="separate"/>
        </w:r>
        <w:r w:rsidR="007A094C">
          <w:rPr>
            <w:webHidden/>
          </w:rPr>
          <w:t>145</w:t>
        </w:r>
        <w:r w:rsidR="007A094C">
          <w:rPr>
            <w:webHidden/>
          </w:rPr>
          <w:fldChar w:fldCharType="end"/>
        </w:r>
      </w:hyperlink>
    </w:p>
    <w:p w14:paraId="237D0D0E" w14:textId="77777777" w:rsidR="007A094C" w:rsidRDefault="00580034">
      <w:pPr>
        <w:pStyle w:val="Obsah3"/>
        <w:rPr>
          <w:rFonts w:asciiTheme="minorHAnsi" w:eastAsiaTheme="minorEastAsia" w:hAnsiTheme="minorHAnsi" w:cstheme="minorBidi"/>
          <w:i w:val="0"/>
          <w:sz w:val="22"/>
          <w:szCs w:val="22"/>
        </w:rPr>
      </w:pPr>
      <w:hyperlink w:anchor="_Toc506885050" w:history="1">
        <w:r w:rsidR="007A094C" w:rsidRPr="00611A94">
          <w:rPr>
            <w:rStyle w:val="Hypertextovodkaz"/>
          </w:rPr>
          <w:t>2.B.5</w:t>
        </w:r>
        <w:r w:rsidR="007A094C">
          <w:rPr>
            <w:rFonts w:asciiTheme="minorHAnsi" w:eastAsiaTheme="minorEastAsia" w:hAnsiTheme="minorHAnsi" w:cstheme="minorBidi"/>
            <w:i w:val="0"/>
            <w:sz w:val="22"/>
            <w:szCs w:val="22"/>
          </w:rPr>
          <w:tab/>
        </w:r>
        <w:r w:rsidR="007A094C" w:rsidRPr="00611A94">
          <w:rPr>
            <w:rStyle w:val="Hypertextovodkaz"/>
          </w:rPr>
          <w:t>Ukazatele výsledků</w:t>
        </w:r>
        <w:r w:rsidR="007A094C">
          <w:rPr>
            <w:webHidden/>
          </w:rPr>
          <w:tab/>
        </w:r>
        <w:r w:rsidR="007A094C">
          <w:rPr>
            <w:webHidden/>
          </w:rPr>
          <w:fldChar w:fldCharType="begin"/>
        </w:r>
        <w:r w:rsidR="007A094C">
          <w:rPr>
            <w:webHidden/>
          </w:rPr>
          <w:instrText xml:space="preserve"> PAGEREF _Toc506885050 \h </w:instrText>
        </w:r>
        <w:r w:rsidR="007A094C">
          <w:rPr>
            <w:webHidden/>
          </w:rPr>
        </w:r>
        <w:r w:rsidR="007A094C">
          <w:rPr>
            <w:webHidden/>
          </w:rPr>
          <w:fldChar w:fldCharType="separate"/>
        </w:r>
        <w:r w:rsidR="007A094C">
          <w:rPr>
            <w:webHidden/>
          </w:rPr>
          <w:t>146</w:t>
        </w:r>
        <w:r w:rsidR="007A094C">
          <w:rPr>
            <w:webHidden/>
          </w:rPr>
          <w:fldChar w:fldCharType="end"/>
        </w:r>
      </w:hyperlink>
    </w:p>
    <w:p w14:paraId="0F6A9AB2" w14:textId="77777777" w:rsidR="007A094C" w:rsidRDefault="00580034">
      <w:pPr>
        <w:pStyle w:val="Obsah3"/>
        <w:rPr>
          <w:rFonts w:asciiTheme="minorHAnsi" w:eastAsiaTheme="minorEastAsia" w:hAnsiTheme="minorHAnsi" w:cstheme="minorBidi"/>
          <w:i w:val="0"/>
          <w:sz w:val="22"/>
          <w:szCs w:val="22"/>
        </w:rPr>
      </w:pPr>
      <w:hyperlink w:anchor="_Toc506885051" w:history="1">
        <w:r w:rsidR="007A094C" w:rsidRPr="00611A94">
          <w:rPr>
            <w:rStyle w:val="Hypertextovodkaz"/>
          </w:rPr>
          <w:t>2.B.6</w:t>
        </w:r>
        <w:r w:rsidR="007A094C">
          <w:rPr>
            <w:rFonts w:asciiTheme="minorHAnsi" w:eastAsiaTheme="minorEastAsia" w:hAnsiTheme="minorHAnsi" w:cstheme="minorBidi"/>
            <w:i w:val="0"/>
            <w:sz w:val="22"/>
            <w:szCs w:val="22"/>
          </w:rPr>
          <w:tab/>
        </w:r>
        <w:r w:rsidR="007A094C" w:rsidRPr="00611A94">
          <w:rPr>
            <w:rStyle w:val="Hypertextovodkaz"/>
          </w:rPr>
          <w:t>Opatření, která mají být podpořena, a jejich očekávaný přínos ke specifickým cílům</w:t>
        </w:r>
        <w:r w:rsidR="007A094C">
          <w:rPr>
            <w:webHidden/>
          </w:rPr>
          <w:tab/>
        </w:r>
        <w:r w:rsidR="007A094C">
          <w:rPr>
            <w:webHidden/>
          </w:rPr>
          <w:fldChar w:fldCharType="begin"/>
        </w:r>
        <w:r w:rsidR="007A094C">
          <w:rPr>
            <w:webHidden/>
          </w:rPr>
          <w:instrText xml:space="preserve"> PAGEREF _Toc506885051 \h </w:instrText>
        </w:r>
        <w:r w:rsidR="007A094C">
          <w:rPr>
            <w:webHidden/>
          </w:rPr>
        </w:r>
        <w:r w:rsidR="007A094C">
          <w:rPr>
            <w:webHidden/>
          </w:rPr>
          <w:fldChar w:fldCharType="separate"/>
        </w:r>
        <w:r w:rsidR="007A094C">
          <w:rPr>
            <w:webHidden/>
          </w:rPr>
          <w:t>147</w:t>
        </w:r>
        <w:r w:rsidR="007A094C">
          <w:rPr>
            <w:webHidden/>
          </w:rPr>
          <w:fldChar w:fldCharType="end"/>
        </w:r>
      </w:hyperlink>
    </w:p>
    <w:p w14:paraId="07BD5285" w14:textId="77777777" w:rsidR="007A094C" w:rsidRDefault="00580034">
      <w:pPr>
        <w:pStyle w:val="Obsah3"/>
        <w:rPr>
          <w:rFonts w:asciiTheme="minorHAnsi" w:eastAsiaTheme="minorEastAsia" w:hAnsiTheme="minorHAnsi" w:cstheme="minorBidi"/>
          <w:i w:val="0"/>
          <w:sz w:val="22"/>
          <w:szCs w:val="22"/>
        </w:rPr>
      </w:pPr>
      <w:hyperlink w:anchor="_Toc506885052" w:history="1">
        <w:r w:rsidR="007A094C" w:rsidRPr="00611A94">
          <w:rPr>
            <w:rStyle w:val="Hypertextovodkaz"/>
          </w:rPr>
          <w:t>2.B.7</w:t>
        </w:r>
        <w:r w:rsidR="007A094C">
          <w:rPr>
            <w:rFonts w:asciiTheme="minorHAnsi" w:eastAsiaTheme="minorEastAsia" w:hAnsiTheme="minorHAnsi" w:cstheme="minorBidi"/>
            <w:i w:val="0"/>
            <w:sz w:val="22"/>
            <w:szCs w:val="22"/>
          </w:rPr>
          <w:tab/>
        </w:r>
        <w:r w:rsidR="007A094C" w:rsidRPr="00611A94">
          <w:rPr>
            <w:rStyle w:val="Hypertextovodkaz"/>
          </w:rPr>
          <w:t>Kategorie zásahů</w:t>
        </w:r>
        <w:r w:rsidR="007A094C">
          <w:rPr>
            <w:webHidden/>
          </w:rPr>
          <w:tab/>
        </w:r>
        <w:r w:rsidR="007A094C">
          <w:rPr>
            <w:webHidden/>
          </w:rPr>
          <w:fldChar w:fldCharType="begin"/>
        </w:r>
        <w:r w:rsidR="007A094C">
          <w:rPr>
            <w:webHidden/>
          </w:rPr>
          <w:instrText xml:space="preserve"> PAGEREF _Toc506885052 \h </w:instrText>
        </w:r>
        <w:r w:rsidR="007A094C">
          <w:rPr>
            <w:webHidden/>
          </w:rPr>
        </w:r>
        <w:r w:rsidR="007A094C">
          <w:rPr>
            <w:webHidden/>
          </w:rPr>
          <w:fldChar w:fldCharType="separate"/>
        </w:r>
        <w:r w:rsidR="007A094C">
          <w:rPr>
            <w:webHidden/>
          </w:rPr>
          <w:t>151</w:t>
        </w:r>
        <w:r w:rsidR="007A094C">
          <w:rPr>
            <w:webHidden/>
          </w:rPr>
          <w:fldChar w:fldCharType="end"/>
        </w:r>
      </w:hyperlink>
    </w:p>
    <w:p w14:paraId="0513601B" w14:textId="77777777" w:rsidR="007A094C" w:rsidRDefault="00580034">
      <w:pPr>
        <w:pStyle w:val="Obsah1"/>
        <w:tabs>
          <w:tab w:val="left" w:pos="1320"/>
          <w:tab w:val="right" w:leader="dot" w:pos="9202"/>
        </w:tabs>
        <w:rPr>
          <w:rFonts w:asciiTheme="minorHAnsi" w:eastAsiaTheme="minorEastAsia" w:hAnsiTheme="minorHAnsi" w:cstheme="minorBidi"/>
          <w:b w:val="0"/>
          <w:noProof/>
          <w:sz w:val="22"/>
          <w:szCs w:val="22"/>
        </w:rPr>
      </w:pPr>
      <w:hyperlink w:anchor="_Toc506885053" w:history="1">
        <w:r w:rsidR="007A094C" w:rsidRPr="00611A94">
          <w:rPr>
            <w:rStyle w:val="Hypertextovodkaz"/>
            <w:noProof/>
            <w:spacing w:val="20"/>
          </w:rPr>
          <w:t>ODDÍL 3</w:t>
        </w:r>
        <w:r w:rsidR="007A094C">
          <w:rPr>
            <w:rFonts w:asciiTheme="minorHAnsi" w:eastAsiaTheme="minorEastAsia" w:hAnsiTheme="minorHAnsi" w:cstheme="minorBidi"/>
            <w:b w:val="0"/>
            <w:noProof/>
            <w:sz w:val="22"/>
            <w:szCs w:val="22"/>
          </w:rPr>
          <w:tab/>
        </w:r>
        <w:r w:rsidR="007A094C" w:rsidRPr="00611A94">
          <w:rPr>
            <w:rStyle w:val="Hypertextovodkaz"/>
            <w:noProof/>
          </w:rPr>
          <w:t>Plán financování</w:t>
        </w:r>
        <w:r w:rsidR="007A094C">
          <w:rPr>
            <w:noProof/>
            <w:webHidden/>
          </w:rPr>
          <w:tab/>
        </w:r>
        <w:r w:rsidR="007A094C">
          <w:rPr>
            <w:noProof/>
            <w:webHidden/>
          </w:rPr>
          <w:fldChar w:fldCharType="begin"/>
        </w:r>
        <w:r w:rsidR="007A094C">
          <w:rPr>
            <w:noProof/>
            <w:webHidden/>
          </w:rPr>
          <w:instrText xml:space="preserve"> PAGEREF _Toc506885053 \h </w:instrText>
        </w:r>
        <w:r w:rsidR="007A094C">
          <w:rPr>
            <w:noProof/>
            <w:webHidden/>
          </w:rPr>
        </w:r>
        <w:r w:rsidR="007A094C">
          <w:rPr>
            <w:noProof/>
            <w:webHidden/>
          </w:rPr>
          <w:fldChar w:fldCharType="separate"/>
        </w:r>
        <w:r w:rsidR="007A094C">
          <w:rPr>
            <w:noProof/>
            <w:webHidden/>
          </w:rPr>
          <w:t>152</w:t>
        </w:r>
        <w:r w:rsidR="007A094C">
          <w:rPr>
            <w:noProof/>
            <w:webHidden/>
          </w:rPr>
          <w:fldChar w:fldCharType="end"/>
        </w:r>
      </w:hyperlink>
    </w:p>
    <w:p w14:paraId="535AB098"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5054" w:history="1">
        <w:r w:rsidR="007A094C" w:rsidRPr="00611A94">
          <w:rPr>
            <w:rStyle w:val="Hypertextovodkaz"/>
            <w:rFonts w:cs="Calibri"/>
            <w:noProof/>
          </w:rPr>
          <w:t>3.1</w:t>
        </w:r>
        <w:r w:rsidR="007A094C">
          <w:rPr>
            <w:rFonts w:asciiTheme="minorHAnsi" w:eastAsiaTheme="minorEastAsia" w:hAnsiTheme="minorHAnsi" w:cstheme="minorBidi"/>
            <w:noProof/>
            <w:sz w:val="22"/>
            <w:szCs w:val="22"/>
          </w:rPr>
          <w:tab/>
        </w:r>
        <w:r w:rsidR="007A094C" w:rsidRPr="00611A94">
          <w:rPr>
            <w:rStyle w:val="Hypertextovodkaz"/>
            <w:rFonts w:cs="Calibri"/>
            <w:noProof/>
          </w:rPr>
          <w:t>Finanční podpora z každého fondu a částky týkající se výkonnostní rezervy</w:t>
        </w:r>
        <w:r w:rsidR="007A094C">
          <w:rPr>
            <w:noProof/>
            <w:webHidden/>
          </w:rPr>
          <w:tab/>
        </w:r>
        <w:r w:rsidR="007A094C">
          <w:rPr>
            <w:noProof/>
            <w:webHidden/>
          </w:rPr>
          <w:fldChar w:fldCharType="begin"/>
        </w:r>
        <w:r w:rsidR="007A094C">
          <w:rPr>
            <w:noProof/>
            <w:webHidden/>
          </w:rPr>
          <w:instrText xml:space="preserve"> PAGEREF _Toc506885054 \h </w:instrText>
        </w:r>
        <w:r w:rsidR="007A094C">
          <w:rPr>
            <w:noProof/>
            <w:webHidden/>
          </w:rPr>
        </w:r>
        <w:r w:rsidR="007A094C">
          <w:rPr>
            <w:noProof/>
            <w:webHidden/>
          </w:rPr>
          <w:fldChar w:fldCharType="separate"/>
        </w:r>
        <w:r w:rsidR="007A094C">
          <w:rPr>
            <w:noProof/>
            <w:webHidden/>
          </w:rPr>
          <w:t>152</w:t>
        </w:r>
        <w:r w:rsidR="007A094C">
          <w:rPr>
            <w:noProof/>
            <w:webHidden/>
          </w:rPr>
          <w:fldChar w:fldCharType="end"/>
        </w:r>
      </w:hyperlink>
    </w:p>
    <w:p w14:paraId="59358751"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5055" w:history="1">
        <w:r w:rsidR="007A094C" w:rsidRPr="00611A94">
          <w:rPr>
            <w:rStyle w:val="Hypertextovodkaz"/>
            <w:noProof/>
          </w:rPr>
          <w:t>3.2</w:t>
        </w:r>
        <w:r w:rsidR="007A094C">
          <w:rPr>
            <w:rFonts w:asciiTheme="minorHAnsi" w:eastAsiaTheme="minorEastAsia" w:hAnsiTheme="minorHAnsi" w:cstheme="minorBidi"/>
            <w:noProof/>
            <w:sz w:val="22"/>
            <w:szCs w:val="22"/>
          </w:rPr>
          <w:tab/>
        </w:r>
        <w:r w:rsidR="007A094C" w:rsidRPr="00611A94">
          <w:rPr>
            <w:rStyle w:val="Hypertextovodkaz"/>
            <w:noProof/>
          </w:rPr>
          <w:t>Celková výše finanční podpory z každého fondu a vnitrostátního spolufinancování (v EUR)</w:t>
        </w:r>
        <w:r w:rsidR="007A094C">
          <w:rPr>
            <w:noProof/>
            <w:webHidden/>
          </w:rPr>
          <w:tab/>
        </w:r>
        <w:r w:rsidR="007A094C">
          <w:rPr>
            <w:noProof/>
            <w:webHidden/>
          </w:rPr>
          <w:fldChar w:fldCharType="begin"/>
        </w:r>
        <w:r w:rsidR="007A094C">
          <w:rPr>
            <w:noProof/>
            <w:webHidden/>
          </w:rPr>
          <w:instrText xml:space="preserve"> PAGEREF _Toc506885055 \h </w:instrText>
        </w:r>
        <w:r w:rsidR="007A094C">
          <w:rPr>
            <w:noProof/>
            <w:webHidden/>
          </w:rPr>
        </w:r>
        <w:r w:rsidR="007A094C">
          <w:rPr>
            <w:noProof/>
            <w:webHidden/>
          </w:rPr>
          <w:fldChar w:fldCharType="separate"/>
        </w:r>
        <w:r w:rsidR="007A094C">
          <w:rPr>
            <w:noProof/>
            <w:webHidden/>
          </w:rPr>
          <w:t>153</w:t>
        </w:r>
        <w:r w:rsidR="007A094C">
          <w:rPr>
            <w:noProof/>
            <w:webHidden/>
          </w:rPr>
          <w:fldChar w:fldCharType="end"/>
        </w:r>
      </w:hyperlink>
    </w:p>
    <w:p w14:paraId="75950EEE" w14:textId="77777777" w:rsidR="007A094C" w:rsidRDefault="00580034">
      <w:pPr>
        <w:pStyle w:val="Obsah1"/>
        <w:tabs>
          <w:tab w:val="left" w:pos="1320"/>
          <w:tab w:val="right" w:leader="dot" w:pos="9202"/>
        </w:tabs>
        <w:rPr>
          <w:rFonts w:asciiTheme="minorHAnsi" w:eastAsiaTheme="minorEastAsia" w:hAnsiTheme="minorHAnsi" w:cstheme="minorBidi"/>
          <w:b w:val="0"/>
          <w:noProof/>
          <w:sz w:val="22"/>
          <w:szCs w:val="22"/>
        </w:rPr>
      </w:pPr>
      <w:hyperlink w:anchor="_Toc506885056" w:history="1">
        <w:r w:rsidR="007A094C" w:rsidRPr="00611A94">
          <w:rPr>
            <w:rStyle w:val="Hypertextovodkaz"/>
            <w:noProof/>
            <w:spacing w:val="20"/>
          </w:rPr>
          <w:t>ODDÍL 4</w:t>
        </w:r>
        <w:r w:rsidR="007A094C">
          <w:rPr>
            <w:rFonts w:asciiTheme="minorHAnsi" w:eastAsiaTheme="minorEastAsia" w:hAnsiTheme="minorHAnsi" w:cstheme="minorBidi"/>
            <w:b w:val="0"/>
            <w:noProof/>
            <w:sz w:val="22"/>
            <w:szCs w:val="22"/>
          </w:rPr>
          <w:tab/>
        </w:r>
        <w:r w:rsidR="007A094C" w:rsidRPr="00611A94">
          <w:rPr>
            <w:rStyle w:val="Hypertextovodkaz"/>
            <w:noProof/>
          </w:rPr>
          <w:t>Integrovaný přístup k územnímu rozvoji</w:t>
        </w:r>
        <w:r w:rsidR="007A094C">
          <w:rPr>
            <w:noProof/>
            <w:webHidden/>
          </w:rPr>
          <w:tab/>
        </w:r>
        <w:r w:rsidR="007A094C">
          <w:rPr>
            <w:noProof/>
            <w:webHidden/>
          </w:rPr>
          <w:fldChar w:fldCharType="begin"/>
        </w:r>
        <w:r w:rsidR="007A094C">
          <w:rPr>
            <w:noProof/>
            <w:webHidden/>
          </w:rPr>
          <w:instrText xml:space="preserve"> PAGEREF _Toc506885056 \h </w:instrText>
        </w:r>
        <w:r w:rsidR="007A094C">
          <w:rPr>
            <w:noProof/>
            <w:webHidden/>
          </w:rPr>
        </w:r>
        <w:r w:rsidR="007A094C">
          <w:rPr>
            <w:noProof/>
            <w:webHidden/>
          </w:rPr>
          <w:fldChar w:fldCharType="separate"/>
        </w:r>
        <w:r w:rsidR="007A094C">
          <w:rPr>
            <w:noProof/>
            <w:webHidden/>
          </w:rPr>
          <w:t>155</w:t>
        </w:r>
        <w:r w:rsidR="007A094C">
          <w:rPr>
            <w:noProof/>
            <w:webHidden/>
          </w:rPr>
          <w:fldChar w:fldCharType="end"/>
        </w:r>
      </w:hyperlink>
    </w:p>
    <w:p w14:paraId="726ABEDD"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5057" w:history="1">
        <w:r w:rsidR="007A094C" w:rsidRPr="00611A94">
          <w:rPr>
            <w:rStyle w:val="Hypertextovodkaz"/>
            <w:rFonts w:cs="Calibri"/>
            <w:noProof/>
          </w:rPr>
          <w:t>4.1</w:t>
        </w:r>
        <w:r w:rsidR="007A094C">
          <w:rPr>
            <w:rFonts w:asciiTheme="minorHAnsi" w:eastAsiaTheme="minorEastAsia" w:hAnsiTheme="minorHAnsi" w:cstheme="minorBidi"/>
            <w:noProof/>
            <w:sz w:val="22"/>
            <w:szCs w:val="22"/>
          </w:rPr>
          <w:tab/>
        </w:r>
        <w:r w:rsidR="007A094C" w:rsidRPr="00611A94">
          <w:rPr>
            <w:rStyle w:val="Hypertextovodkaz"/>
            <w:rFonts w:cs="Calibri"/>
            <w:noProof/>
          </w:rPr>
          <w:t>Nástroje k zajištění komunitně vedeného místního rozvoje</w:t>
        </w:r>
        <w:r w:rsidR="007A094C">
          <w:rPr>
            <w:noProof/>
            <w:webHidden/>
          </w:rPr>
          <w:tab/>
        </w:r>
        <w:r w:rsidR="007A094C">
          <w:rPr>
            <w:noProof/>
            <w:webHidden/>
          </w:rPr>
          <w:fldChar w:fldCharType="begin"/>
        </w:r>
        <w:r w:rsidR="007A094C">
          <w:rPr>
            <w:noProof/>
            <w:webHidden/>
          </w:rPr>
          <w:instrText xml:space="preserve"> PAGEREF _Toc506885057 \h </w:instrText>
        </w:r>
        <w:r w:rsidR="007A094C">
          <w:rPr>
            <w:noProof/>
            <w:webHidden/>
          </w:rPr>
        </w:r>
        <w:r w:rsidR="007A094C">
          <w:rPr>
            <w:noProof/>
            <w:webHidden/>
          </w:rPr>
          <w:fldChar w:fldCharType="separate"/>
        </w:r>
        <w:r w:rsidR="007A094C">
          <w:rPr>
            <w:noProof/>
            <w:webHidden/>
          </w:rPr>
          <w:t>156</w:t>
        </w:r>
        <w:r w:rsidR="007A094C">
          <w:rPr>
            <w:noProof/>
            <w:webHidden/>
          </w:rPr>
          <w:fldChar w:fldCharType="end"/>
        </w:r>
      </w:hyperlink>
    </w:p>
    <w:p w14:paraId="04290E9D"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5058" w:history="1">
        <w:r w:rsidR="007A094C" w:rsidRPr="00611A94">
          <w:rPr>
            <w:rStyle w:val="Hypertextovodkaz"/>
            <w:rFonts w:cs="Calibri"/>
            <w:noProof/>
          </w:rPr>
          <w:t>4.2</w:t>
        </w:r>
        <w:r w:rsidR="007A094C">
          <w:rPr>
            <w:rFonts w:asciiTheme="minorHAnsi" w:eastAsiaTheme="minorEastAsia" w:hAnsiTheme="minorHAnsi" w:cstheme="minorBidi"/>
            <w:noProof/>
            <w:sz w:val="22"/>
            <w:szCs w:val="22"/>
          </w:rPr>
          <w:tab/>
        </w:r>
        <w:r w:rsidR="007A094C" w:rsidRPr="00611A94">
          <w:rPr>
            <w:rStyle w:val="Hypertextovodkaz"/>
            <w:rFonts w:cs="Calibri"/>
            <w:noProof/>
          </w:rPr>
          <w:t>Integrovaná opatření pro udržitelný rozvoj měst</w:t>
        </w:r>
        <w:r w:rsidR="007A094C">
          <w:rPr>
            <w:noProof/>
            <w:webHidden/>
          </w:rPr>
          <w:tab/>
        </w:r>
        <w:r w:rsidR="007A094C">
          <w:rPr>
            <w:noProof/>
            <w:webHidden/>
          </w:rPr>
          <w:fldChar w:fldCharType="begin"/>
        </w:r>
        <w:r w:rsidR="007A094C">
          <w:rPr>
            <w:noProof/>
            <w:webHidden/>
          </w:rPr>
          <w:instrText xml:space="preserve"> PAGEREF _Toc506885058 \h </w:instrText>
        </w:r>
        <w:r w:rsidR="007A094C">
          <w:rPr>
            <w:noProof/>
            <w:webHidden/>
          </w:rPr>
        </w:r>
        <w:r w:rsidR="007A094C">
          <w:rPr>
            <w:noProof/>
            <w:webHidden/>
          </w:rPr>
          <w:fldChar w:fldCharType="separate"/>
        </w:r>
        <w:r w:rsidR="007A094C">
          <w:rPr>
            <w:noProof/>
            <w:webHidden/>
          </w:rPr>
          <w:t>156</w:t>
        </w:r>
        <w:r w:rsidR="007A094C">
          <w:rPr>
            <w:noProof/>
            <w:webHidden/>
          </w:rPr>
          <w:fldChar w:fldCharType="end"/>
        </w:r>
      </w:hyperlink>
    </w:p>
    <w:p w14:paraId="362246EC"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5059" w:history="1">
        <w:r w:rsidR="007A094C" w:rsidRPr="00611A94">
          <w:rPr>
            <w:rStyle w:val="Hypertextovodkaz"/>
            <w:noProof/>
          </w:rPr>
          <w:t>4.3</w:t>
        </w:r>
        <w:r w:rsidR="007A094C">
          <w:rPr>
            <w:rFonts w:asciiTheme="minorHAnsi" w:eastAsiaTheme="minorEastAsia" w:hAnsiTheme="minorHAnsi" w:cstheme="minorBidi"/>
            <w:noProof/>
            <w:sz w:val="22"/>
            <w:szCs w:val="22"/>
          </w:rPr>
          <w:tab/>
        </w:r>
        <w:r w:rsidR="007A094C" w:rsidRPr="00611A94">
          <w:rPr>
            <w:rStyle w:val="Hypertextovodkaz"/>
            <w:rFonts w:cs="Calibri"/>
            <w:noProof/>
          </w:rPr>
          <w:t>Integrované územní investice</w:t>
        </w:r>
        <w:r w:rsidR="007A094C">
          <w:rPr>
            <w:noProof/>
            <w:webHidden/>
          </w:rPr>
          <w:tab/>
        </w:r>
        <w:r w:rsidR="007A094C">
          <w:rPr>
            <w:noProof/>
            <w:webHidden/>
          </w:rPr>
          <w:fldChar w:fldCharType="begin"/>
        </w:r>
        <w:r w:rsidR="007A094C">
          <w:rPr>
            <w:noProof/>
            <w:webHidden/>
          </w:rPr>
          <w:instrText xml:space="preserve"> PAGEREF _Toc506885059 \h </w:instrText>
        </w:r>
        <w:r w:rsidR="007A094C">
          <w:rPr>
            <w:noProof/>
            <w:webHidden/>
          </w:rPr>
        </w:r>
        <w:r w:rsidR="007A094C">
          <w:rPr>
            <w:noProof/>
            <w:webHidden/>
          </w:rPr>
          <w:fldChar w:fldCharType="separate"/>
        </w:r>
        <w:r w:rsidR="007A094C">
          <w:rPr>
            <w:noProof/>
            <w:webHidden/>
          </w:rPr>
          <w:t>157</w:t>
        </w:r>
        <w:r w:rsidR="007A094C">
          <w:rPr>
            <w:noProof/>
            <w:webHidden/>
          </w:rPr>
          <w:fldChar w:fldCharType="end"/>
        </w:r>
      </w:hyperlink>
    </w:p>
    <w:p w14:paraId="5C0793D0"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5060" w:history="1">
        <w:r w:rsidR="007A094C" w:rsidRPr="00611A94">
          <w:rPr>
            <w:rStyle w:val="Hypertextovodkaz"/>
            <w:rFonts w:cs="Calibri"/>
            <w:noProof/>
          </w:rPr>
          <w:t>4.4</w:t>
        </w:r>
        <w:r w:rsidR="007A094C">
          <w:rPr>
            <w:rFonts w:asciiTheme="minorHAnsi" w:eastAsiaTheme="minorEastAsia" w:hAnsiTheme="minorHAnsi" w:cstheme="minorBidi"/>
            <w:noProof/>
            <w:sz w:val="22"/>
            <w:szCs w:val="22"/>
          </w:rPr>
          <w:tab/>
        </w:r>
        <w:r w:rsidR="007A094C" w:rsidRPr="00611A94">
          <w:rPr>
            <w:rStyle w:val="Hypertextovodkaz"/>
            <w:rFonts w:cs="Calibri"/>
            <w:noProof/>
          </w:rPr>
          <w:t>Ujednání pro meziregionální a nadnárodní opatření v rámci operačního programu s příjemci, kteří se nacházejí alespoň v jednom dalším členském státu</w:t>
        </w:r>
        <w:r w:rsidR="007A094C">
          <w:rPr>
            <w:noProof/>
            <w:webHidden/>
          </w:rPr>
          <w:tab/>
        </w:r>
        <w:r w:rsidR="007A094C">
          <w:rPr>
            <w:noProof/>
            <w:webHidden/>
          </w:rPr>
          <w:fldChar w:fldCharType="begin"/>
        </w:r>
        <w:r w:rsidR="007A094C">
          <w:rPr>
            <w:noProof/>
            <w:webHidden/>
          </w:rPr>
          <w:instrText xml:space="preserve"> PAGEREF _Toc506885060 \h </w:instrText>
        </w:r>
        <w:r w:rsidR="007A094C">
          <w:rPr>
            <w:noProof/>
            <w:webHidden/>
          </w:rPr>
        </w:r>
        <w:r w:rsidR="007A094C">
          <w:rPr>
            <w:noProof/>
            <w:webHidden/>
          </w:rPr>
          <w:fldChar w:fldCharType="separate"/>
        </w:r>
        <w:r w:rsidR="007A094C">
          <w:rPr>
            <w:noProof/>
            <w:webHidden/>
          </w:rPr>
          <w:t>158</w:t>
        </w:r>
        <w:r w:rsidR="007A094C">
          <w:rPr>
            <w:noProof/>
            <w:webHidden/>
          </w:rPr>
          <w:fldChar w:fldCharType="end"/>
        </w:r>
      </w:hyperlink>
    </w:p>
    <w:p w14:paraId="29BE88BA"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5061" w:history="1">
        <w:r w:rsidR="007A094C" w:rsidRPr="00611A94">
          <w:rPr>
            <w:rStyle w:val="Hypertextovodkaz"/>
            <w:rFonts w:cs="Calibri"/>
            <w:noProof/>
          </w:rPr>
          <w:t>4.5</w:t>
        </w:r>
        <w:r w:rsidR="007A094C">
          <w:rPr>
            <w:rFonts w:asciiTheme="minorHAnsi" w:eastAsiaTheme="minorEastAsia" w:hAnsiTheme="minorHAnsi" w:cstheme="minorBidi"/>
            <w:noProof/>
            <w:sz w:val="22"/>
            <w:szCs w:val="22"/>
          </w:rPr>
          <w:tab/>
        </w:r>
        <w:r w:rsidR="007A094C" w:rsidRPr="00611A94">
          <w:rPr>
            <w:rStyle w:val="Hypertextovodkaz"/>
            <w:rFonts w:cs="Calibri"/>
            <w:noProof/>
          </w:rPr>
          <w:t>Přínos plánovaných opatření programu k realizaci makroregionálních strategií a strategií pro přímořské oblasti v závislosti na potřebách programové oblasti určených příslušným členským státem</w:t>
        </w:r>
        <w:r w:rsidR="007A094C">
          <w:rPr>
            <w:noProof/>
            <w:webHidden/>
          </w:rPr>
          <w:tab/>
        </w:r>
        <w:r w:rsidR="007A094C">
          <w:rPr>
            <w:noProof/>
            <w:webHidden/>
          </w:rPr>
          <w:fldChar w:fldCharType="begin"/>
        </w:r>
        <w:r w:rsidR="007A094C">
          <w:rPr>
            <w:noProof/>
            <w:webHidden/>
          </w:rPr>
          <w:instrText xml:space="preserve"> PAGEREF _Toc506885061 \h </w:instrText>
        </w:r>
        <w:r w:rsidR="007A094C">
          <w:rPr>
            <w:noProof/>
            <w:webHidden/>
          </w:rPr>
        </w:r>
        <w:r w:rsidR="007A094C">
          <w:rPr>
            <w:noProof/>
            <w:webHidden/>
          </w:rPr>
          <w:fldChar w:fldCharType="separate"/>
        </w:r>
        <w:r w:rsidR="007A094C">
          <w:rPr>
            <w:noProof/>
            <w:webHidden/>
          </w:rPr>
          <w:t>158</w:t>
        </w:r>
        <w:r w:rsidR="007A094C">
          <w:rPr>
            <w:noProof/>
            <w:webHidden/>
          </w:rPr>
          <w:fldChar w:fldCharType="end"/>
        </w:r>
      </w:hyperlink>
    </w:p>
    <w:p w14:paraId="0D900C35" w14:textId="77777777" w:rsidR="007A094C" w:rsidRDefault="00580034">
      <w:pPr>
        <w:pStyle w:val="Obsah1"/>
        <w:tabs>
          <w:tab w:val="left" w:pos="1320"/>
          <w:tab w:val="right" w:leader="dot" w:pos="9202"/>
        </w:tabs>
        <w:rPr>
          <w:rFonts w:asciiTheme="minorHAnsi" w:eastAsiaTheme="minorEastAsia" w:hAnsiTheme="minorHAnsi" w:cstheme="minorBidi"/>
          <w:b w:val="0"/>
          <w:noProof/>
          <w:sz w:val="22"/>
          <w:szCs w:val="22"/>
        </w:rPr>
      </w:pPr>
      <w:hyperlink w:anchor="_Toc506885062" w:history="1">
        <w:r w:rsidR="007A094C" w:rsidRPr="00611A94">
          <w:rPr>
            <w:rStyle w:val="Hypertextovodkaz"/>
            <w:noProof/>
            <w:spacing w:val="20"/>
          </w:rPr>
          <w:t>ODDÍL 5</w:t>
        </w:r>
        <w:r w:rsidR="007A094C">
          <w:rPr>
            <w:rFonts w:asciiTheme="minorHAnsi" w:eastAsiaTheme="minorEastAsia" w:hAnsiTheme="minorHAnsi" w:cstheme="minorBidi"/>
            <w:b w:val="0"/>
            <w:noProof/>
            <w:sz w:val="22"/>
            <w:szCs w:val="22"/>
          </w:rPr>
          <w:tab/>
        </w:r>
        <w:r w:rsidR="007A094C" w:rsidRPr="00611A94">
          <w:rPr>
            <w:rStyle w:val="Hypertextovodkaz"/>
            <w:noProof/>
          </w:rPr>
          <w:t>Specifické potřeby zeměpisných oblastí nejvíce postižených chudobou nebo cílových skupin, jimž nejvíce hrozí diskriminace nebo sociální vyloučení</w:t>
        </w:r>
        <w:r w:rsidR="007A094C">
          <w:rPr>
            <w:noProof/>
            <w:webHidden/>
          </w:rPr>
          <w:tab/>
        </w:r>
        <w:r w:rsidR="007A094C">
          <w:rPr>
            <w:noProof/>
            <w:webHidden/>
          </w:rPr>
          <w:fldChar w:fldCharType="begin"/>
        </w:r>
        <w:r w:rsidR="007A094C">
          <w:rPr>
            <w:noProof/>
            <w:webHidden/>
          </w:rPr>
          <w:instrText xml:space="preserve"> PAGEREF _Toc506885062 \h </w:instrText>
        </w:r>
        <w:r w:rsidR="007A094C">
          <w:rPr>
            <w:noProof/>
            <w:webHidden/>
          </w:rPr>
        </w:r>
        <w:r w:rsidR="007A094C">
          <w:rPr>
            <w:noProof/>
            <w:webHidden/>
          </w:rPr>
          <w:fldChar w:fldCharType="separate"/>
        </w:r>
        <w:r w:rsidR="007A094C">
          <w:rPr>
            <w:noProof/>
            <w:webHidden/>
          </w:rPr>
          <w:t>160</w:t>
        </w:r>
        <w:r w:rsidR="007A094C">
          <w:rPr>
            <w:noProof/>
            <w:webHidden/>
          </w:rPr>
          <w:fldChar w:fldCharType="end"/>
        </w:r>
      </w:hyperlink>
    </w:p>
    <w:p w14:paraId="6A310F6A"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5063" w:history="1">
        <w:r w:rsidR="007A094C" w:rsidRPr="00611A94">
          <w:rPr>
            <w:rStyle w:val="Hypertextovodkaz"/>
            <w:noProof/>
          </w:rPr>
          <w:t>5.1</w:t>
        </w:r>
        <w:r w:rsidR="007A094C">
          <w:rPr>
            <w:rFonts w:asciiTheme="minorHAnsi" w:eastAsiaTheme="minorEastAsia" w:hAnsiTheme="minorHAnsi" w:cstheme="minorBidi"/>
            <w:noProof/>
            <w:sz w:val="22"/>
            <w:szCs w:val="22"/>
          </w:rPr>
          <w:tab/>
        </w:r>
        <w:r w:rsidR="007A094C" w:rsidRPr="00611A94">
          <w:rPr>
            <w:rStyle w:val="Hypertextovodkaz"/>
            <w:noProof/>
          </w:rPr>
          <w:t>Zeměpisné oblasti nejvíce postižené chudobou / cílové skupiny, jimž nejvíce hrozí diskriminace nebo sociální vyloučení</w:t>
        </w:r>
        <w:r w:rsidR="007A094C">
          <w:rPr>
            <w:noProof/>
            <w:webHidden/>
          </w:rPr>
          <w:tab/>
        </w:r>
        <w:r w:rsidR="007A094C">
          <w:rPr>
            <w:noProof/>
            <w:webHidden/>
          </w:rPr>
          <w:fldChar w:fldCharType="begin"/>
        </w:r>
        <w:r w:rsidR="007A094C">
          <w:rPr>
            <w:noProof/>
            <w:webHidden/>
          </w:rPr>
          <w:instrText xml:space="preserve"> PAGEREF _Toc506885063 \h </w:instrText>
        </w:r>
        <w:r w:rsidR="007A094C">
          <w:rPr>
            <w:noProof/>
            <w:webHidden/>
          </w:rPr>
        </w:r>
        <w:r w:rsidR="007A094C">
          <w:rPr>
            <w:noProof/>
            <w:webHidden/>
          </w:rPr>
          <w:fldChar w:fldCharType="separate"/>
        </w:r>
        <w:r w:rsidR="007A094C">
          <w:rPr>
            <w:noProof/>
            <w:webHidden/>
          </w:rPr>
          <w:t>160</w:t>
        </w:r>
        <w:r w:rsidR="007A094C">
          <w:rPr>
            <w:noProof/>
            <w:webHidden/>
          </w:rPr>
          <w:fldChar w:fldCharType="end"/>
        </w:r>
      </w:hyperlink>
    </w:p>
    <w:p w14:paraId="77293E41"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5064" w:history="1">
        <w:r w:rsidR="007A094C" w:rsidRPr="00611A94">
          <w:rPr>
            <w:rStyle w:val="Hypertextovodkaz"/>
            <w:noProof/>
          </w:rPr>
          <w:t>5.2</w:t>
        </w:r>
        <w:r w:rsidR="007A094C">
          <w:rPr>
            <w:rFonts w:asciiTheme="minorHAnsi" w:eastAsiaTheme="minorEastAsia" w:hAnsiTheme="minorHAnsi" w:cstheme="minorBidi"/>
            <w:noProof/>
            <w:sz w:val="22"/>
            <w:szCs w:val="22"/>
          </w:rPr>
          <w:tab/>
        </w:r>
        <w:r w:rsidR="007A094C" w:rsidRPr="00611A94">
          <w:rPr>
            <w:rStyle w:val="Hypertextovodkaz"/>
            <w:noProof/>
          </w:rPr>
          <w:t>Strategie pro řešení specifických potřeb zeměpisných oblastí nejvíce postižených chudobou / cílových skupin, jimž nejvíce hrozí diskriminace nebo sociální vyloučení a případně přínos k integrovanému přístupu stanovenému za tímto účelem v dohodě o partnerství</w:t>
        </w:r>
        <w:r w:rsidR="007A094C">
          <w:rPr>
            <w:noProof/>
            <w:webHidden/>
          </w:rPr>
          <w:tab/>
        </w:r>
        <w:r w:rsidR="007A094C">
          <w:rPr>
            <w:noProof/>
            <w:webHidden/>
          </w:rPr>
          <w:fldChar w:fldCharType="begin"/>
        </w:r>
        <w:r w:rsidR="007A094C">
          <w:rPr>
            <w:noProof/>
            <w:webHidden/>
          </w:rPr>
          <w:instrText xml:space="preserve"> PAGEREF _Toc506885064 \h </w:instrText>
        </w:r>
        <w:r w:rsidR="007A094C">
          <w:rPr>
            <w:noProof/>
            <w:webHidden/>
          </w:rPr>
        </w:r>
        <w:r w:rsidR="007A094C">
          <w:rPr>
            <w:noProof/>
            <w:webHidden/>
          </w:rPr>
          <w:fldChar w:fldCharType="separate"/>
        </w:r>
        <w:r w:rsidR="007A094C">
          <w:rPr>
            <w:noProof/>
            <w:webHidden/>
          </w:rPr>
          <w:t>161</w:t>
        </w:r>
        <w:r w:rsidR="007A094C">
          <w:rPr>
            <w:noProof/>
            <w:webHidden/>
          </w:rPr>
          <w:fldChar w:fldCharType="end"/>
        </w:r>
      </w:hyperlink>
    </w:p>
    <w:p w14:paraId="04464146" w14:textId="77777777" w:rsidR="007A094C" w:rsidRDefault="00580034">
      <w:pPr>
        <w:pStyle w:val="Obsah1"/>
        <w:tabs>
          <w:tab w:val="left" w:pos="1320"/>
          <w:tab w:val="right" w:leader="dot" w:pos="9202"/>
        </w:tabs>
        <w:rPr>
          <w:rFonts w:asciiTheme="minorHAnsi" w:eastAsiaTheme="minorEastAsia" w:hAnsiTheme="minorHAnsi" w:cstheme="minorBidi"/>
          <w:b w:val="0"/>
          <w:noProof/>
          <w:sz w:val="22"/>
          <w:szCs w:val="22"/>
        </w:rPr>
      </w:pPr>
      <w:hyperlink w:anchor="_Toc506885065" w:history="1">
        <w:r w:rsidR="007A094C" w:rsidRPr="00611A94">
          <w:rPr>
            <w:rStyle w:val="Hypertextovodkaz"/>
            <w:noProof/>
            <w:spacing w:val="20"/>
          </w:rPr>
          <w:t>ODDÍL 6</w:t>
        </w:r>
        <w:r w:rsidR="007A094C">
          <w:rPr>
            <w:rFonts w:asciiTheme="minorHAnsi" w:eastAsiaTheme="minorEastAsia" w:hAnsiTheme="minorHAnsi" w:cstheme="minorBidi"/>
            <w:b w:val="0"/>
            <w:noProof/>
            <w:sz w:val="22"/>
            <w:szCs w:val="22"/>
          </w:rPr>
          <w:tab/>
        </w:r>
        <w:r w:rsidR="007A094C" w:rsidRPr="00611A94">
          <w:rPr>
            <w:rStyle w:val="Hypertextovodkaz"/>
            <w:noProof/>
          </w:rPr>
          <w:t>Specifické potřeby zeměpisných oblastí, které jsou závažně a trvale znevýhodněny přírodními nebo demografickými podmínkami</w:t>
        </w:r>
        <w:r w:rsidR="007A094C">
          <w:rPr>
            <w:noProof/>
            <w:webHidden/>
          </w:rPr>
          <w:tab/>
        </w:r>
        <w:r w:rsidR="007A094C">
          <w:rPr>
            <w:noProof/>
            <w:webHidden/>
          </w:rPr>
          <w:fldChar w:fldCharType="begin"/>
        </w:r>
        <w:r w:rsidR="007A094C">
          <w:rPr>
            <w:noProof/>
            <w:webHidden/>
          </w:rPr>
          <w:instrText xml:space="preserve"> PAGEREF _Toc506885065 \h </w:instrText>
        </w:r>
        <w:r w:rsidR="007A094C">
          <w:rPr>
            <w:noProof/>
            <w:webHidden/>
          </w:rPr>
        </w:r>
        <w:r w:rsidR="007A094C">
          <w:rPr>
            <w:noProof/>
            <w:webHidden/>
          </w:rPr>
          <w:fldChar w:fldCharType="separate"/>
        </w:r>
        <w:r w:rsidR="007A094C">
          <w:rPr>
            <w:noProof/>
            <w:webHidden/>
          </w:rPr>
          <w:t>163</w:t>
        </w:r>
        <w:r w:rsidR="007A094C">
          <w:rPr>
            <w:noProof/>
            <w:webHidden/>
          </w:rPr>
          <w:fldChar w:fldCharType="end"/>
        </w:r>
      </w:hyperlink>
    </w:p>
    <w:p w14:paraId="1642BF13" w14:textId="77777777" w:rsidR="007A094C" w:rsidRDefault="00580034">
      <w:pPr>
        <w:pStyle w:val="Obsah1"/>
        <w:tabs>
          <w:tab w:val="left" w:pos="1320"/>
          <w:tab w:val="right" w:leader="dot" w:pos="9202"/>
        </w:tabs>
        <w:rPr>
          <w:rFonts w:asciiTheme="minorHAnsi" w:eastAsiaTheme="minorEastAsia" w:hAnsiTheme="minorHAnsi" w:cstheme="minorBidi"/>
          <w:b w:val="0"/>
          <w:noProof/>
          <w:sz w:val="22"/>
          <w:szCs w:val="22"/>
        </w:rPr>
      </w:pPr>
      <w:hyperlink w:anchor="_Toc506885066" w:history="1">
        <w:r w:rsidR="007A094C" w:rsidRPr="00611A94">
          <w:rPr>
            <w:rStyle w:val="Hypertextovodkaz"/>
            <w:noProof/>
            <w:spacing w:val="20"/>
          </w:rPr>
          <w:t>ODDÍL 7</w:t>
        </w:r>
        <w:r w:rsidR="007A094C">
          <w:rPr>
            <w:rFonts w:asciiTheme="minorHAnsi" w:eastAsiaTheme="minorEastAsia" w:hAnsiTheme="minorHAnsi" w:cstheme="minorBidi"/>
            <w:b w:val="0"/>
            <w:noProof/>
            <w:sz w:val="22"/>
            <w:szCs w:val="22"/>
          </w:rPr>
          <w:tab/>
        </w:r>
        <w:r w:rsidR="007A094C" w:rsidRPr="00611A94">
          <w:rPr>
            <w:rStyle w:val="Hypertextovodkaz"/>
            <w:noProof/>
          </w:rPr>
          <w:t>Orgány a subjekty odpovědné za řízení, kontrolu a audit a úloha příslušných partnerů</w:t>
        </w:r>
        <w:r w:rsidR="007A094C">
          <w:rPr>
            <w:noProof/>
            <w:webHidden/>
          </w:rPr>
          <w:tab/>
        </w:r>
        <w:r w:rsidR="007A094C">
          <w:rPr>
            <w:noProof/>
            <w:webHidden/>
          </w:rPr>
          <w:fldChar w:fldCharType="begin"/>
        </w:r>
        <w:r w:rsidR="007A094C">
          <w:rPr>
            <w:noProof/>
            <w:webHidden/>
          </w:rPr>
          <w:instrText xml:space="preserve"> PAGEREF _Toc506885066 \h </w:instrText>
        </w:r>
        <w:r w:rsidR="007A094C">
          <w:rPr>
            <w:noProof/>
            <w:webHidden/>
          </w:rPr>
        </w:r>
        <w:r w:rsidR="007A094C">
          <w:rPr>
            <w:noProof/>
            <w:webHidden/>
          </w:rPr>
          <w:fldChar w:fldCharType="separate"/>
        </w:r>
        <w:r w:rsidR="007A094C">
          <w:rPr>
            <w:noProof/>
            <w:webHidden/>
          </w:rPr>
          <w:t>164</w:t>
        </w:r>
        <w:r w:rsidR="007A094C">
          <w:rPr>
            <w:noProof/>
            <w:webHidden/>
          </w:rPr>
          <w:fldChar w:fldCharType="end"/>
        </w:r>
      </w:hyperlink>
    </w:p>
    <w:p w14:paraId="19A8E890"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5067" w:history="1">
        <w:r w:rsidR="007A094C" w:rsidRPr="00611A94">
          <w:rPr>
            <w:rStyle w:val="Hypertextovodkaz"/>
            <w:rFonts w:cs="Calibri"/>
            <w:noProof/>
          </w:rPr>
          <w:t>7.1</w:t>
        </w:r>
        <w:r w:rsidR="007A094C">
          <w:rPr>
            <w:rFonts w:asciiTheme="minorHAnsi" w:eastAsiaTheme="minorEastAsia" w:hAnsiTheme="minorHAnsi" w:cstheme="minorBidi"/>
            <w:noProof/>
            <w:sz w:val="22"/>
            <w:szCs w:val="22"/>
          </w:rPr>
          <w:tab/>
        </w:r>
        <w:r w:rsidR="007A094C" w:rsidRPr="00611A94">
          <w:rPr>
            <w:rStyle w:val="Hypertextovodkaz"/>
            <w:rFonts w:cs="Calibri"/>
            <w:noProof/>
          </w:rPr>
          <w:t>Příslušné orgány a subjekty</w:t>
        </w:r>
        <w:r w:rsidR="007A094C">
          <w:rPr>
            <w:noProof/>
            <w:webHidden/>
          </w:rPr>
          <w:tab/>
        </w:r>
        <w:r w:rsidR="007A094C">
          <w:rPr>
            <w:noProof/>
            <w:webHidden/>
          </w:rPr>
          <w:fldChar w:fldCharType="begin"/>
        </w:r>
        <w:r w:rsidR="007A094C">
          <w:rPr>
            <w:noProof/>
            <w:webHidden/>
          </w:rPr>
          <w:instrText xml:space="preserve"> PAGEREF _Toc506885067 \h </w:instrText>
        </w:r>
        <w:r w:rsidR="007A094C">
          <w:rPr>
            <w:noProof/>
            <w:webHidden/>
          </w:rPr>
        </w:r>
        <w:r w:rsidR="007A094C">
          <w:rPr>
            <w:noProof/>
            <w:webHidden/>
          </w:rPr>
          <w:fldChar w:fldCharType="separate"/>
        </w:r>
        <w:r w:rsidR="007A094C">
          <w:rPr>
            <w:noProof/>
            <w:webHidden/>
          </w:rPr>
          <w:t>164</w:t>
        </w:r>
        <w:r w:rsidR="007A094C">
          <w:rPr>
            <w:noProof/>
            <w:webHidden/>
          </w:rPr>
          <w:fldChar w:fldCharType="end"/>
        </w:r>
      </w:hyperlink>
    </w:p>
    <w:p w14:paraId="7FEE99AD"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5068" w:history="1">
        <w:r w:rsidR="007A094C" w:rsidRPr="00611A94">
          <w:rPr>
            <w:rStyle w:val="Hypertextovodkaz"/>
            <w:rFonts w:cs="Calibri"/>
            <w:noProof/>
          </w:rPr>
          <w:t>7.2</w:t>
        </w:r>
        <w:r w:rsidR="007A094C">
          <w:rPr>
            <w:rFonts w:asciiTheme="minorHAnsi" w:eastAsiaTheme="minorEastAsia" w:hAnsiTheme="minorHAnsi" w:cstheme="minorBidi"/>
            <w:noProof/>
            <w:sz w:val="22"/>
            <w:szCs w:val="22"/>
          </w:rPr>
          <w:tab/>
        </w:r>
        <w:r w:rsidR="007A094C" w:rsidRPr="00611A94">
          <w:rPr>
            <w:rStyle w:val="Hypertextovodkaz"/>
            <w:rFonts w:cs="Calibri"/>
            <w:noProof/>
          </w:rPr>
          <w:t>Zapojení příslušných partnerů</w:t>
        </w:r>
        <w:r w:rsidR="007A094C">
          <w:rPr>
            <w:noProof/>
            <w:webHidden/>
          </w:rPr>
          <w:tab/>
        </w:r>
        <w:r w:rsidR="007A094C">
          <w:rPr>
            <w:noProof/>
            <w:webHidden/>
          </w:rPr>
          <w:fldChar w:fldCharType="begin"/>
        </w:r>
        <w:r w:rsidR="007A094C">
          <w:rPr>
            <w:noProof/>
            <w:webHidden/>
          </w:rPr>
          <w:instrText xml:space="preserve"> PAGEREF _Toc506885068 \h </w:instrText>
        </w:r>
        <w:r w:rsidR="007A094C">
          <w:rPr>
            <w:noProof/>
            <w:webHidden/>
          </w:rPr>
        </w:r>
        <w:r w:rsidR="007A094C">
          <w:rPr>
            <w:noProof/>
            <w:webHidden/>
          </w:rPr>
          <w:fldChar w:fldCharType="separate"/>
        </w:r>
        <w:r w:rsidR="007A094C">
          <w:rPr>
            <w:noProof/>
            <w:webHidden/>
          </w:rPr>
          <w:t>165</w:t>
        </w:r>
        <w:r w:rsidR="007A094C">
          <w:rPr>
            <w:noProof/>
            <w:webHidden/>
          </w:rPr>
          <w:fldChar w:fldCharType="end"/>
        </w:r>
      </w:hyperlink>
    </w:p>
    <w:p w14:paraId="7F8A78FB" w14:textId="77777777" w:rsidR="007A094C" w:rsidRDefault="00580034">
      <w:pPr>
        <w:pStyle w:val="Obsah3"/>
        <w:rPr>
          <w:rFonts w:asciiTheme="minorHAnsi" w:eastAsiaTheme="minorEastAsia" w:hAnsiTheme="minorHAnsi" w:cstheme="minorBidi"/>
          <w:i w:val="0"/>
          <w:sz w:val="22"/>
          <w:szCs w:val="22"/>
        </w:rPr>
      </w:pPr>
      <w:hyperlink w:anchor="_Toc506885069" w:history="1">
        <w:r w:rsidR="007A094C" w:rsidRPr="00611A94">
          <w:rPr>
            <w:rStyle w:val="Hypertextovodkaz"/>
            <w:rFonts w:cs="Calibri"/>
          </w:rPr>
          <w:t>7.2.1</w:t>
        </w:r>
        <w:r w:rsidR="007A094C">
          <w:rPr>
            <w:rFonts w:asciiTheme="minorHAnsi" w:eastAsiaTheme="minorEastAsia" w:hAnsiTheme="minorHAnsi" w:cstheme="minorBidi"/>
            <w:i w:val="0"/>
            <w:sz w:val="22"/>
            <w:szCs w:val="22"/>
          </w:rPr>
          <w:tab/>
        </w:r>
        <w:r w:rsidR="007A094C" w:rsidRPr="00611A94">
          <w:rPr>
            <w:rStyle w:val="Hypertextovodkaz"/>
            <w:rFonts w:cs="Calibri"/>
          </w:rPr>
          <w:t>Opatření přijatá k zapojení příslušných partnerů do přípravy operačního programu a úlohy partnerů při provádění, monitorování a hodnocení operačního programu</w:t>
        </w:r>
        <w:r w:rsidR="007A094C">
          <w:rPr>
            <w:webHidden/>
          </w:rPr>
          <w:tab/>
        </w:r>
        <w:r w:rsidR="007A094C">
          <w:rPr>
            <w:webHidden/>
          </w:rPr>
          <w:fldChar w:fldCharType="begin"/>
        </w:r>
        <w:r w:rsidR="007A094C">
          <w:rPr>
            <w:webHidden/>
          </w:rPr>
          <w:instrText xml:space="preserve"> PAGEREF _Toc506885069 \h </w:instrText>
        </w:r>
        <w:r w:rsidR="007A094C">
          <w:rPr>
            <w:webHidden/>
          </w:rPr>
        </w:r>
        <w:r w:rsidR="007A094C">
          <w:rPr>
            <w:webHidden/>
          </w:rPr>
          <w:fldChar w:fldCharType="separate"/>
        </w:r>
        <w:r w:rsidR="007A094C">
          <w:rPr>
            <w:webHidden/>
          </w:rPr>
          <w:t>165</w:t>
        </w:r>
        <w:r w:rsidR="007A094C">
          <w:rPr>
            <w:webHidden/>
          </w:rPr>
          <w:fldChar w:fldCharType="end"/>
        </w:r>
      </w:hyperlink>
    </w:p>
    <w:p w14:paraId="7E502E30" w14:textId="77777777" w:rsidR="007A094C" w:rsidRDefault="00580034">
      <w:pPr>
        <w:pStyle w:val="Obsah3"/>
        <w:rPr>
          <w:rFonts w:asciiTheme="minorHAnsi" w:eastAsiaTheme="minorEastAsia" w:hAnsiTheme="minorHAnsi" w:cstheme="minorBidi"/>
          <w:i w:val="0"/>
          <w:sz w:val="22"/>
          <w:szCs w:val="22"/>
        </w:rPr>
      </w:pPr>
      <w:hyperlink w:anchor="_Toc506885070" w:history="1">
        <w:r w:rsidR="007A094C" w:rsidRPr="00611A94">
          <w:rPr>
            <w:rStyle w:val="Hypertextovodkaz"/>
            <w:rFonts w:cs="Calibri"/>
          </w:rPr>
          <w:t>7.2.2</w:t>
        </w:r>
        <w:r w:rsidR="007A094C">
          <w:rPr>
            <w:rFonts w:asciiTheme="minorHAnsi" w:eastAsiaTheme="minorEastAsia" w:hAnsiTheme="minorHAnsi" w:cstheme="minorBidi"/>
            <w:i w:val="0"/>
            <w:sz w:val="22"/>
            <w:szCs w:val="22"/>
          </w:rPr>
          <w:tab/>
        </w:r>
        <w:r w:rsidR="007A094C" w:rsidRPr="00611A94">
          <w:rPr>
            <w:rStyle w:val="Hypertextovodkaz"/>
            <w:rFonts w:cs="Calibri"/>
          </w:rPr>
          <w:t>Globální granty (pro ESF, použije-li se)</w:t>
        </w:r>
        <w:r w:rsidR="007A094C">
          <w:rPr>
            <w:webHidden/>
          </w:rPr>
          <w:tab/>
        </w:r>
        <w:r w:rsidR="007A094C">
          <w:rPr>
            <w:webHidden/>
          </w:rPr>
          <w:fldChar w:fldCharType="begin"/>
        </w:r>
        <w:r w:rsidR="007A094C">
          <w:rPr>
            <w:webHidden/>
          </w:rPr>
          <w:instrText xml:space="preserve"> PAGEREF _Toc506885070 \h </w:instrText>
        </w:r>
        <w:r w:rsidR="007A094C">
          <w:rPr>
            <w:webHidden/>
          </w:rPr>
        </w:r>
        <w:r w:rsidR="007A094C">
          <w:rPr>
            <w:webHidden/>
          </w:rPr>
          <w:fldChar w:fldCharType="separate"/>
        </w:r>
        <w:r w:rsidR="007A094C">
          <w:rPr>
            <w:webHidden/>
          </w:rPr>
          <w:t>169</w:t>
        </w:r>
        <w:r w:rsidR="007A094C">
          <w:rPr>
            <w:webHidden/>
          </w:rPr>
          <w:fldChar w:fldCharType="end"/>
        </w:r>
      </w:hyperlink>
    </w:p>
    <w:p w14:paraId="6508F520" w14:textId="77777777" w:rsidR="007A094C" w:rsidRDefault="00580034">
      <w:pPr>
        <w:pStyle w:val="Obsah3"/>
        <w:rPr>
          <w:rFonts w:asciiTheme="minorHAnsi" w:eastAsiaTheme="minorEastAsia" w:hAnsiTheme="minorHAnsi" w:cstheme="minorBidi"/>
          <w:i w:val="0"/>
          <w:sz w:val="22"/>
          <w:szCs w:val="22"/>
        </w:rPr>
      </w:pPr>
      <w:hyperlink w:anchor="_Toc506885071" w:history="1">
        <w:r w:rsidR="007A094C" w:rsidRPr="00611A94">
          <w:rPr>
            <w:rStyle w:val="Hypertextovodkaz"/>
            <w:rFonts w:cs="Calibri"/>
          </w:rPr>
          <w:t>7.2.3</w:t>
        </w:r>
        <w:r w:rsidR="007A094C">
          <w:rPr>
            <w:rFonts w:asciiTheme="minorHAnsi" w:eastAsiaTheme="minorEastAsia" w:hAnsiTheme="minorHAnsi" w:cstheme="minorBidi"/>
            <w:i w:val="0"/>
            <w:sz w:val="22"/>
            <w:szCs w:val="22"/>
          </w:rPr>
          <w:tab/>
        </w:r>
        <w:r w:rsidR="007A094C" w:rsidRPr="00611A94">
          <w:rPr>
            <w:rStyle w:val="Hypertextovodkaz"/>
            <w:rFonts w:cs="Calibri"/>
          </w:rPr>
          <w:t>Přidělení částky na vytváření kapacit (pro ESF, použije-li se)</w:t>
        </w:r>
        <w:r w:rsidR="007A094C">
          <w:rPr>
            <w:webHidden/>
          </w:rPr>
          <w:tab/>
        </w:r>
        <w:r w:rsidR="007A094C">
          <w:rPr>
            <w:webHidden/>
          </w:rPr>
          <w:fldChar w:fldCharType="begin"/>
        </w:r>
        <w:r w:rsidR="007A094C">
          <w:rPr>
            <w:webHidden/>
          </w:rPr>
          <w:instrText xml:space="preserve"> PAGEREF _Toc506885071 \h </w:instrText>
        </w:r>
        <w:r w:rsidR="007A094C">
          <w:rPr>
            <w:webHidden/>
          </w:rPr>
        </w:r>
        <w:r w:rsidR="007A094C">
          <w:rPr>
            <w:webHidden/>
          </w:rPr>
          <w:fldChar w:fldCharType="separate"/>
        </w:r>
        <w:r w:rsidR="007A094C">
          <w:rPr>
            <w:webHidden/>
          </w:rPr>
          <w:t>169</w:t>
        </w:r>
        <w:r w:rsidR="007A094C">
          <w:rPr>
            <w:webHidden/>
          </w:rPr>
          <w:fldChar w:fldCharType="end"/>
        </w:r>
      </w:hyperlink>
    </w:p>
    <w:p w14:paraId="23B0B90C" w14:textId="77777777" w:rsidR="007A094C" w:rsidRDefault="00580034">
      <w:pPr>
        <w:pStyle w:val="Obsah1"/>
        <w:tabs>
          <w:tab w:val="left" w:pos="1320"/>
          <w:tab w:val="right" w:leader="dot" w:pos="9202"/>
        </w:tabs>
        <w:rPr>
          <w:rFonts w:asciiTheme="minorHAnsi" w:eastAsiaTheme="minorEastAsia" w:hAnsiTheme="minorHAnsi" w:cstheme="minorBidi"/>
          <w:b w:val="0"/>
          <w:noProof/>
          <w:sz w:val="22"/>
          <w:szCs w:val="22"/>
        </w:rPr>
      </w:pPr>
      <w:hyperlink w:anchor="_Toc506885072" w:history="1">
        <w:r w:rsidR="007A094C" w:rsidRPr="00611A94">
          <w:rPr>
            <w:rStyle w:val="Hypertextovodkaz"/>
            <w:noProof/>
            <w:spacing w:val="20"/>
          </w:rPr>
          <w:t>ODDÍL 8</w:t>
        </w:r>
        <w:r w:rsidR="007A094C">
          <w:rPr>
            <w:rFonts w:asciiTheme="minorHAnsi" w:eastAsiaTheme="minorEastAsia" w:hAnsiTheme="minorHAnsi" w:cstheme="minorBidi"/>
            <w:b w:val="0"/>
            <w:noProof/>
            <w:sz w:val="22"/>
            <w:szCs w:val="22"/>
          </w:rPr>
          <w:tab/>
        </w:r>
        <w:r w:rsidR="007A094C" w:rsidRPr="00611A94">
          <w:rPr>
            <w:rStyle w:val="Hypertextovodkaz"/>
            <w:noProof/>
          </w:rPr>
          <w:t>Koordinace mezi fondy, EZFRV, EMFF a dalšími unijními a vnitrostátními finančními nástroji a s EIB</w:t>
        </w:r>
        <w:r w:rsidR="007A094C">
          <w:rPr>
            <w:noProof/>
            <w:webHidden/>
          </w:rPr>
          <w:tab/>
        </w:r>
        <w:r w:rsidR="007A094C">
          <w:rPr>
            <w:noProof/>
            <w:webHidden/>
          </w:rPr>
          <w:fldChar w:fldCharType="begin"/>
        </w:r>
        <w:r w:rsidR="007A094C">
          <w:rPr>
            <w:noProof/>
            <w:webHidden/>
          </w:rPr>
          <w:instrText xml:space="preserve"> PAGEREF _Toc506885072 \h </w:instrText>
        </w:r>
        <w:r w:rsidR="007A094C">
          <w:rPr>
            <w:noProof/>
            <w:webHidden/>
          </w:rPr>
        </w:r>
        <w:r w:rsidR="007A094C">
          <w:rPr>
            <w:noProof/>
            <w:webHidden/>
          </w:rPr>
          <w:fldChar w:fldCharType="separate"/>
        </w:r>
        <w:r w:rsidR="007A094C">
          <w:rPr>
            <w:noProof/>
            <w:webHidden/>
          </w:rPr>
          <w:t>170</w:t>
        </w:r>
        <w:r w:rsidR="007A094C">
          <w:rPr>
            <w:noProof/>
            <w:webHidden/>
          </w:rPr>
          <w:fldChar w:fldCharType="end"/>
        </w:r>
      </w:hyperlink>
    </w:p>
    <w:p w14:paraId="4DB7D4D4" w14:textId="77777777" w:rsidR="007A094C" w:rsidRDefault="00580034">
      <w:pPr>
        <w:pStyle w:val="Obsah1"/>
        <w:tabs>
          <w:tab w:val="left" w:pos="1320"/>
          <w:tab w:val="right" w:leader="dot" w:pos="9202"/>
        </w:tabs>
        <w:rPr>
          <w:rFonts w:asciiTheme="minorHAnsi" w:eastAsiaTheme="minorEastAsia" w:hAnsiTheme="minorHAnsi" w:cstheme="minorBidi"/>
          <w:b w:val="0"/>
          <w:noProof/>
          <w:sz w:val="22"/>
          <w:szCs w:val="22"/>
        </w:rPr>
      </w:pPr>
      <w:hyperlink w:anchor="_Toc506885073" w:history="1">
        <w:r w:rsidR="007A094C" w:rsidRPr="00611A94">
          <w:rPr>
            <w:rStyle w:val="Hypertextovodkaz"/>
            <w:noProof/>
            <w:spacing w:val="20"/>
          </w:rPr>
          <w:t>ODDÍL 9</w:t>
        </w:r>
        <w:r w:rsidR="007A094C">
          <w:rPr>
            <w:rFonts w:asciiTheme="minorHAnsi" w:eastAsiaTheme="minorEastAsia" w:hAnsiTheme="minorHAnsi" w:cstheme="minorBidi"/>
            <w:b w:val="0"/>
            <w:noProof/>
            <w:sz w:val="22"/>
            <w:szCs w:val="22"/>
          </w:rPr>
          <w:tab/>
        </w:r>
        <w:r w:rsidR="007A094C" w:rsidRPr="00611A94">
          <w:rPr>
            <w:rStyle w:val="Hypertextovodkaz"/>
            <w:noProof/>
          </w:rPr>
          <w:t>Předběžné podmínky</w:t>
        </w:r>
        <w:r w:rsidR="007A094C">
          <w:rPr>
            <w:noProof/>
            <w:webHidden/>
          </w:rPr>
          <w:tab/>
        </w:r>
        <w:r w:rsidR="007A094C">
          <w:rPr>
            <w:noProof/>
            <w:webHidden/>
          </w:rPr>
          <w:fldChar w:fldCharType="begin"/>
        </w:r>
        <w:r w:rsidR="007A094C">
          <w:rPr>
            <w:noProof/>
            <w:webHidden/>
          </w:rPr>
          <w:instrText xml:space="preserve"> PAGEREF _Toc506885073 \h </w:instrText>
        </w:r>
        <w:r w:rsidR="007A094C">
          <w:rPr>
            <w:noProof/>
            <w:webHidden/>
          </w:rPr>
        </w:r>
        <w:r w:rsidR="007A094C">
          <w:rPr>
            <w:noProof/>
            <w:webHidden/>
          </w:rPr>
          <w:fldChar w:fldCharType="separate"/>
        </w:r>
        <w:r w:rsidR="007A094C">
          <w:rPr>
            <w:noProof/>
            <w:webHidden/>
          </w:rPr>
          <w:t>175</w:t>
        </w:r>
        <w:r w:rsidR="007A094C">
          <w:rPr>
            <w:noProof/>
            <w:webHidden/>
          </w:rPr>
          <w:fldChar w:fldCharType="end"/>
        </w:r>
      </w:hyperlink>
    </w:p>
    <w:p w14:paraId="206CB032"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5074" w:history="1">
        <w:r w:rsidR="007A094C" w:rsidRPr="00611A94">
          <w:rPr>
            <w:rStyle w:val="Hypertextovodkaz"/>
            <w:rFonts w:cs="Calibri"/>
            <w:noProof/>
          </w:rPr>
          <w:t>9.1</w:t>
        </w:r>
        <w:r w:rsidR="007A094C">
          <w:rPr>
            <w:rFonts w:asciiTheme="minorHAnsi" w:eastAsiaTheme="minorEastAsia" w:hAnsiTheme="minorHAnsi" w:cstheme="minorBidi"/>
            <w:noProof/>
            <w:sz w:val="22"/>
            <w:szCs w:val="22"/>
          </w:rPr>
          <w:tab/>
        </w:r>
        <w:r w:rsidR="007A094C" w:rsidRPr="00611A94">
          <w:rPr>
            <w:rStyle w:val="Hypertextovodkaz"/>
            <w:rFonts w:cs="Calibri"/>
            <w:noProof/>
          </w:rPr>
          <w:t>Předběžné podmínky</w:t>
        </w:r>
        <w:r w:rsidR="007A094C">
          <w:rPr>
            <w:noProof/>
            <w:webHidden/>
          </w:rPr>
          <w:tab/>
        </w:r>
        <w:r w:rsidR="007A094C">
          <w:rPr>
            <w:noProof/>
            <w:webHidden/>
          </w:rPr>
          <w:fldChar w:fldCharType="begin"/>
        </w:r>
        <w:r w:rsidR="007A094C">
          <w:rPr>
            <w:noProof/>
            <w:webHidden/>
          </w:rPr>
          <w:instrText xml:space="preserve"> PAGEREF _Toc506885074 \h </w:instrText>
        </w:r>
        <w:r w:rsidR="007A094C">
          <w:rPr>
            <w:noProof/>
            <w:webHidden/>
          </w:rPr>
        </w:r>
        <w:r w:rsidR="007A094C">
          <w:rPr>
            <w:noProof/>
            <w:webHidden/>
          </w:rPr>
          <w:fldChar w:fldCharType="separate"/>
        </w:r>
        <w:r w:rsidR="007A094C">
          <w:rPr>
            <w:noProof/>
            <w:webHidden/>
          </w:rPr>
          <w:t>175</w:t>
        </w:r>
        <w:r w:rsidR="007A094C">
          <w:rPr>
            <w:noProof/>
            <w:webHidden/>
          </w:rPr>
          <w:fldChar w:fldCharType="end"/>
        </w:r>
      </w:hyperlink>
    </w:p>
    <w:p w14:paraId="04B02637" w14:textId="77777777" w:rsidR="007A094C" w:rsidRDefault="00580034">
      <w:pPr>
        <w:pStyle w:val="Obsah2"/>
        <w:tabs>
          <w:tab w:val="left" w:pos="880"/>
          <w:tab w:val="right" w:leader="dot" w:pos="9202"/>
        </w:tabs>
        <w:rPr>
          <w:rFonts w:asciiTheme="minorHAnsi" w:eastAsiaTheme="minorEastAsia" w:hAnsiTheme="minorHAnsi" w:cstheme="minorBidi"/>
          <w:noProof/>
          <w:sz w:val="22"/>
          <w:szCs w:val="22"/>
        </w:rPr>
      </w:pPr>
      <w:hyperlink w:anchor="_Toc506885075" w:history="1">
        <w:r w:rsidR="007A094C" w:rsidRPr="00611A94">
          <w:rPr>
            <w:rStyle w:val="Hypertextovodkaz"/>
            <w:rFonts w:cs="Calibri"/>
            <w:noProof/>
          </w:rPr>
          <w:t>9.2</w:t>
        </w:r>
        <w:r w:rsidR="007A094C">
          <w:rPr>
            <w:rFonts w:asciiTheme="minorHAnsi" w:eastAsiaTheme="minorEastAsia" w:hAnsiTheme="minorHAnsi" w:cstheme="minorBidi"/>
            <w:noProof/>
            <w:sz w:val="22"/>
            <w:szCs w:val="22"/>
          </w:rPr>
          <w:tab/>
        </w:r>
        <w:r w:rsidR="007A094C" w:rsidRPr="00611A94">
          <w:rPr>
            <w:rStyle w:val="Hypertextovodkaz"/>
            <w:rFonts w:cs="Calibri"/>
            <w:noProof/>
          </w:rPr>
          <w:t>Popis opatření ke splnění předběžných podmínek, odpovědných subjektů a harmonogramu</w:t>
        </w:r>
        <w:r w:rsidR="007A094C">
          <w:rPr>
            <w:noProof/>
            <w:webHidden/>
          </w:rPr>
          <w:tab/>
        </w:r>
        <w:r w:rsidR="007A094C">
          <w:rPr>
            <w:noProof/>
            <w:webHidden/>
          </w:rPr>
          <w:fldChar w:fldCharType="begin"/>
        </w:r>
        <w:r w:rsidR="007A094C">
          <w:rPr>
            <w:noProof/>
            <w:webHidden/>
          </w:rPr>
          <w:instrText xml:space="preserve"> PAGEREF _Toc506885075 \h </w:instrText>
        </w:r>
        <w:r w:rsidR="007A094C">
          <w:rPr>
            <w:noProof/>
            <w:webHidden/>
          </w:rPr>
        </w:r>
        <w:r w:rsidR="007A094C">
          <w:rPr>
            <w:noProof/>
            <w:webHidden/>
          </w:rPr>
          <w:fldChar w:fldCharType="separate"/>
        </w:r>
        <w:r w:rsidR="007A094C">
          <w:rPr>
            <w:noProof/>
            <w:webHidden/>
          </w:rPr>
          <w:t>216</w:t>
        </w:r>
        <w:r w:rsidR="007A094C">
          <w:rPr>
            <w:noProof/>
            <w:webHidden/>
          </w:rPr>
          <w:fldChar w:fldCharType="end"/>
        </w:r>
      </w:hyperlink>
    </w:p>
    <w:p w14:paraId="74B6BA5C" w14:textId="77777777" w:rsidR="007A094C" w:rsidRDefault="00580034">
      <w:pPr>
        <w:pStyle w:val="Obsah1"/>
        <w:tabs>
          <w:tab w:val="left" w:pos="1320"/>
          <w:tab w:val="right" w:leader="dot" w:pos="9202"/>
        </w:tabs>
        <w:rPr>
          <w:rFonts w:asciiTheme="minorHAnsi" w:eastAsiaTheme="minorEastAsia" w:hAnsiTheme="minorHAnsi" w:cstheme="minorBidi"/>
          <w:b w:val="0"/>
          <w:noProof/>
          <w:sz w:val="22"/>
          <w:szCs w:val="22"/>
        </w:rPr>
      </w:pPr>
      <w:hyperlink w:anchor="_Toc506885076" w:history="1">
        <w:r w:rsidR="007A094C" w:rsidRPr="00611A94">
          <w:rPr>
            <w:rStyle w:val="Hypertextovodkaz"/>
            <w:noProof/>
            <w:spacing w:val="20"/>
          </w:rPr>
          <w:t>ODDÍL 10</w:t>
        </w:r>
        <w:r w:rsidR="007A094C">
          <w:rPr>
            <w:rFonts w:asciiTheme="minorHAnsi" w:eastAsiaTheme="minorEastAsia" w:hAnsiTheme="minorHAnsi" w:cstheme="minorBidi"/>
            <w:b w:val="0"/>
            <w:noProof/>
            <w:sz w:val="22"/>
            <w:szCs w:val="22"/>
          </w:rPr>
          <w:tab/>
        </w:r>
        <w:r w:rsidR="007A094C" w:rsidRPr="00611A94">
          <w:rPr>
            <w:rStyle w:val="Hypertextovodkaz"/>
            <w:noProof/>
          </w:rPr>
          <w:t>Snižování administrativní zátěže pro příjemce</w:t>
        </w:r>
        <w:r w:rsidR="007A094C">
          <w:rPr>
            <w:noProof/>
            <w:webHidden/>
          </w:rPr>
          <w:tab/>
        </w:r>
        <w:r w:rsidR="007A094C">
          <w:rPr>
            <w:noProof/>
            <w:webHidden/>
          </w:rPr>
          <w:fldChar w:fldCharType="begin"/>
        </w:r>
        <w:r w:rsidR="007A094C">
          <w:rPr>
            <w:noProof/>
            <w:webHidden/>
          </w:rPr>
          <w:instrText xml:space="preserve"> PAGEREF _Toc506885076 \h </w:instrText>
        </w:r>
        <w:r w:rsidR="007A094C">
          <w:rPr>
            <w:noProof/>
            <w:webHidden/>
          </w:rPr>
        </w:r>
        <w:r w:rsidR="007A094C">
          <w:rPr>
            <w:noProof/>
            <w:webHidden/>
          </w:rPr>
          <w:fldChar w:fldCharType="separate"/>
        </w:r>
        <w:r w:rsidR="007A094C">
          <w:rPr>
            <w:noProof/>
            <w:webHidden/>
          </w:rPr>
          <w:t>235</w:t>
        </w:r>
        <w:r w:rsidR="007A094C">
          <w:rPr>
            <w:noProof/>
            <w:webHidden/>
          </w:rPr>
          <w:fldChar w:fldCharType="end"/>
        </w:r>
      </w:hyperlink>
    </w:p>
    <w:p w14:paraId="211845F9" w14:textId="77777777" w:rsidR="007A094C" w:rsidRDefault="00580034">
      <w:pPr>
        <w:pStyle w:val="Obsah1"/>
        <w:tabs>
          <w:tab w:val="left" w:pos="1320"/>
          <w:tab w:val="right" w:leader="dot" w:pos="9202"/>
        </w:tabs>
        <w:rPr>
          <w:rFonts w:asciiTheme="minorHAnsi" w:eastAsiaTheme="minorEastAsia" w:hAnsiTheme="minorHAnsi" w:cstheme="minorBidi"/>
          <w:b w:val="0"/>
          <w:noProof/>
          <w:sz w:val="22"/>
          <w:szCs w:val="22"/>
        </w:rPr>
      </w:pPr>
      <w:hyperlink w:anchor="_Toc506885077" w:history="1">
        <w:r w:rsidR="007A094C" w:rsidRPr="00611A94">
          <w:rPr>
            <w:rStyle w:val="Hypertextovodkaz"/>
            <w:noProof/>
            <w:spacing w:val="20"/>
          </w:rPr>
          <w:t>ODDÍL 11</w:t>
        </w:r>
        <w:r w:rsidR="007A094C">
          <w:rPr>
            <w:rFonts w:asciiTheme="minorHAnsi" w:eastAsiaTheme="minorEastAsia" w:hAnsiTheme="minorHAnsi" w:cstheme="minorBidi"/>
            <w:b w:val="0"/>
            <w:noProof/>
            <w:sz w:val="22"/>
            <w:szCs w:val="22"/>
          </w:rPr>
          <w:tab/>
        </w:r>
        <w:r w:rsidR="007A094C" w:rsidRPr="00611A94">
          <w:rPr>
            <w:rStyle w:val="Hypertextovodkaz"/>
            <w:noProof/>
          </w:rPr>
          <w:t>Horizontální zásady</w:t>
        </w:r>
        <w:r w:rsidR="007A094C">
          <w:rPr>
            <w:noProof/>
            <w:webHidden/>
          </w:rPr>
          <w:tab/>
        </w:r>
        <w:r w:rsidR="007A094C">
          <w:rPr>
            <w:noProof/>
            <w:webHidden/>
          </w:rPr>
          <w:fldChar w:fldCharType="begin"/>
        </w:r>
        <w:r w:rsidR="007A094C">
          <w:rPr>
            <w:noProof/>
            <w:webHidden/>
          </w:rPr>
          <w:instrText xml:space="preserve"> PAGEREF _Toc506885077 \h </w:instrText>
        </w:r>
        <w:r w:rsidR="007A094C">
          <w:rPr>
            <w:noProof/>
            <w:webHidden/>
          </w:rPr>
        </w:r>
        <w:r w:rsidR="007A094C">
          <w:rPr>
            <w:noProof/>
            <w:webHidden/>
          </w:rPr>
          <w:fldChar w:fldCharType="separate"/>
        </w:r>
        <w:r w:rsidR="007A094C">
          <w:rPr>
            <w:noProof/>
            <w:webHidden/>
          </w:rPr>
          <w:t>238</w:t>
        </w:r>
        <w:r w:rsidR="007A094C">
          <w:rPr>
            <w:noProof/>
            <w:webHidden/>
          </w:rPr>
          <w:fldChar w:fldCharType="end"/>
        </w:r>
      </w:hyperlink>
    </w:p>
    <w:p w14:paraId="3B412053" w14:textId="77777777" w:rsidR="007A094C" w:rsidRDefault="00580034">
      <w:pPr>
        <w:pStyle w:val="Obsah2"/>
        <w:tabs>
          <w:tab w:val="left" w:pos="1100"/>
          <w:tab w:val="right" w:leader="dot" w:pos="9202"/>
        </w:tabs>
        <w:rPr>
          <w:rFonts w:asciiTheme="minorHAnsi" w:eastAsiaTheme="minorEastAsia" w:hAnsiTheme="minorHAnsi" w:cstheme="minorBidi"/>
          <w:noProof/>
          <w:sz w:val="22"/>
          <w:szCs w:val="22"/>
        </w:rPr>
      </w:pPr>
      <w:hyperlink w:anchor="_Toc506885078" w:history="1">
        <w:r w:rsidR="007A094C" w:rsidRPr="00611A94">
          <w:rPr>
            <w:rStyle w:val="Hypertextovodkaz"/>
            <w:rFonts w:cs="Calibri"/>
            <w:noProof/>
          </w:rPr>
          <w:t>11.1</w:t>
        </w:r>
        <w:r w:rsidR="007A094C">
          <w:rPr>
            <w:rFonts w:asciiTheme="minorHAnsi" w:eastAsiaTheme="minorEastAsia" w:hAnsiTheme="minorHAnsi" w:cstheme="minorBidi"/>
            <w:noProof/>
            <w:sz w:val="22"/>
            <w:szCs w:val="22"/>
          </w:rPr>
          <w:tab/>
        </w:r>
        <w:r w:rsidR="007A094C" w:rsidRPr="00611A94">
          <w:rPr>
            <w:rStyle w:val="Hypertextovodkaz"/>
            <w:rFonts w:cs="Calibri"/>
            <w:noProof/>
          </w:rPr>
          <w:t>Udržitelný rozvoj</w:t>
        </w:r>
        <w:r w:rsidR="007A094C">
          <w:rPr>
            <w:noProof/>
            <w:webHidden/>
          </w:rPr>
          <w:tab/>
        </w:r>
        <w:r w:rsidR="007A094C">
          <w:rPr>
            <w:noProof/>
            <w:webHidden/>
          </w:rPr>
          <w:fldChar w:fldCharType="begin"/>
        </w:r>
        <w:r w:rsidR="007A094C">
          <w:rPr>
            <w:noProof/>
            <w:webHidden/>
          </w:rPr>
          <w:instrText xml:space="preserve"> PAGEREF _Toc506885078 \h </w:instrText>
        </w:r>
        <w:r w:rsidR="007A094C">
          <w:rPr>
            <w:noProof/>
            <w:webHidden/>
          </w:rPr>
        </w:r>
        <w:r w:rsidR="007A094C">
          <w:rPr>
            <w:noProof/>
            <w:webHidden/>
          </w:rPr>
          <w:fldChar w:fldCharType="separate"/>
        </w:r>
        <w:r w:rsidR="007A094C">
          <w:rPr>
            <w:noProof/>
            <w:webHidden/>
          </w:rPr>
          <w:t>238</w:t>
        </w:r>
        <w:r w:rsidR="007A094C">
          <w:rPr>
            <w:noProof/>
            <w:webHidden/>
          </w:rPr>
          <w:fldChar w:fldCharType="end"/>
        </w:r>
      </w:hyperlink>
    </w:p>
    <w:p w14:paraId="4C81D2D7" w14:textId="77777777" w:rsidR="007A094C" w:rsidRDefault="00580034">
      <w:pPr>
        <w:pStyle w:val="Obsah2"/>
        <w:tabs>
          <w:tab w:val="left" w:pos="1100"/>
          <w:tab w:val="right" w:leader="dot" w:pos="9202"/>
        </w:tabs>
        <w:rPr>
          <w:rFonts w:asciiTheme="minorHAnsi" w:eastAsiaTheme="minorEastAsia" w:hAnsiTheme="minorHAnsi" w:cstheme="minorBidi"/>
          <w:noProof/>
          <w:sz w:val="22"/>
          <w:szCs w:val="22"/>
        </w:rPr>
      </w:pPr>
      <w:hyperlink w:anchor="_Toc506885079" w:history="1">
        <w:r w:rsidR="007A094C" w:rsidRPr="00611A94">
          <w:rPr>
            <w:rStyle w:val="Hypertextovodkaz"/>
            <w:rFonts w:cs="Calibri"/>
            <w:noProof/>
          </w:rPr>
          <w:t>11.2</w:t>
        </w:r>
        <w:r w:rsidR="007A094C">
          <w:rPr>
            <w:rFonts w:asciiTheme="minorHAnsi" w:eastAsiaTheme="minorEastAsia" w:hAnsiTheme="minorHAnsi" w:cstheme="minorBidi"/>
            <w:noProof/>
            <w:sz w:val="22"/>
            <w:szCs w:val="22"/>
          </w:rPr>
          <w:tab/>
        </w:r>
        <w:r w:rsidR="007A094C" w:rsidRPr="00611A94">
          <w:rPr>
            <w:rStyle w:val="Hypertextovodkaz"/>
            <w:rFonts w:cs="Calibri"/>
            <w:noProof/>
          </w:rPr>
          <w:t>Rovné příležitosti a zákaz diskriminace</w:t>
        </w:r>
        <w:r w:rsidR="007A094C">
          <w:rPr>
            <w:noProof/>
            <w:webHidden/>
          </w:rPr>
          <w:tab/>
        </w:r>
        <w:r w:rsidR="007A094C">
          <w:rPr>
            <w:noProof/>
            <w:webHidden/>
          </w:rPr>
          <w:fldChar w:fldCharType="begin"/>
        </w:r>
        <w:r w:rsidR="007A094C">
          <w:rPr>
            <w:noProof/>
            <w:webHidden/>
          </w:rPr>
          <w:instrText xml:space="preserve"> PAGEREF _Toc506885079 \h </w:instrText>
        </w:r>
        <w:r w:rsidR="007A094C">
          <w:rPr>
            <w:noProof/>
            <w:webHidden/>
          </w:rPr>
        </w:r>
        <w:r w:rsidR="007A094C">
          <w:rPr>
            <w:noProof/>
            <w:webHidden/>
          </w:rPr>
          <w:fldChar w:fldCharType="separate"/>
        </w:r>
        <w:r w:rsidR="007A094C">
          <w:rPr>
            <w:noProof/>
            <w:webHidden/>
          </w:rPr>
          <w:t>239</w:t>
        </w:r>
        <w:r w:rsidR="007A094C">
          <w:rPr>
            <w:noProof/>
            <w:webHidden/>
          </w:rPr>
          <w:fldChar w:fldCharType="end"/>
        </w:r>
      </w:hyperlink>
    </w:p>
    <w:p w14:paraId="2B824EE9" w14:textId="77777777" w:rsidR="007A094C" w:rsidRDefault="00580034">
      <w:pPr>
        <w:pStyle w:val="Obsah2"/>
        <w:tabs>
          <w:tab w:val="left" w:pos="1100"/>
          <w:tab w:val="right" w:leader="dot" w:pos="9202"/>
        </w:tabs>
        <w:rPr>
          <w:rFonts w:asciiTheme="minorHAnsi" w:eastAsiaTheme="minorEastAsia" w:hAnsiTheme="minorHAnsi" w:cstheme="minorBidi"/>
          <w:noProof/>
          <w:sz w:val="22"/>
          <w:szCs w:val="22"/>
        </w:rPr>
      </w:pPr>
      <w:hyperlink w:anchor="_Toc506885080" w:history="1">
        <w:r w:rsidR="007A094C" w:rsidRPr="00611A94">
          <w:rPr>
            <w:rStyle w:val="Hypertextovodkaz"/>
            <w:rFonts w:cs="Calibri"/>
            <w:noProof/>
          </w:rPr>
          <w:t>11.3</w:t>
        </w:r>
        <w:r w:rsidR="007A094C">
          <w:rPr>
            <w:rFonts w:asciiTheme="minorHAnsi" w:eastAsiaTheme="minorEastAsia" w:hAnsiTheme="minorHAnsi" w:cstheme="minorBidi"/>
            <w:noProof/>
            <w:sz w:val="22"/>
            <w:szCs w:val="22"/>
          </w:rPr>
          <w:tab/>
        </w:r>
        <w:r w:rsidR="007A094C" w:rsidRPr="00611A94">
          <w:rPr>
            <w:rStyle w:val="Hypertextovodkaz"/>
            <w:rFonts w:cs="Calibri"/>
            <w:noProof/>
          </w:rPr>
          <w:t>Rovnost mezi muži a ženami</w:t>
        </w:r>
        <w:r w:rsidR="007A094C">
          <w:rPr>
            <w:noProof/>
            <w:webHidden/>
          </w:rPr>
          <w:tab/>
        </w:r>
        <w:r w:rsidR="007A094C">
          <w:rPr>
            <w:noProof/>
            <w:webHidden/>
          </w:rPr>
          <w:fldChar w:fldCharType="begin"/>
        </w:r>
        <w:r w:rsidR="007A094C">
          <w:rPr>
            <w:noProof/>
            <w:webHidden/>
          </w:rPr>
          <w:instrText xml:space="preserve"> PAGEREF _Toc506885080 \h </w:instrText>
        </w:r>
        <w:r w:rsidR="007A094C">
          <w:rPr>
            <w:noProof/>
            <w:webHidden/>
          </w:rPr>
        </w:r>
        <w:r w:rsidR="007A094C">
          <w:rPr>
            <w:noProof/>
            <w:webHidden/>
          </w:rPr>
          <w:fldChar w:fldCharType="separate"/>
        </w:r>
        <w:r w:rsidR="007A094C">
          <w:rPr>
            <w:noProof/>
            <w:webHidden/>
          </w:rPr>
          <w:t>240</w:t>
        </w:r>
        <w:r w:rsidR="007A094C">
          <w:rPr>
            <w:noProof/>
            <w:webHidden/>
          </w:rPr>
          <w:fldChar w:fldCharType="end"/>
        </w:r>
      </w:hyperlink>
    </w:p>
    <w:p w14:paraId="4119FB17" w14:textId="77777777" w:rsidR="007A094C" w:rsidRDefault="00580034">
      <w:pPr>
        <w:pStyle w:val="Obsah1"/>
        <w:tabs>
          <w:tab w:val="left" w:pos="1320"/>
          <w:tab w:val="right" w:leader="dot" w:pos="9202"/>
        </w:tabs>
        <w:rPr>
          <w:rFonts w:asciiTheme="minorHAnsi" w:eastAsiaTheme="minorEastAsia" w:hAnsiTheme="minorHAnsi" w:cstheme="minorBidi"/>
          <w:b w:val="0"/>
          <w:noProof/>
          <w:sz w:val="22"/>
          <w:szCs w:val="22"/>
        </w:rPr>
      </w:pPr>
      <w:hyperlink w:anchor="_Toc506885081" w:history="1">
        <w:r w:rsidR="007A094C" w:rsidRPr="00611A94">
          <w:rPr>
            <w:rStyle w:val="Hypertextovodkaz"/>
            <w:noProof/>
            <w:spacing w:val="20"/>
          </w:rPr>
          <w:t>ODDÍL 12</w:t>
        </w:r>
        <w:r w:rsidR="007A094C">
          <w:rPr>
            <w:rFonts w:asciiTheme="minorHAnsi" w:eastAsiaTheme="minorEastAsia" w:hAnsiTheme="minorHAnsi" w:cstheme="minorBidi"/>
            <w:b w:val="0"/>
            <w:noProof/>
            <w:sz w:val="22"/>
            <w:szCs w:val="22"/>
          </w:rPr>
          <w:tab/>
        </w:r>
        <w:r w:rsidR="007A094C" w:rsidRPr="00611A94">
          <w:rPr>
            <w:rStyle w:val="Hypertextovodkaz"/>
            <w:noProof/>
          </w:rPr>
          <w:t>Samostatné prvky</w:t>
        </w:r>
        <w:r w:rsidR="007A094C">
          <w:rPr>
            <w:noProof/>
            <w:webHidden/>
          </w:rPr>
          <w:tab/>
        </w:r>
        <w:r w:rsidR="007A094C">
          <w:rPr>
            <w:noProof/>
            <w:webHidden/>
          </w:rPr>
          <w:fldChar w:fldCharType="begin"/>
        </w:r>
        <w:r w:rsidR="007A094C">
          <w:rPr>
            <w:noProof/>
            <w:webHidden/>
          </w:rPr>
          <w:instrText xml:space="preserve"> PAGEREF _Toc506885081 \h </w:instrText>
        </w:r>
        <w:r w:rsidR="007A094C">
          <w:rPr>
            <w:noProof/>
            <w:webHidden/>
          </w:rPr>
        </w:r>
        <w:r w:rsidR="007A094C">
          <w:rPr>
            <w:noProof/>
            <w:webHidden/>
          </w:rPr>
          <w:fldChar w:fldCharType="separate"/>
        </w:r>
        <w:r w:rsidR="007A094C">
          <w:rPr>
            <w:noProof/>
            <w:webHidden/>
          </w:rPr>
          <w:t>241</w:t>
        </w:r>
        <w:r w:rsidR="007A094C">
          <w:rPr>
            <w:noProof/>
            <w:webHidden/>
          </w:rPr>
          <w:fldChar w:fldCharType="end"/>
        </w:r>
      </w:hyperlink>
    </w:p>
    <w:p w14:paraId="1CC26EE9" w14:textId="77777777" w:rsidR="007A094C" w:rsidRDefault="00580034">
      <w:pPr>
        <w:pStyle w:val="Obsah2"/>
        <w:tabs>
          <w:tab w:val="left" w:pos="1100"/>
          <w:tab w:val="right" w:leader="dot" w:pos="9202"/>
        </w:tabs>
        <w:rPr>
          <w:rFonts w:asciiTheme="minorHAnsi" w:eastAsiaTheme="minorEastAsia" w:hAnsiTheme="minorHAnsi" w:cstheme="minorBidi"/>
          <w:noProof/>
          <w:sz w:val="22"/>
          <w:szCs w:val="22"/>
        </w:rPr>
      </w:pPr>
      <w:hyperlink w:anchor="_Toc506885082" w:history="1">
        <w:r w:rsidR="007A094C" w:rsidRPr="00611A94">
          <w:rPr>
            <w:rStyle w:val="Hypertextovodkaz"/>
            <w:rFonts w:cs="Calibri"/>
            <w:noProof/>
          </w:rPr>
          <w:t>12.1</w:t>
        </w:r>
        <w:r w:rsidR="007A094C">
          <w:rPr>
            <w:rFonts w:asciiTheme="minorHAnsi" w:eastAsiaTheme="minorEastAsia" w:hAnsiTheme="minorHAnsi" w:cstheme="minorBidi"/>
            <w:noProof/>
            <w:sz w:val="22"/>
            <w:szCs w:val="22"/>
          </w:rPr>
          <w:tab/>
        </w:r>
        <w:r w:rsidR="007A094C" w:rsidRPr="00611A94">
          <w:rPr>
            <w:rStyle w:val="Hypertextovodkaz"/>
            <w:rFonts w:cs="Calibri"/>
            <w:noProof/>
          </w:rPr>
          <w:t>Velké projekty, které mají být během programového období realizovány</w:t>
        </w:r>
        <w:r w:rsidR="007A094C">
          <w:rPr>
            <w:noProof/>
            <w:webHidden/>
          </w:rPr>
          <w:tab/>
        </w:r>
        <w:r w:rsidR="007A094C">
          <w:rPr>
            <w:noProof/>
            <w:webHidden/>
          </w:rPr>
          <w:fldChar w:fldCharType="begin"/>
        </w:r>
        <w:r w:rsidR="007A094C">
          <w:rPr>
            <w:noProof/>
            <w:webHidden/>
          </w:rPr>
          <w:instrText xml:space="preserve"> PAGEREF _Toc506885082 \h </w:instrText>
        </w:r>
        <w:r w:rsidR="007A094C">
          <w:rPr>
            <w:noProof/>
            <w:webHidden/>
          </w:rPr>
        </w:r>
        <w:r w:rsidR="007A094C">
          <w:rPr>
            <w:noProof/>
            <w:webHidden/>
          </w:rPr>
          <w:fldChar w:fldCharType="separate"/>
        </w:r>
        <w:r w:rsidR="007A094C">
          <w:rPr>
            <w:noProof/>
            <w:webHidden/>
          </w:rPr>
          <w:t>241</w:t>
        </w:r>
        <w:r w:rsidR="007A094C">
          <w:rPr>
            <w:noProof/>
            <w:webHidden/>
          </w:rPr>
          <w:fldChar w:fldCharType="end"/>
        </w:r>
      </w:hyperlink>
    </w:p>
    <w:p w14:paraId="6A25940B" w14:textId="77777777" w:rsidR="007A094C" w:rsidRDefault="00580034">
      <w:pPr>
        <w:pStyle w:val="Obsah2"/>
        <w:tabs>
          <w:tab w:val="left" w:pos="1100"/>
          <w:tab w:val="right" w:leader="dot" w:pos="9202"/>
        </w:tabs>
        <w:rPr>
          <w:rFonts w:asciiTheme="minorHAnsi" w:eastAsiaTheme="minorEastAsia" w:hAnsiTheme="minorHAnsi" w:cstheme="minorBidi"/>
          <w:noProof/>
          <w:sz w:val="22"/>
          <w:szCs w:val="22"/>
        </w:rPr>
      </w:pPr>
      <w:hyperlink w:anchor="_Toc506885083" w:history="1">
        <w:r w:rsidR="007A094C" w:rsidRPr="00611A94">
          <w:rPr>
            <w:rStyle w:val="Hypertextovodkaz"/>
            <w:rFonts w:cs="Calibri"/>
            <w:noProof/>
          </w:rPr>
          <w:t>12.2</w:t>
        </w:r>
        <w:r w:rsidR="007A094C">
          <w:rPr>
            <w:rFonts w:asciiTheme="minorHAnsi" w:eastAsiaTheme="minorEastAsia" w:hAnsiTheme="minorHAnsi" w:cstheme="minorBidi"/>
            <w:noProof/>
            <w:sz w:val="22"/>
            <w:szCs w:val="22"/>
          </w:rPr>
          <w:tab/>
        </w:r>
        <w:r w:rsidR="007A094C" w:rsidRPr="00611A94">
          <w:rPr>
            <w:rStyle w:val="Hypertextovodkaz"/>
            <w:rFonts w:cs="Calibri"/>
            <w:noProof/>
          </w:rPr>
          <w:t>Výkonnostní rámec pro operační program</w:t>
        </w:r>
        <w:r w:rsidR="007A094C">
          <w:rPr>
            <w:noProof/>
            <w:webHidden/>
          </w:rPr>
          <w:tab/>
        </w:r>
        <w:r w:rsidR="007A094C">
          <w:rPr>
            <w:noProof/>
            <w:webHidden/>
          </w:rPr>
          <w:fldChar w:fldCharType="begin"/>
        </w:r>
        <w:r w:rsidR="007A094C">
          <w:rPr>
            <w:noProof/>
            <w:webHidden/>
          </w:rPr>
          <w:instrText xml:space="preserve"> PAGEREF _Toc506885083 \h </w:instrText>
        </w:r>
        <w:r w:rsidR="007A094C">
          <w:rPr>
            <w:noProof/>
            <w:webHidden/>
          </w:rPr>
        </w:r>
        <w:r w:rsidR="007A094C">
          <w:rPr>
            <w:noProof/>
            <w:webHidden/>
          </w:rPr>
          <w:fldChar w:fldCharType="separate"/>
        </w:r>
        <w:r w:rsidR="007A094C">
          <w:rPr>
            <w:noProof/>
            <w:webHidden/>
          </w:rPr>
          <w:t>242</w:t>
        </w:r>
        <w:r w:rsidR="007A094C">
          <w:rPr>
            <w:noProof/>
            <w:webHidden/>
          </w:rPr>
          <w:fldChar w:fldCharType="end"/>
        </w:r>
      </w:hyperlink>
    </w:p>
    <w:p w14:paraId="3EAD5B10" w14:textId="77777777" w:rsidR="007A094C" w:rsidRDefault="00580034">
      <w:pPr>
        <w:pStyle w:val="Obsah2"/>
        <w:tabs>
          <w:tab w:val="left" w:pos="1100"/>
          <w:tab w:val="right" w:leader="dot" w:pos="9202"/>
        </w:tabs>
        <w:rPr>
          <w:rFonts w:asciiTheme="minorHAnsi" w:eastAsiaTheme="minorEastAsia" w:hAnsiTheme="minorHAnsi" w:cstheme="minorBidi"/>
          <w:noProof/>
          <w:sz w:val="22"/>
          <w:szCs w:val="22"/>
        </w:rPr>
      </w:pPr>
      <w:hyperlink w:anchor="_Toc506885084" w:history="1">
        <w:r w:rsidR="007A094C" w:rsidRPr="00611A94">
          <w:rPr>
            <w:rStyle w:val="Hypertextovodkaz"/>
            <w:rFonts w:cs="Calibri"/>
            <w:noProof/>
          </w:rPr>
          <w:t>12.3</w:t>
        </w:r>
        <w:r w:rsidR="007A094C">
          <w:rPr>
            <w:rFonts w:asciiTheme="minorHAnsi" w:eastAsiaTheme="minorEastAsia" w:hAnsiTheme="minorHAnsi" w:cstheme="minorBidi"/>
            <w:noProof/>
            <w:sz w:val="22"/>
            <w:szCs w:val="22"/>
          </w:rPr>
          <w:tab/>
        </w:r>
        <w:r w:rsidR="007A094C" w:rsidRPr="00611A94">
          <w:rPr>
            <w:rStyle w:val="Hypertextovodkaz"/>
            <w:rFonts w:cs="Calibri"/>
            <w:noProof/>
          </w:rPr>
          <w:t>Seznam příslušných partnerů zapojených do přípravy operačního programu</w:t>
        </w:r>
        <w:r w:rsidR="007A094C">
          <w:rPr>
            <w:noProof/>
            <w:webHidden/>
          </w:rPr>
          <w:tab/>
        </w:r>
        <w:r w:rsidR="007A094C">
          <w:rPr>
            <w:noProof/>
            <w:webHidden/>
          </w:rPr>
          <w:fldChar w:fldCharType="begin"/>
        </w:r>
        <w:r w:rsidR="007A094C">
          <w:rPr>
            <w:noProof/>
            <w:webHidden/>
          </w:rPr>
          <w:instrText xml:space="preserve"> PAGEREF _Toc506885084 \h </w:instrText>
        </w:r>
        <w:r w:rsidR="007A094C">
          <w:rPr>
            <w:noProof/>
            <w:webHidden/>
          </w:rPr>
        </w:r>
        <w:r w:rsidR="007A094C">
          <w:rPr>
            <w:noProof/>
            <w:webHidden/>
          </w:rPr>
          <w:fldChar w:fldCharType="separate"/>
        </w:r>
        <w:r w:rsidR="007A094C">
          <w:rPr>
            <w:noProof/>
            <w:webHidden/>
          </w:rPr>
          <w:t>243</w:t>
        </w:r>
        <w:r w:rsidR="007A094C">
          <w:rPr>
            <w:noProof/>
            <w:webHidden/>
          </w:rPr>
          <w:fldChar w:fldCharType="end"/>
        </w:r>
      </w:hyperlink>
    </w:p>
    <w:p w14:paraId="1B8B5253" w14:textId="77777777" w:rsidR="007A094C" w:rsidRDefault="00580034">
      <w:pPr>
        <w:pStyle w:val="Obsah2"/>
        <w:tabs>
          <w:tab w:val="right" w:leader="dot" w:pos="9202"/>
        </w:tabs>
        <w:rPr>
          <w:rFonts w:asciiTheme="minorHAnsi" w:eastAsiaTheme="minorEastAsia" w:hAnsiTheme="minorHAnsi" w:cstheme="minorBidi"/>
          <w:noProof/>
          <w:sz w:val="22"/>
          <w:szCs w:val="22"/>
        </w:rPr>
      </w:pPr>
      <w:hyperlink w:anchor="_Toc506885085" w:history="1">
        <w:r w:rsidR="007A094C" w:rsidRPr="00611A94">
          <w:rPr>
            <w:rStyle w:val="Hypertextovodkaz"/>
            <w:rFonts w:cs="Calibri"/>
            <w:noProof/>
          </w:rPr>
          <w:t>PŘÍLOHY (nahrány do systému pro elektronickou výměnu dat jako samostatné soubory)</w:t>
        </w:r>
        <w:r w:rsidR="007A094C">
          <w:rPr>
            <w:noProof/>
            <w:webHidden/>
          </w:rPr>
          <w:tab/>
        </w:r>
        <w:r w:rsidR="007A094C">
          <w:rPr>
            <w:noProof/>
            <w:webHidden/>
          </w:rPr>
          <w:fldChar w:fldCharType="begin"/>
        </w:r>
        <w:r w:rsidR="007A094C">
          <w:rPr>
            <w:noProof/>
            <w:webHidden/>
          </w:rPr>
          <w:instrText xml:space="preserve"> PAGEREF _Toc506885085 \h </w:instrText>
        </w:r>
        <w:r w:rsidR="007A094C">
          <w:rPr>
            <w:noProof/>
            <w:webHidden/>
          </w:rPr>
        </w:r>
        <w:r w:rsidR="007A094C">
          <w:rPr>
            <w:noProof/>
            <w:webHidden/>
          </w:rPr>
          <w:fldChar w:fldCharType="separate"/>
        </w:r>
        <w:r w:rsidR="007A094C">
          <w:rPr>
            <w:noProof/>
            <w:webHidden/>
          </w:rPr>
          <w:t>247</w:t>
        </w:r>
        <w:r w:rsidR="007A094C">
          <w:rPr>
            <w:noProof/>
            <w:webHidden/>
          </w:rPr>
          <w:fldChar w:fldCharType="end"/>
        </w:r>
      </w:hyperlink>
    </w:p>
    <w:p w14:paraId="5E2CFC7C" w14:textId="77777777" w:rsidR="00C21FE5" w:rsidRPr="00DD47DF" w:rsidRDefault="002756E7" w:rsidP="00C21FE5">
      <w:pPr>
        <w:overflowPunct/>
        <w:autoSpaceDE/>
        <w:autoSpaceDN/>
        <w:adjustRightInd/>
        <w:spacing w:before="120" w:after="60"/>
        <w:textAlignment w:val="auto"/>
        <w:rPr>
          <w:rFonts w:ascii="Calibri" w:hAnsi="Calibri" w:cs="Calibri"/>
          <w:b/>
          <w:caps/>
          <w:sz w:val="28"/>
          <w:szCs w:val="28"/>
        </w:rPr>
      </w:pPr>
      <w:r w:rsidRPr="00DD47DF">
        <w:rPr>
          <w:rFonts w:ascii="Calibri" w:hAnsi="Calibri" w:cs="Calibri"/>
          <w:b/>
          <w:caps/>
          <w:sz w:val="28"/>
          <w:szCs w:val="28"/>
        </w:rPr>
        <w:fldChar w:fldCharType="end"/>
      </w:r>
    </w:p>
    <w:p w14:paraId="7EDEF6C3"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4AAD8F40"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7F5D6030"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3C401EC1"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02E89BC6"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30AC9D40" w14:textId="77777777" w:rsidR="00704234" w:rsidRPr="00DD47DF" w:rsidRDefault="00704234" w:rsidP="00300283">
      <w:pPr>
        <w:overflowPunct/>
        <w:autoSpaceDE/>
        <w:autoSpaceDN/>
        <w:adjustRightInd/>
        <w:spacing w:before="120" w:after="60"/>
        <w:textAlignment w:val="auto"/>
        <w:rPr>
          <w:rFonts w:ascii="Calibri" w:hAnsi="Calibri" w:cs="Calibri"/>
          <w:b/>
          <w:caps/>
          <w:sz w:val="28"/>
          <w:szCs w:val="28"/>
        </w:rPr>
      </w:pPr>
    </w:p>
    <w:p w14:paraId="69195B12" w14:textId="77777777" w:rsidR="00C21FE5" w:rsidRPr="00DD47DF" w:rsidRDefault="00C21FE5" w:rsidP="00300283">
      <w:pPr>
        <w:overflowPunct/>
        <w:autoSpaceDE/>
        <w:autoSpaceDN/>
        <w:adjustRightInd/>
        <w:spacing w:before="120" w:after="60"/>
        <w:textAlignment w:val="auto"/>
        <w:rPr>
          <w:rFonts w:ascii="Calibri" w:hAnsi="Calibri" w:cs="Calibri"/>
          <w:b/>
          <w:caps/>
          <w:sz w:val="28"/>
          <w:szCs w:val="28"/>
        </w:rPr>
      </w:pPr>
    </w:p>
    <w:p w14:paraId="0CC7A293" w14:textId="77777777" w:rsidR="00C21FE5" w:rsidRPr="00DD47DF" w:rsidRDefault="00C21FE5" w:rsidP="00300283">
      <w:pPr>
        <w:overflowPunct/>
        <w:autoSpaceDE/>
        <w:autoSpaceDN/>
        <w:adjustRightInd/>
        <w:spacing w:before="120" w:after="60"/>
        <w:textAlignment w:val="auto"/>
        <w:rPr>
          <w:rFonts w:ascii="Calibri" w:hAnsi="Calibri" w:cs="Calibri"/>
          <w:b/>
          <w:caps/>
          <w:sz w:val="28"/>
          <w:szCs w:val="28"/>
        </w:rPr>
      </w:pPr>
    </w:p>
    <w:p w14:paraId="61B49D7E" w14:textId="77777777" w:rsidR="00C21FE5" w:rsidRPr="00DD47DF" w:rsidRDefault="00C21FE5" w:rsidP="00300283">
      <w:pPr>
        <w:overflowPunct/>
        <w:autoSpaceDE/>
        <w:autoSpaceDN/>
        <w:adjustRightInd/>
        <w:spacing w:before="120" w:after="60"/>
        <w:textAlignment w:val="auto"/>
        <w:rPr>
          <w:rFonts w:ascii="Calibri" w:hAnsi="Calibri" w:cs="Calibri"/>
          <w:b/>
          <w:caps/>
          <w:sz w:val="28"/>
          <w:szCs w:val="28"/>
        </w:rPr>
      </w:pPr>
    </w:p>
    <w:p w14:paraId="690ADE89" w14:textId="77777777" w:rsidR="000C44FC" w:rsidRPr="00DD47DF" w:rsidRDefault="00704234" w:rsidP="00C21FE5">
      <w:pPr>
        <w:pStyle w:val="Standardntext"/>
        <w:rPr>
          <w:b/>
        </w:rPr>
      </w:pPr>
      <w:r w:rsidRPr="00DD47DF">
        <w:rPr>
          <w:b/>
        </w:rPr>
        <w:t>Tato verze programového dokumentu OP PIK je zpracována v souladu s</w:t>
      </w:r>
      <w:r w:rsidR="00F31452" w:rsidRPr="00DD47DF">
        <w:rPr>
          <w:b/>
        </w:rPr>
        <w:t> </w:t>
      </w:r>
      <w:r w:rsidRPr="00DD47DF">
        <w:rPr>
          <w:b/>
        </w:rPr>
        <w:t>příloh</w:t>
      </w:r>
      <w:r w:rsidR="00F31452" w:rsidRPr="00DD47DF">
        <w:rPr>
          <w:b/>
        </w:rPr>
        <w:t>ou „</w:t>
      </w:r>
      <w:r w:rsidRPr="00DD47DF">
        <w:rPr>
          <w:b/>
        </w:rPr>
        <w:t>Vzor pro operační programy v rámci cíle Investice pro růst a zaměstnanost“</w:t>
      </w:r>
      <w:r w:rsidR="00F31452" w:rsidRPr="00DD47DF">
        <w:rPr>
          <w:b/>
        </w:rPr>
        <w:t xml:space="preserve"> p</w:t>
      </w:r>
      <w:r w:rsidR="00514AFF" w:rsidRPr="00DD47DF">
        <w:rPr>
          <w:b/>
        </w:rPr>
        <w:t>rováděcí</w:t>
      </w:r>
      <w:r w:rsidR="00F31452" w:rsidRPr="00DD47DF">
        <w:rPr>
          <w:b/>
        </w:rPr>
        <w:t>ho</w:t>
      </w:r>
      <w:r w:rsidR="00514AFF" w:rsidRPr="00DD47DF">
        <w:rPr>
          <w:b/>
        </w:rPr>
        <w:t xml:space="preserve"> nařízení Komise (EU) č. 288/2014 ze dne 25. února 2014</w:t>
      </w:r>
      <w:r w:rsidRPr="00DD47DF">
        <w:rPr>
          <w:b/>
        </w:rPr>
        <w:t>.</w:t>
      </w:r>
      <w:r w:rsidR="00184621" w:rsidRPr="00DD47DF">
        <w:rPr>
          <w:b/>
        </w:rPr>
        <w:t xml:space="preserve"> </w:t>
      </w:r>
      <w:r w:rsidR="000C44FC" w:rsidRPr="00DD47DF">
        <w:rPr>
          <w:b/>
        </w:rPr>
        <w:br w:type="page"/>
      </w:r>
    </w:p>
    <w:p w14:paraId="61081FF5" w14:textId="77777777" w:rsidR="000C44FC" w:rsidRPr="00DD47DF" w:rsidRDefault="000C44FC" w:rsidP="000C44FC">
      <w:pPr>
        <w:overflowPunct/>
        <w:autoSpaceDE/>
        <w:autoSpaceDN/>
        <w:adjustRightInd/>
        <w:spacing w:before="120" w:after="60"/>
        <w:textAlignment w:val="auto"/>
        <w:rPr>
          <w:rFonts w:ascii="Calibri" w:hAnsi="Calibri" w:cs="Calibri"/>
          <w:b/>
          <w:caps/>
          <w:sz w:val="28"/>
          <w:szCs w:val="28"/>
        </w:rPr>
      </w:pPr>
      <w:r w:rsidRPr="00DD47DF">
        <w:rPr>
          <w:rFonts w:ascii="Calibri" w:hAnsi="Calibri" w:cs="Calibri"/>
          <w:b/>
          <w:caps/>
          <w:sz w:val="28"/>
          <w:szCs w:val="28"/>
        </w:rPr>
        <w:lastRenderedPageBreak/>
        <w:t xml:space="preserve">Seznam </w:t>
      </w:r>
      <w:r w:rsidR="00536909" w:rsidRPr="00DD47DF">
        <w:rPr>
          <w:rFonts w:ascii="Calibri" w:hAnsi="Calibri" w:cs="Calibri"/>
          <w:b/>
          <w:caps/>
          <w:sz w:val="28"/>
          <w:szCs w:val="28"/>
        </w:rPr>
        <w:t xml:space="preserve">použitých </w:t>
      </w:r>
      <w:r w:rsidRPr="00DD47DF">
        <w:rPr>
          <w:rFonts w:ascii="Calibri" w:hAnsi="Calibri" w:cs="Calibri"/>
          <w:b/>
          <w:caps/>
          <w:sz w:val="28"/>
          <w:szCs w:val="28"/>
        </w:rPr>
        <w:t>zkratek</w:t>
      </w:r>
    </w:p>
    <w:p w14:paraId="0FBEF351" w14:textId="77777777" w:rsidR="000C44FC" w:rsidRPr="00DD47DF" w:rsidRDefault="000C44FC" w:rsidP="000C44FC">
      <w:pPr>
        <w:pStyle w:val="Standardntext"/>
      </w:pPr>
    </w:p>
    <w:tbl>
      <w:tblPr>
        <w:tblW w:w="0" w:type="auto"/>
        <w:tblCellMar>
          <w:left w:w="57" w:type="dxa"/>
          <w:right w:w="57" w:type="dxa"/>
        </w:tblCellMar>
        <w:tblLook w:val="04A0" w:firstRow="1" w:lastRow="0" w:firstColumn="1" w:lastColumn="0" w:noHBand="0" w:noVBand="1"/>
      </w:tblPr>
      <w:tblGrid>
        <w:gridCol w:w="2376"/>
        <w:gridCol w:w="6836"/>
      </w:tblGrid>
      <w:tr w:rsidR="00F37CF9" w:rsidRPr="00DD47DF" w14:paraId="5EA3B3FB" w14:textId="77777777">
        <w:tc>
          <w:tcPr>
            <w:tcW w:w="2376" w:type="dxa"/>
            <w:shd w:val="clear" w:color="auto" w:fill="auto"/>
          </w:tcPr>
          <w:p w14:paraId="2B8920D3" w14:textId="77777777" w:rsidR="00F37CF9" w:rsidRPr="00DD47DF" w:rsidRDefault="00F37CF9" w:rsidP="00142A82">
            <w:pPr>
              <w:pStyle w:val="Tabulka"/>
              <w:jc w:val="left"/>
              <w:rPr>
                <w:rFonts w:cs="Calibri"/>
              </w:rPr>
            </w:pPr>
            <w:r w:rsidRPr="00DD47DF">
              <w:rPr>
                <w:rFonts w:cs="Calibri"/>
              </w:rPr>
              <w:t>CEF</w:t>
            </w:r>
          </w:p>
        </w:tc>
        <w:tc>
          <w:tcPr>
            <w:tcW w:w="6836" w:type="dxa"/>
            <w:shd w:val="clear" w:color="auto" w:fill="auto"/>
          </w:tcPr>
          <w:p w14:paraId="46BD138C" w14:textId="77777777" w:rsidR="00F37CF9" w:rsidRPr="00DD47DF" w:rsidRDefault="00F37CF9" w:rsidP="00142A82">
            <w:pPr>
              <w:pStyle w:val="Tabulka"/>
              <w:jc w:val="left"/>
              <w:rPr>
                <w:rFonts w:cs="Calibri"/>
              </w:rPr>
            </w:pPr>
            <w:r w:rsidRPr="00DD47DF">
              <w:rPr>
                <w:rFonts w:cs="Calibri"/>
              </w:rPr>
              <w:t>Nástroj pro propojení Evropy</w:t>
            </w:r>
          </w:p>
        </w:tc>
      </w:tr>
      <w:tr w:rsidR="00F37CF9" w:rsidRPr="00DD47DF" w14:paraId="5ED87936" w14:textId="77777777">
        <w:tc>
          <w:tcPr>
            <w:tcW w:w="2376" w:type="dxa"/>
            <w:shd w:val="clear" w:color="auto" w:fill="auto"/>
          </w:tcPr>
          <w:p w14:paraId="493C8105" w14:textId="77777777" w:rsidR="00F37CF9" w:rsidRPr="00DD47DF" w:rsidRDefault="00F37CF9" w:rsidP="00142A82">
            <w:pPr>
              <w:pStyle w:val="Tabulka"/>
              <w:jc w:val="left"/>
              <w:rPr>
                <w:rFonts w:cs="Calibri"/>
              </w:rPr>
            </w:pPr>
            <w:r w:rsidRPr="00DD47DF">
              <w:rPr>
                <w:rFonts w:cs="Calibri"/>
              </w:rPr>
              <w:t>CLLD</w:t>
            </w:r>
          </w:p>
        </w:tc>
        <w:tc>
          <w:tcPr>
            <w:tcW w:w="6836" w:type="dxa"/>
            <w:shd w:val="clear" w:color="auto" w:fill="auto"/>
          </w:tcPr>
          <w:p w14:paraId="312E78AE" w14:textId="77777777" w:rsidR="00F37CF9" w:rsidRPr="00DD47DF" w:rsidRDefault="00F37CF9" w:rsidP="00142A82">
            <w:pPr>
              <w:pStyle w:val="Tabulka"/>
              <w:jc w:val="left"/>
              <w:rPr>
                <w:rFonts w:cs="Calibri"/>
              </w:rPr>
            </w:pPr>
            <w:r w:rsidRPr="00DD47DF">
              <w:rPr>
                <w:rFonts w:cs="Calibri"/>
              </w:rPr>
              <w:t>Komunitně vedený místní rozvoj</w:t>
            </w:r>
          </w:p>
        </w:tc>
      </w:tr>
      <w:tr w:rsidR="00F37CF9" w:rsidRPr="00DD47DF" w14:paraId="14F77CD2" w14:textId="77777777">
        <w:tc>
          <w:tcPr>
            <w:tcW w:w="2376" w:type="dxa"/>
            <w:shd w:val="clear" w:color="auto" w:fill="auto"/>
          </w:tcPr>
          <w:p w14:paraId="31AEE9D4" w14:textId="77777777" w:rsidR="00F37CF9" w:rsidRPr="00DD47DF" w:rsidRDefault="00F37CF9" w:rsidP="00142A82">
            <w:pPr>
              <w:pStyle w:val="Tabulka"/>
              <w:jc w:val="left"/>
              <w:rPr>
                <w:rFonts w:cs="Calibri"/>
              </w:rPr>
            </w:pPr>
            <w:r w:rsidRPr="00DD47DF">
              <w:rPr>
                <w:rFonts w:cs="Calibri"/>
              </w:rPr>
              <w:t>COSME</w:t>
            </w:r>
          </w:p>
        </w:tc>
        <w:tc>
          <w:tcPr>
            <w:tcW w:w="6836" w:type="dxa"/>
            <w:shd w:val="clear" w:color="auto" w:fill="auto"/>
          </w:tcPr>
          <w:p w14:paraId="1E4D425C" w14:textId="77777777" w:rsidR="00F37CF9" w:rsidRPr="00DD47DF" w:rsidRDefault="00F37CF9" w:rsidP="00142A82">
            <w:pPr>
              <w:pStyle w:val="Tabulka"/>
              <w:jc w:val="left"/>
              <w:rPr>
                <w:rFonts w:cs="Calibri"/>
              </w:rPr>
            </w:pPr>
            <w:r w:rsidRPr="00DD47DF">
              <w:rPr>
                <w:rFonts w:cs="Calibri"/>
              </w:rPr>
              <w:t>Program pro konkurenceschopnost podniků s důrazem na malé a střední podniky 2014-2020</w:t>
            </w:r>
          </w:p>
        </w:tc>
      </w:tr>
      <w:tr w:rsidR="009E6C87" w:rsidRPr="00DD47DF" w14:paraId="6004FE1C" w14:textId="77777777">
        <w:tc>
          <w:tcPr>
            <w:tcW w:w="2376" w:type="dxa"/>
            <w:shd w:val="clear" w:color="auto" w:fill="auto"/>
          </w:tcPr>
          <w:p w14:paraId="757C3D02" w14:textId="77777777" w:rsidR="009E6C87" w:rsidRPr="00DD47DF" w:rsidRDefault="009E6C87" w:rsidP="00142A82">
            <w:pPr>
              <w:pStyle w:val="Tabulka"/>
              <w:jc w:val="left"/>
              <w:rPr>
                <w:rFonts w:cs="Calibri"/>
              </w:rPr>
            </w:pPr>
            <w:r w:rsidRPr="00DD47DF">
              <w:rPr>
                <w:rFonts w:cs="Calibri"/>
              </w:rPr>
              <w:t>CSS</w:t>
            </w:r>
          </w:p>
        </w:tc>
        <w:tc>
          <w:tcPr>
            <w:tcW w:w="6836" w:type="dxa"/>
            <w:shd w:val="clear" w:color="auto" w:fill="auto"/>
          </w:tcPr>
          <w:p w14:paraId="3A3D62D3" w14:textId="77777777" w:rsidR="009E6C87" w:rsidRPr="00DD47DF" w:rsidRDefault="009E6C87" w:rsidP="00142A82">
            <w:pPr>
              <w:pStyle w:val="Tabulka"/>
              <w:jc w:val="left"/>
              <w:rPr>
                <w:rFonts w:cs="Calibri"/>
              </w:rPr>
            </w:pPr>
            <w:r w:rsidRPr="00DD47DF">
              <w:rPr>
                <w:rFonts w:cs="Calibri"/>
              </w:rPr>
              <w:t>Centrum sdílených služeb</w:t>
            </w:r>
          </w:p>
        </w:tc>
      </w:tr>
      <w:tr w:rsidR="00F37CF9" w:rsidRPr="00DD47DF" w14:paraId="517DD0E8" w14:textId="77777777">
        <w:tc>
          <w:tcPr>
            <w:tcW w:w="2376" w:type="dxa"/>
            <w:shd w:val="clear" w:color="auto" w:fill="auto"/>
          </w:tcPr>
          <w:p w14:paraId="3A95609F" w14:textId="77777777" w:rsidR="00F37CF9" w:rsidRPr="00DD47DF" w:rsidRDefault="00F37CF9" w:rsidP="00142A82">
            <w:pPr>
              <w:pStyle w:val="Tabulka"/>
              <w:jc w:val="left"/>
              <w:rPr>
                <w:rFonts w:cs="Calibri"/>
              </w:rPr>
            </w:pPr>
            <w:r w:rsidRPr="00DD47DF">
              <w:rPr>
                <w:rFonts w:cs="Calibri"/>
              </w:rPr>
              <w:t>ČMZRB</w:t>
            </w:r>
          </w:p>
        </w:tc>
        <w:tc>
          <w:tcPr>
            <w:tcW w:w="6836" w:type="dxa"/>
            <w:shd w:val="clear" w:color="auto" w:fill="auto"/>
          </w:tcPr>
          <w:p w14:paraId="0FA8958C" w14:textId="77777777" w:rsidR="00F37CF9" w:rsidRPr="00DD47DF" w:rsidRDefault="00F37CF9" w:rsidP="00142A82">
            <w:pPr>
              <w:pStyle w:val="Tabulka"/>
              <w:jc w:val="left"/>
              <w:rPr>
                <w:rFonts w:cs="Calibri"/>
              </w:rPr>
            </w:pPr>
            <w:r w:rsidRPr="00DD47DF">
              <w:rPr>
                <w:rFonts w:cs="Calibri"/>
              </w:rPr>
              <w:t>Českomoravská záruční a rozvojové banka, a.s.</w:t>
            </w:r>
          </w:p>
        </w:tc>
      </w:tr>
      <w:tr w:rsidR="00F37CF9" w:rsidRPr="00DD47DF" w14:paraId="68C20C89" w14:textId="77777777">
        <w:tc>
          <w:tcPr>
            <w:tcW w:w="2376" w:type="dxa"/>
            <w:shd w:val="clear" w:color="auto" w:fill="auto"/>
          </w:tcPr>
          <w:p w14:paraId="62C44532" w14:textId="77777777" w:rsidR="00F37CF9" w:rsidRPr="00DD47DF" w:rsidRDefault="00F37CF9" w:rsidP="00142A82">
            <w:pPr>
              <w:pStyle w:val="Tabulka"/>
              <w:jc w:val="left"/>
              <w:rPr>
                <w:rFonts w:cs="Calibri"/>
              </w:rPr>
            </w:pPr>
            <w:r w:rsidRPr="00DD47DF">
              <w:rPr>
                <w:rFonts w:cs="Calibri"/>
              </w:rPr>
              <w:t>ČSÚ</w:t>
            </w:r>
          </w:p>
        </w:tc>
        <w:tc>
          <w:tcPr>
            <w:tcW w:w="6836" w:type="dxa"/>
            <w:shd w:val="clear" w:color="auto" w:fill="auto"/>
          </w:tcPr>
          <w:p w14:paraId="1E9F851B" w14:textId="77777777" w:rsidR="00F37CF9" w:rsidRPr="00DD47DF" w:rsidRDefault="00F37CF9" w:rsidP="00142A82">
            <w:pPr>
              <w:pStyle w:val="Tabulka"/>
              <w:jc w:val="left"/>
              <w:rPr>
                <w:rFonts w:cs="Calibri"/>
              </w:rPr>
            </w:pPr>
            <w:r w:rsidRPr="00DD47DF">
              <w:rPr>
                <w:rFonts w:cs="Calibri"/>
              </w:rPr>
              <w:t>Český statistický úřad</w:t>
            </w:r>
          </w:p>
        </w:tc>
      </w:tr>
      <w:tr w:rsidR="00F37CF9" w:rsidRPr="00DD47DF" w14:paraId="31F3EAF7" w14:textId="77777777">
        <w:tc>
          <w:tcPr>
            <w:tcW w:w="2376" w:type="dxa"/>
            <w:shd w:val="clear" w:color="auto" w:fill="auto"/>
          </w:tcPr>
          <w:p w14:paraId="7767D8A8" w14:textId="77777777" w:rsidR="00F37CF9" w:rsidRPr="00DD47DF" w:rsidRDefault="00F37CF9" w:rsidP="00142A82">
            <w:pPr>
              <w:pStyle w:val="Tabulka"/>
              <w:jc w:val="left"/>
              <w:rPr>
                <w:rFonts w:cs="Calibri"/>
              </w:rPr>
            </w:pPr>
            <w:r w:rsidRPr="00DD47DF">
              <w:rPr>
                <w:rFonts w:cs="Calibri"/>
              </w:rPr>
              <w:t>ČTÚ</w:t>
            </w:r>
          </w:p>
        </w:tc>
        <w:tc>
          <w:tcPr>
            <w:tcW w:w="6836" w:type="dxa"/>
            <w:shd w:val="clear" w:color="auto" w:fill="auto"/>
          </w:tcPr>
          <w:p w14:paraId="65EF8CA8" w14:textId="77777777" w:rsidR="00F37CF9" w:rsidRPr="00DD47DF" w:rsidRDefault="00F37CF9" w:rsidP="00142A82">
            <w:pPr>
              <w:pStyle w:val="Tabulka"/>
              <w:jc w:val="left"/>
              <w:rPr>
                <w:rFonts w:cs="Calibri"/>
              </w:rPr>
            </w:pPr>
            <w:r w:rsidRPr="00DD47DF">
              <w:rPr>
                <w:rFonts w:cs="Calibri"/>
              </w:rPr>
              <w:t>Český telekomunikační úřad</w:t>
            </w:r>
          </w:p>
        </w:tc>
      </w:tr>
      <w:tr w:rsidR="00F37CF9" w:rsidRPr="00DD47DF" w14:paraId="2F2DB7EE" w14:textId="77777777">
        <w:tc>
          <w:tcPr>
            <w:tcW w:w="2376" w:type="dxa"/>
            <w:shd w:val="clear" w:color="auto" w:fill="auto"/>
          </w:tcPr>
          <w:p w14:paraId="7589C8B7" w14:textId="77777777" w:rsidR="00F37CF9" w:rsidRPr="00DD47DF" w:rsidRDefault="00F37CF9" w:rsidP="00142A82">
            <w:pPr>
              <w:pStyle w:val="Tabulka"/>
              <w:jc w:val="left"/>
              <w:rPr>
                <w:rFonts w:cs="Calibri"/>
              </w:rPr>
            </w:pPr>
            <w:r w:rsidRPr="00DD47DF">
              <w:rPr>
                <w:rFonts w:cs="Calibri"/>
              </w:rPr>
              <w:t xml:space="preserve">DG ENERGY </w:t>
            </w:r>
          </w:p>
        </w:tc>
        <w:tc>
          <w:tcPr>
            <w:tcW w:w="6836" w:type="dxa"/>
            <w:shd w:val="clear" w:color="auto" w:fill="auto"/>
          </w:tcPr>
          <w:p w14:paraId="41E5FD28" w14:textId="77777777" w:rsidR="00F37CF9" w:rsidRPr="00DD47DF" w:rsidRDefault="00F37CF9" w:rsidP="00142A82">
            <w:pPr>
              <w:pStyle w:val="Tabulka"/>
              <w:jc w:val="left"/>
              <w:rPr>
                <w:rFonts w:cs="Calibri"/>
              </w:rPr>
            </w:pPr>
            <w:r w:rsidRPr="00DD47DF">
              <w:rPr>
                <w:rStyle w:val="st1"/>
                <w:szCs w:val="24"/>
              </w:rPr>
              <w:t>Generální ředitelství EK pro energetiku</w:t>
            </w:r>
          </w:p>
        </w:tc>
      </w:tr>
      <w:tr w:rsidR="00F37CF9" w:rsidRPr="00DD47DF" w14:paraId="36E1C0E8" w14:textId="77777777">
        <w:tc>
          <w:tcPr>
            <w:tcW w:w="2376" w:type="dxa"/>
            <w:shd w:val="clear" w:color="auto" w:fill="auto"/>
          </w:tcPr>
          <w:p w14:paraId="07F5FB7B" w14:textId="77777777" w:rsidR="00F37CF9" w:rsidRPr="00DD47DF" w:rsidRDefault="00F37CF9" w:rsidP="00142A82">
            <w:pPr>
              <w:pStyle w:val="Tabulka"/>
              <w:jc w:val="left"/>
              <w:rPr>
                <w:rFonts w:cs="Calibri"/>
              </w:rPr>
            </w:pPr>
            <w:r w:rsidRPr="00DD47DF">
              <w:rPr>
                <w:rFonts w:cs="Calibri"/>
              </w:rPr>
              <w:t>DG REGIO</w:t>
            </w:r>
          </w:p>
        </w:tc>
        <w:tc>
          <w:tcPr>
            <w:tcW w:w="6836" w:type="dxa"/>
            <w:shd w:val="clear" w:color="auto" w:fill="auto"/>
          </w:tcPr>
          <w:p w14:paraId="02BD653F" w14:textId="77777777" w:rsidR="00F37CF9" w:rsidRPr="00DD47DF" w:rsidRDefault="00F37CF9" w:rsidP="00142A82">
            <w:pPr>
              <w:pStyle w:val="Tabulka"/>
              <w:jc w:val="left"/>
              <w:rPr>
                <w:rFonts w:cs="Calibri"/>
              </w:rPr>
            </w:pPr>
            <w:r w:rsidRPr="00DD47DF">
              <w:rPr>
                <w:rStyle w:val="st1"/>
                <w:szCs w:val="24"/>
              </w:rPr>
              <w:t>Generální ředitelství EK pro regionální politiku</w:t>
            </w:r>
          </w:p>
        </w:tc>
      </w:tr>
      <w:tr w:rsidR="00F37CF9" w:rsidRPr="00DD47DF" w14:paraId="0DFEFF5D" w14:textId="77777777">
        <w:tc>
          <w:tcPr>
            <w:tcW w:w="2376" w:type="dxa"/>
            <w:shd w:val="clear" w:color="auto" w:fill="auto"/>
          </w:tcPr>
          <w:p w14:paraId="0DB265C5" w14:textId="77777777" w:rsidR="00F37CF9" w:rsidRPr="00DD47DF" w:rsidRDefault="00F37CF9" w:rsidP="00142A82">
            <w:pPr>
              <w:pStyle w:val="Tabulka"/>
              <w:jc w:val="left"/>
              <w:rPr>
                <w:rFonts w:cs="Calibri"/>
              </w:rPr>
            </w:pPr>
            <w:r w:rsidRPr="00DD47DF">
              <w:rPr>
                <w:rFonts w:cs="Calibri"/>
              </w:rPr>
              <w:t>DG RESEARCH</w:t>
            </w:r>
          </w:p>
        </w:tc>
        <w:tc>
          <w:tcPr>
            <w:tcW w:w="6836" w:type="dxa"/>
            <w:shd w:val="clear" w:color="auto" w:fill="auto"/>
          </w:tcPr>
          <w:p w14:paraId="0FF6E6C0" w14:textId="77777777" w:rsidR="00F37CF9" w:rsidRPr="00DD47DF" w:rsidRDefault="00F37CF9" w:rsidP="00142A82">
            <w:pPr>
              <w:pStyle w:val="Tabulka"/>
              <w:jc w:val="left"/>
              <w:rPr>
                <w:rFonts w:cs="Calibri"/>
              </w:rPr>
            </w:pPr>
            <w:r w:rsidRPr="00DD47DF">
              <w:rPr>
                <w:rStyle w:val="st1"/>
                <w:szCs w:val="24"/>
              </w:rPr>
              <w:t>Generální ředitelství EK pro výzkum</w:t>
            </w:r>
          </w:p>
        </w:tc>
      </w:tr>
      <w:tr w:rsidR="00253374" w:rsidRPr="00DD47DF" w14:paraId="2C4ECA72" w14:textId="77777777">
        <w:tc>
          <w:tcPr>
            <w:tcW w:w="2376" w:type="dxa"/>
            <w:shd w:val="clear" w:color="auto" w:fill="auto"/>
          </w:tcPr>
          <w:p w14:paraId="0A973B53" w14:textId="77777777" w:rsidR="00253374" w:rsidRPr="00DD47DF" w:rsidRDefault="00253374" w:rsidP="00142A82">
            <w:pPr>
              <w:pStyle w:val="Tabulka"/>
              <w:jc w:val="left"/>
              <w:rPr>
                <w:rFonts w:cs="Calibri"/>
              </w:rPr>
            </w:pPr>
            <w:r w:rsidRPr="00DD47DF">
              <w:rPr>
                <w:rFonts w:cs="Calibri"/>
              </w:rPr>
              <w:t>EaSI</w:t>
            </w:r>
          </w:p>
        </w:tc>
        <w:tc>
          <w:tcPr>
            <w:tcW w:w="6836" w:type="dxa"/>
            <w:shd w:val="clear" w:color="auto" w:fill="auto"/>
          </w:tcPr>
          <w:p w14:paraId="66CB9CE4" w14:textId="77777777" w:rsidR="00253374" w:rsidRPr="00DD47DF" w:rsidRDefault="00253374" w:rsidP="00142A82">
            <w:pPr>
              <w:pStyle w:val="Tabulka"/>
              <w:jc w:val="left"/>
              <w:rPr>
                <w:rStyle w:val="st1"/>
                <w:szCs w:val="24"/>
              </w:rPr>
            </w:pPr>
            <w:r w:rsidRPr="00DD47DF">
              <w:rPr>
                <w:rStyle w:val="st1"/>
                <w:szCs w:val="24"/>
              </w:rPr>
              <w:t>Program Evropské unie pro zaměstnanost a sociální inovace</w:t>
            </w:r>
          </w:p>
        </w:tc>
      </w:tr>
      <w:tr w:rsidR="00F37CF9" w:rsidRPr="00DD47DF" w14:paraId="3D390CB1" w14:textId="77777777">
        <w:tc>
          <w:tcPr>
            <w:tcW w:w="2376" w:type="dxa"/>
            <w:shd w:val="clear" w:color="auto" w:fill="auto"/>
          </w:tcPr>
          <w:p w14:paraId="65B9354E" w14:textId="77777777" w:rsidR="00F37CF9" w:rsidRPr="00DD47DF" w:rsidRDefault="00F37CF9" w:rsidP="00142A82">
            <w:pPr>
              <w:pStyle w:val="Tabulka"/>
              <w:jc w:val="left"/>
              <w:rPr>
                <w:rFonts w:cs="Calibri"/>
              </w:rPr>
            </w:pPr>
            <w:r w:rsidRPr="00DD47DF">
              <w:rPr>
                <w:rFonts w:cs="Calibri"/>
              </w:rPr>
              <w:t>EFRR</w:t>
            </w:r>
          </w:p>
        </w:tc>
        <w:tc>
          <w:tcPr>
            <w:tcW w:w="6836" w:type="dxa"/>
            <w:shd w:val="clear" w:color="auto" w:fill="auto"/>
          </w:tcPr>
          <w:p w14:paraId="0D3ECC87" w14:textId="77777777" w:rsidR="00F37CF9" w:rsidRPr="00DD47DF" w:rsidRDefault="00F37CF9" w:rsidP="00142A82">
            <w:pPr>
              <w:pStyle w:val="Tabulka"/>
              <w:jc w:val="left"/>
              <w:rPr>
                <w:rFonts w:cs="Calibri"/>
              </w:rPr>
            </w:pPr>
            <w:r w:rsidRPr="00DD47DF">
              <w:rPr>
                <w:rFonts w:cs="Calibri"/>
              </w:rPr>
              <w:t>Evropský fond pro regionální rozvoj</w:t>
            </w:r>
          </w:p>
        </w:tc>
      </w:tr>
      <w:tr w:rsidR="00F37CF9" w:rsidRPr="00DD47DF" w14:paraId="5FC66E14" w14:textId="77777777">
        <w:tc>
          <w:tcPr>
            <w:tcW w:w="2376" w:type="dxa"/>
            <w:shd w:val="clear" w:color="auto" w:fill="auto"/>
          </w:tcPr>
          <w:p w14:paraId="50A8BE3D" w14:textId="77777777" w:rsidR="00F37CF9" w:rsidRPr="00DD47DF" w:rsidRDefault="00F37CF9" w:rsidP="00142A82">
            <w:pPr>
              <w:pStyle w:val="Tabulka"/>
              <w:jc w:val="left"/>
              <w:rPr>
                <w:rFonts w:cs="Calibri"/>
              </w:rPr>
            </w:pPr>
            <w:r w:rsidRPr="00DD47DF">
              <w:rPr>
                <w:rFonts w:cs="Calibri"/>
              </w:rPr>
              <w:t>EIA</w:t>
            </w:r>
          </w:p>
        </w:tc>
        <w:tc>
          <w:tcPr>
            <w:tcW w:w="6836" w:type="dxa"/>
            <w:shd w:val="clear" w:color="auto" w:fill="auto"/>
          </w:tcPr>
          <w:p w14:paraId="7496FF20" w14:textId="77777777" w:rsidR="00F37CF9" w:rsidRPr="00DD47DF" w:rsidRDefault="00F37CF9" w:rsidP="00142A82">
            <w:pPr>
              <w:pStyle w:val="Tabulka"/>
              <w:jc w:val="left"/>
              <w:rPr>
                <w:rFonts w:cs="Calibri"/>
              </w:rPr>
            </w:pPr>
            <w:r w:rsidRPr="00DD47DF">
              <w:rPr>
                <w:rFonts w:cs="Calibri"/>
              </w:rPr>
              <w:t>Posuzování vlivů záměru na životní prostředí</w:t>
            </w:r>
          </w:p>
        </w:tc>
      </w:tr>
      <w:tr w:rsidR="00F37CF9" w:rsidRPr="00DD47DF" w14:paraId="51AA4D9A" w14:textId="77777777">
        <w:tc>
          <w:tcPr>
            <w:tcW w:w="2376" w:type="dxa"/>
            <w:shd w:val="clear" w:color="auto" w:fill="auto"/>
          </w:tcPr>
          <w:p w14:paraId="5A79CE0E" w14:textId="77777777" w:rsidR="00F37CF9" w:rsidRPr="00DD47DF" w:rsidRDefault="00F37CF9" w:rsidP="00142A82">
            <w:pPr>
              <w:pStyle w:val="Tabulka"/>
              <w:jc w:val="left"/>
              <w:rPr>
                <w:rFonts w:cs="Calibri"/>
              </w:rPr>
            </w:pPr>
            <w:r w:rsidRPr="00DD47DF">
              <w:rPr>
                <w:rFonts w:cs="Calibri"/>
              </w:rPr>
              <w:t>EK</w:t>
            </w:r>
          </w:p>
        </w:tc>
        <w:tc>
          <w:tcPr>
            <w:tcW w:w="6836" w:type="dxa"/>
            <w:shd w:val="clear" w:color="auto" w:fill="auto"/>
          </w:tcPr>
          <w:p w14:paraId="0DE2D24B" w14:textId="77777777" w:rsidR="00F37CF9" w:rsidRPr="00DD47DF" w:rsidRDefault="00F37CF9" w:rsidP="00142A82">
            <w:pPr>
              <w:pStyle w:val="Tabulka"/>
              <w:jc w:val="left"/>
              <w:rPr>
                <w:rFonts w:cs="Calibri"/>
              </w:rPr>
            </w:pPr>
            <w:r w:rsidRPr="00DD47DF">
              <w:rPr>
                <w:rFonts w:cs="Calibri"/>
              </w:rPr>
              <w:t>Evropská komise</w:t>
            </w:r>
          </w:p>
        </w:tc>
      </w:tr>
      <w:tr w:rsidR="00F37CF9" w:rsidRPr="00DD47DF" w14:paraId="3DFADC50" w14:textId="77777777">
        <w:tc>
          <w:tcPr>
            <w:tcW w:w="2376" w:type="dxa"/>
            <w:shd w:val="clear" w:color="auto" w:fill="auto"/>
          </w:tcPr>
          <w:p w14:paraId="0D6FFC4B" w14:textId="77777777" w:rsidR="00F37CF9" w:rsidRPr="00DD47DF" w:rsidRDefault="00F37CF9" w:rsidP="00142A82">
            <w:pPr>
              <w:pStyle w:val="Tabulka"/>
              <w:jc w:val="left"/>
              <w:rPr>
                <w:rFonts w:cs="Calibri"/>
              </w:rPr>
            </w:pPr>
            <w:r w:rsidRPr="00DD47DF">
              <w:rPr>
                <w:rFonts w:cs="Calibri"/>
              </w:rPr>
              <w:t>EMFF</w:t>
            </w:r>
          </w:p>
        </w:tc>
        <w:tc>
          <w:tcPr>
            <w:tcW w:w="6836" w:type="dxa"/>
            <w:shd w:val="clear" w:color="auto" w:fill="auto"/>
          </w:tcPr>
          <w:p w14:paraId="1C2E7994" w14:textId="77777777" w:rsidR="00F37CF9" w:rsidRPr="00DD47DF" w:rsidRDefault="00F37CF9" w:rsidP="00142A82">
            <w:pPr>
              <w:pStyle w:val="Tabulka"/>
              <w:jc w:val="left"/>
              <w:rPr>
                <w:rFonts w:cs="Calibri"/>
              </w:rPr>
            </w:pPr>
            <w:r w:rsidRPr="00DD47DF">
              <w:rPr>
                <w:rFonts w:cs="Calibri"/>
              </w:rPr>
              <w:t>Evropský námořní a rybářské fond</w:t>
            </w:r>
          </w:p>
        </w:tc>
      </w:tr>
      <w:tr w:rsidR="00DA544B" w:rsidRPr="00DD47DF" w14:paraId="0BB33B3D" w14:textId="77777777">
        <w:tc>
          <w:tcPr>
            <w:tcW w:w="2376" w:type="dxa"/>
            <w:shd w:val="clear" w:color="auto" w:fill="auto"/>
          </w:tcPr>
          <w:p w14:paraId="5BE2AFB8" w14:textId="77777777" w:rsidR="00DA544B" w:rsidRPr="00DD47DF" w:rsidRDefault="00DA544B" w:rsidP="00142A82">
            <w:pPr>
              <w:pStyle w:val="Tabulka"/>
              <w:jc w:val="left"/>
              <w:rPr>
                <w:rFonts w:cs="Calibri"/>
              </w:rPr>
            </w:pPr>
            <w:r w:rsidRPr="00DD47DF">
              <w:rPr>
                <w:rFonts w:cs="Calibri"/>
              </w:rPr>
              <w:t>ERÚ</w:t>
            </w:r>
          </w:p>
        </w:tc>
        <w:tc>
          <w:tcPr>
            <w:tcW w:w="6836" w:type="dxa"/>
            <w:shd w:val="clear" w:color="auto" w:fill="auto"/>
          </w:tcPr>
          <w:p w14:paraId="227C0AB3" w14:textId="77777777" w:rsidR="00DA544B" w:rsidRPr="00DD47DF" w:rsidRDefault="00DA544B" w:rsidP="00142A82">
            <w:pPr>
              <w:pStyle w:val="Tabulka"/>
              <w:jc w:val="left"/>
              <w:rPr>
                <w:rFonts w:cs="Calibri"/>
              </w:rPr>
            </w:pPr>
            <w:r w:rsidRPr="00DD47DF">
              <w:rPr>
                <w:rFonts w:cs="Calibri"/>
              </w:rPr>
              <w:t>Energetický regulační úřad</w:t>
            </w:r>
          </w:p>
        </w:tc>
      </w:tr>
      <w:tr w:rsidR="00F37CF9" w:rsidRPr="00DD47DF" w14:paraId="2F2B20E3" w14:textId="77777777">
        <w:tc>
          <w:tcPr>
            <w:tcW w:w="2376" w:type="dxa"/>
            <w:shd w:val="clear" w:color="auto" w:fill="auto"/>
          </w:tcPr>
          <w:p w14:paraId="75F44E33" w14:textId="77777777" w:rsidR="00F37CF9" w:rsidRPr="00DD47DF" w:rsidRDefault="00F37CF9" w:rsidP="00142A82">
            <w:pPr>
              <w:pStyle w:val="Tabulka"/>
              <w:jc w:val="left"/>
              <w:rPr>
                <w:rFonts w:cs="Calibri"/>
              </w:rPr>
            </w:pPr>
            <w:r w:rsidRPr="00DD47DF">
              <w:rPr>
                <w:rFonts w:cs="Calibri"/>
              </w:rPr>
              <w:t>ESF</w:t>
            </w:r>
          </w:p>
        </w:tc>
        <w:tc>
          <w:tcPr>
            <w:tcW w:w="6836" w:type="dxa"/>
            <w:shd w:val="clear" w:color="auto" w:fill="auto"/>
          </w:tcPr>
          <w:p w14:paraId="3868FFD3" w14:textId="77777777" w:rsidR="00F37CF9" w:rsidRPr="00DD47DF" w:rsidRDefault="00F37CF9" w:rsidP="00142A82">
            <w:pPr>
              <w:pStyle w:val="Tabulka"/>
              <w:jc w:val="left"/>
              <w:rPr>
                <w:rFonts w:cs="Calibri"/>
              </w:rPr>
            </w:pPr>
            <w:r w:rsidRPr="00DD47DF">
              <w:rPr>
                <w:rFonts w:cs="Calibri"/>
              </w:rPr>
              <w:t>Evropský sociální fond</w:t>
            </w:r>
          </w:p>
        </w:tc>
      </w:tr>
      <w:tr w:rsidR="00F37CF9" w:rsidRPr="00DD47DF" w14:paraId="6DCFC3A8" w14:textId="77777777">
        <w:tc>
          <w:tcPr>
            <w:tcW w:w="2376" w:type="dxa"/>
            <w:shd w:val="clear" w:color="auto" w:fill="auto"/>
          </w:tcPr>
          <w:p w14:paraId="24997923" w14:textId="77777777" w:rsidR="00F37CF9" w:rsidRPr="00DD47DF" w:rsidRDefault="00F37CF9" w:rsidP="00142A82">
            <w:pPr>
              <w:pStyle w:val="Tabulka"/>
              <w:jc w:val="left"/>
              <w:rPr>
                <w:rFonts w:cs="Calibri"/>
              </w:rPr>
            </w:pPr>
            <w:r w:rsidRPr="00DD47DF">
              <w:rPr>
                <w:rFonts w:cs="Calibri"/>
              </w:rPr>
              <w:t>ESIF / fondy ESI</w:t>
            </w:r>
          </w:p>
        </w:tc>
        <w:tc>
          <w:tcPr>
            <w:tcW w:w="6836" w:type="dxa"/>
            <w:shd w:val="clear" w:color="auto" w:fill="auto"/>
          </w:tcPr>
          <w:p w14:paraId="2EC8F0EF" w14:textId="77777777" w:rsidR="00F37CF9" w:rsidRPr="00DD47DF" w:rsidRDefault="00F37CF9" w:rsidP="00142A82">
            <w:pPr>
              <w:pStyle w:val="Tabulka"/>
              <w:jc w:val="left"/>
              <w:rPr>
                <w:rFonts w:cs="Calibri"/>
              </w:rPr>
            </w:pPr>
            <w:r w:rsidRPr="00DD47DF">
              <w:rPr>
                <w:rFonts w:cs="Calibri"/>
              </w:rPr>
              <w:t>Evropské strukturální a investiční fondy</w:t>
            </w:r>
          </w:p>
        </w:tc>
      </w:tr>
      <w:tr w:rsidR="00F37CF9" w:rsidRPr="00DD47DF" w14:paraId="1BAE028B" w14:textId="77777777">
        <w:tc>
          <w:tcPr>
            <w:tcW w:w="2376" w:type="dxa"/>
            <w:shd w:val="clear" w:color="auto" w:fill="auto"/>
          </w:tcPr>
          <w:p w14:paraId="56920522" w14:textId="77777777" w:rsidR="00F37CF9" w:rsidRPr="00DD47DF" w:rsidRDefault="00F37CF9" w:rsidP="00142A82">
            <w:pPr>
              <w:pStyle w:val="Tabulka"/>
              <w:jc w:val="left"/>
              <w:rPr>
                <w:rFonts w:cs="Calibri"/>
              </w:rPr>
            </w:pPr>
            <w:r w:rsidRPr="00DD47DF">
              <w:rPr>
                <w:rFonts w:cs="Calibri"/>
              </w:rPr>
              <w:t>EU</w:t>
            </w:r>
          </w:p>
        </w:tc>
        <w:tc>
          <w:tcPr>
            <w:tcW w:w="6836" w:type="dxa"/>
            <w:shd w:val="clear" w:color="auto" w:fill="auto"/>
          </w:tcPr>
          <w:p w14:paraId="3ADBC1FE" w14:textId="77777777" w:rsidR="00F37CF9" w:rsidRPr="00DD47DF" w:rsidRDefault="00F37CF9" w:rsidP="00142A82">
            <w:pPr>
              <w:pStyle w:val="Tabulka"/>
              <w:jc w:val="left"/>
              <w:rPr>
                <w:rFonts w:cs="Calibri"/>
              </w:rPr>
            </w:pPr>
            <w:r w:rsidRPr="00DD47DF">
              <w:rPr>
                <w:rFonts w:cs="Calibri"/>
              </w:rPr>
              <w:t>Evropská unie</w:t>
            </w:r>
          </w:p>
        </w:tc>
      </w:tr>
      <w:tr w:rsidR="00F37CF9" w:rsidRPr="00DD47DF" w14:paraId="45D9EACC" w14:textId="77777777">
        <w:tc>
          <w:tcPr>
            <w:tcW w:w="2376" w:type="dxa"/>
            <w:shd w:val="clear" w:color="auto" w:fill="auto"/>
          </w:tcPr>
          <w:p w14:paraId="7DA45D18" w14:textId="77777777" w:rsidR="00F37CF9" w:rsidRPr="00DD47DF" w:rsidRDefault="00F37CF9" w:rsidP="00142A82">
            <w:pPr>
              <w:pStyle w:val="Tabulka"/>
              <w:jc w:val="left"/>
              <w:rPr>
                <w:rFonts w:cs="Calibri"/>
              </w:rPr>
            </w:pPr>
            <w:r w:rsidRPr="00DD47DF">
              <w:rPr>
                <w:rFonts w:cs="Calibri"/>
              </w:rPr>
              <w:t>EZFRV</w:t>
            </w:r>
          </w:p>
        </w:tc>
        <w:tc>
          <w:tcPr>
            <w:tcW w:w="6836" w:type="dxa"/>
            <w:shd w:val="clear" w:color="auto" w:fill="auto"/>
          </w:tcPr>
          <w:p w14:paraId="25945051" w14:textId="77777777" w:rsidR="00F37CF9" w:rsidRPr="00DD47DF" w:rsidRDefault="00F37CF9" w:rsidP="00142A82">
            <w:pPr>
              <w:pStyle w:val="Tabulka"/>
              <w:jc w:val="left"/>
              <w:rPr>
                <w:rFonts w:cs="Calibri"/>
              </w:rPr>
            </w:pPr>
            <w:r w:rsidRPr="00DD47DF">
              <w:rPr>
                <w:rFonts w:cs="Calibri"/>
              </w:rPr>
              <w:t>Evropský zemědělský fondu pro rozvoj venkova</w:t>
            </w:r>
          </w:p>
        </w:tc>
      </w:tr>
      <w:tr w:rsidR="00F37CF9" w:rsidRPr="00DD47DF" w14:paraId="3FB880A8" w14:textId="77777777">
        <w:tc>
          <w:tcPr>
            <w:tcW w:w="2376" w:type="dxa"/>
            <w:shd w:val="clear" w:color="auto" w:fill="auto"/>
          </w:tcPr>
          <w:p w14:paraId="541176DD" w14:textId="77777777" w:rsidR="00F37CF9" w:rsidRPr="00DD47DF" w:rsidRDefault="00F37CF9" w:rsidP="00142A82">
            <w:pPr>
              <w:pStyle w:val="Tabulka"/>
              <w:jc w:val="left"/>
              <w:rPr>
                <w:rFonts w:cs="Calibri"/>
              </w:rPr>
            </w:pPr>
            <w:r w:rsidRPr="00DD47DF">
              <w:rPr>
                <w:rFonts w:cs="Calibri"/>
              </w:rPr>
              <w:t>FET</w:t>
            </w:r>
          </w:p>
        </w:tc>
        <w:tc>
          <w:tcPr>
            <w:tcW w:w="6836" w:type="dxa"/>
            <w:shd w:val="clear" w:color="auto" w:fill="auto"/>
          </w:tcPr>
          <w:p w14:paraId="3D09E58F" w14:textId="77777777" w:rsidR="00F37CF9" w:rsidRPr="00DD47DF" w:rsidRDefault="00F37CF9" w:rsidP="00142A82">
            <w:pPr>
              <w:pStyle w:val="Tabulka"/>
              <w:jc w:val="left"/>
              <w:rPr>
                <w:rFonts w:cs="Calibri"/>
              </w:rPr>
            </w:pPr>
            <w:r w:rsidRPr="00DD47DF">
              <w:rPr>
                <w:rStyle w:val="Zdraznn"/>
                <w:b w:val="0"/>
                <w:szCs w:val="24"/>
              </w:rPr>
              <w:t>Budoucí</w:t>
            </w:r>
            <w:r w:rsidRPr="00DD47DF">
              <w:rPr>
                <w:rStyle w:val="st1"/>
                <w:szCs w:val="24"/>
              </w:rPr>
              <w:t xml:space="preserve"> a vznikající </w:t>
            </w:r>
            <w:r w:rsidRPr="00DD47DF">
              <w:rPr>
                <w:rStyle w:val="Zdraznn"/>
                <w:b w:val="0"/>
                <w:szCs w:val="24"/>
              </w:rPr>
              <w:t>technologie</w:t>
            </w:r>
          </w:p>
        </w:tc>
      </w:tr>
      <w:tr w:rsidR="00343596" w:rsidRPr="00DD47DF" w14:paraId="6FA34B2B" w14:textId="77777777">
        <w:tc>
          <w:tcPr>
            <w:tcW w:w="2376" w:type="dxa"/>
            <w:shd w:val="clear" w:color="auto" w:fill="auto"/>
          </w:tcPr>
          <w:p w14:paraId="31339720" w14:textId="66879EEA" w:rsidR="00343596" w:rsidRPr="00DD47DF" w:rsidRDefault="00343596" w:rsidP="00142A82">
            <w:pPr>
              <w:pStyle w:val="Tabulka"/>
              <w:jc w:val="left"/>
              <w:rPr>
                <w:rFonts w:cs="Calibri"/>
              </w:rPr>
            </w:pPr>
            <w:r>
              <w:rPr>
                <w:rFonts w:cs="Calibri"/>
              </w:rPr>
              <w:t>FN</w:t>
            </w:r>
          </w:p>
        </w:tc>
        <w:tc>
          <w:tcPr>
            <w:tcW w:w="6836" w:type="dxa"/>
            <w:shd w:val="clear" w:color="auto" w:fill="auto"/>
          </w:tcPr>
          <w:p w14:paraId="23397DFE" w14:textId="7BE85F3B" w:rsidR="00343596" w:rsidRPr="00DD47DF" w:rsidRDefault="00343596" w:rsidP="00142A82">
            <w:pPr>
              <w:pStyle w:val="Tabulka"/>
              <w:jc w:val="left"/>
              <w:rPr>
                <w:rStyle w:val="Zdraznn"/>
                <w:b w:val="0"/>
                <w:szCs w:val="24"/>
              </w:rPr>
            </w:pPr>
            <w:r>
              <w:rPr>
                <w:rStyle w:val="Zdraznn"/>
                <w:b w:val="0"/>
                <w:szCs w:val="24"/>
              </w:rPr>
              <w:t>Finanční nástroj</w:t>
            </w:r>
          </w:p>
        </w:tc>
      </w:tr>
      <w:tr w:rsidR="00F37CF9" w:rsidRPr="00DD47DF" w14:paraId="13F04CD7" w14:textId="77777777">
        <w:tc>
          <w:tcPr>
            <w:tcW w:w="2376" w:type="dxa"/>
            <w:shd w:val="clear" w:color="auto" w:fill="auto"/>
          </w:tcPr>
          <w:p w14:paraId="242C817A" w14:textId="77777777" w:rsidR="00F37CF9" w:rsidRPr="00DD47DF" w:rsidRDefault="00F37CF9" w:rsidP="00142A82">
            <w:pPr>
              <w:pStyle w:val="Tabulka"/>
              <w:jc w:val="left"/>
              <w:rPr>
                <w:rFonts w:cs="Calibri"/>
              </w:rPr>
            </w:pPr>
            <w:r w:rsidRPr="00DD47DF">
              <w:rPr>
                <w:rFonts w:cs="Calibri"/>
              </w:rPr>
              <w:t>FS</w:t>
            </w:r>
          </w:p>
        </w:tc>
        <w:tc>
          <w:tcPr>
            <w:tcW w:w="6836" w:type="dxa"/>
            <w:shd w:val="clear" w:color="auto" w:fill="auto"/>
          </w:tcPr>
          <w:p w14:paraId="5A6FF3FE" w14:textId="77777777" w:rsidR="00F37CF9" w:rsidRPr="00DD47DF" w:rsidRDefault="00F37CF9" w:rsidP="00142A82">
            <w:pPr>
              <w:pStyle w:val="Tabulka"/>
              <w:jc w:val="left"/>
              <w:rPr>
                <w:rFonts w:cs="Calibri"/>
              </w:rPr>
            </w:pPr>
            <w:r w:rsidRPr="00DD47DF">
              <w:rPr>
                <w:rFonts w:cs="Calibri"/>
              </w:rPr>
              <w:t>Fond soudržnosti</w:t>
            </w:r>
          </w:p>
        </w:tc>
      </w:tr>
      <w:tr w:rsidR="00F37CF9" w:rsidRPr="00DD47DF" w14:paraId="7B6FC430" w14:textId="77777777">
        <w:tc>
          <w:tcPr>
            <w:tcW w:w="2376" w:type="dxa"/>
            <w:shd w:val="clear" w:color="auto" w:fill="auto"/>
          </w:tcPr>
          <w:p w14:paraId="04C0875C" w14:textId="77777777" w:rsidR="00F37CF9" w:rsidRPr="00DD47DF" w:rsidRDefault="00F37CF9" w:rsidP="00142A82">
            <w:pPr>
              <w:pStyle w:val="Tabulka"/>
              <w:jc w:val="left"/>
              <w:rPr>
                <w:rFonts w:cs="Calibri"/>
              </w:rPr>
            </w:pPr>
            <w:r w:rsidRPr="00DD47DF">
              <w:rPr>
                <w:rFonts w:cs="Calibri"/>
              </w:rPr>
              <w:t>ICT / IKT</w:t>
            </w:r>
          </w:p>
        </w:tc>
        <w:tc>
          <w:tcPr>
            <w:tcW w:w="6836" w:type="dxa"/>
            <w:shd w:val="clear" w:color="auto" w:fill="auto"/>
          </w:tcPr>
          <w:p w14:paraId="69159130" w14:textId="77777777" w:rsidR="00F37CF9" w:rsidRPr="00DD47DF" w:rsidRDefault="00F37CF9" w:rsidP="00142A82">
            <w:pPr>
              <w:pStyle w:val="Tabulka"/>
              <w:jc w:val="left"/>
              <w:rPr>
                <w:rFonts w:cs="Calibri"/>
              </w:rPr>
            </w:pPr>
            <w:r w:rsidRPr="00DD47DF">
              <w:rPr>
                <w:rFonts w:cs="Calibri"/>
              </w:rPr>
              <w:t>Informační a komunikační technologie</w:t>
            </w:r>
          </w:p>
        </w:tc>
      </w:tr>
      <w:tr w:rsidR="00F37CF9" w:rsidRPr="00DD47DF" w14:paraId="4A40FD19" w14:textId="77777777">
        <w:tc>
          <w:tcPr>
            <w:tcW w:w="2376" w:type="dxa"/>
            <w:shd w:val="clear" w:color="auto" w:fill="auto"/>
          </w:tcPr>
          <w:p w14:paraId="09C658E8" w14:textId="77777777" w:rsidR="00F37CF9" w:rsidRPr="00DD47DF" w:rsidRDefault="00F37CF9" w:rsidP="00142A82">
            <w:pPr>
              <w:pStyle w:val="Tabulka"/>
              <w:jc w:val="left"/>
              <w:rPr>
                <w:rFonts w:cs="Calibri"/>
              </w:rPr>
            </w:pPr>
            <w:r w:rsidRPr="00DD47DF">
              <w:rPr>
                <w:rFonts w:cs="Calibri"/>
              </w:rPr>
              <w:t>IP</w:t>
            </w:r>
          </w:p>
        </w:tc>
        <w:tc>
          <w:tcPr>
            <w:tcW w:w="6836" w:type="dxa"/>
            <w:shd w:val="clear" w:color="auto" w:fill="auto"/>
          </w:tcPr>
          <w:p w14:paraId="194D6C50" w14:textId="77777777" w:rsidR="00F37CF9" w:rsidRPr="00DD47DF" w:rsidRDefault="00F37CF9" w:rsidP="00142A82">
            <w:pPr>
              <w:pStyle w:val="Tabulka"/>
              <w:jc w:val="left"/>
              <w:rPr>
                <w:rFonts w:cs="Calibri"/>
              </w:rPr>
            </w:pPr>
            <w:r w:rsidRPr="00DD47DF">
              <w:rPr>
                <w:rFonts w:cs="Calibri"/>
              </w:rPr>
              <w:t>Investiční priorita</w:t>
            </w:r>
          </w:p>
        </w:tc>
      </w:tr>
      <w:tr w:rsidR="00F37CF9" w:rsidRPr="00DD47DF" w14:paraId="48DCE71B" w14:textId="77777777">
        <w:tc>
          <w:tcPr>
            <w:tcW w:w="2376" w:type="dxa"/>
            <w:shd w:val="clear" w:color="auto" w:fill="auto"/>
          </w:tcPr>
          <w:p w14:paraId="3A3A7F39" w14:textId="77777777" w:rsidR="00F37CF9" w:rsidRPr="00DD47DF" w:rsidRDefault="00F37CF9" w:rsidP="00142A82">
            <w:pPr>
              <w:pStyle w:val="Tabulka"/>
              <w:jc w:val="left"/>
              <w:rPr>
                <w:rFonts w:cs="Calibri"/>
              </w:rPr>
            </w:pPr>
            <w:r w:rsidRPr="00DD47DF">
              <w:rPr>
                <w:rFonts w:cs="Calibri"/>
              </w:rPr>
              <w:t>IROP</w:t>
            </w:r>
          </w:p>
        </w:tc>
        <w:tc>
          <w:tcPr>
            <w:tcW w:w="6836" w:type="dxa"/>
            <w:shd w:val="clear" w:color="auto" w:fill="auto"/>
          </w:tcPr>
          <w:p w14:paraId="712F910F" w14:textId="77777777" w:rsidR="00F37CF9" w:rsidRPr="00DD47DF" w:rsidRDefault="00F37CF9" w:rsidP="00142A82">
            <w:pPr>
              <w:pStyle w:val="Tabulka"/>
              <w:jc w:val="left"/>
              <w:rPr>
                <w:rFonts w:cs="Calibri"/>
              </w:rPr>
            </w:pPr>
            <w:r w:rsidRPr="00DD47DF">
              <w:rPr>
                <w:rFonts w:cs="Calibri"/>
              </w:rPr>
              <w:t>Integrovaný regionální operační program</w:t>
            </w:r>
          </w:p>
        </w:tc>
      </w:tr>
      <w:tr w:rsidR="00A841AE" w:rsidRPr="00DD47DF" w14:paraId="373C8DC0" w14:textId="77777777">
        <w:tc>
          <w:tcPr>
            <w:tcW w:w="2376" w:type="dxa"/>
            <w:shd w:val="clear" w:color="auto" w:fill="auto"/>
          </w:tcPr>
          <w:p w14:paraId="5D9ADDFC" w14:textId="77777777" w:rsidR="00A841AE" w:rsidRPr="00DD47DF" w:rsidRDefault="00A841AE" w:rsidP="00142A82">
            <w:pPr>
              <w:pStyle w:val="Tabulka"/>
              <w:jc w:val="left"/>
              <w:rPr>
                <w:rFonts w:cs="Calibri"/>
              </w:rPr>
            </w:pPr>
            <w:r w:rsidRPr="00DD47DF">
              <w:rPr>
                <w:rFonts w:cs="Calibri"/>
              </w:rPr>
              <w:t>IS</w:t>
            </w:r>
          </w:p>
        </w:tc>
        <w:tc>
          <w:tcPr>
            <w:tcW w:w="6836" w:type="dxa"/>
            <w:shd w:val="clear" w:color="auto" w:fill="auto"/>
          </w:tcPr>
          <w:p w14:paraId="1942EAF6" w14:textId="77777777" w:rsidR="00A841AE" w:rsidRPr="00DD47DF" w:rsidRDefault="00A841AE" w:rsidP="00142A82">
            <w:pPr>
              <w:pStyle w:val="Tabulka"/>
              <w:jc w:val="left"/>
              <w:rPr>
                <w:rFonts w:cs="Calibri"/>
              </w:rPr>
            </w:pPr>
            <w:r w:rsidRPr="00DD47DF">
              <w:rPr>
                <w:rFonts w:cs="Calibri"/>
              </w:rPr>
              <w:t>Implementační struktura</w:t>
            </w:r>
          </w:p>
        </w:tc>
      </w:tr>
      <w:tr w:rsidR="00F37CF9" w:rsidRPr="00DD47DF" w14:paraId="04D78C09" w14:textId="77777777">
        <w:tc>
          <w:tcPr>
            <w:tcW w:w="2376" w:type="dxa"/>
            <w:shd w:val="clear" w:color="auto" w:fill="auto"/>
          </w:tcPr>
          <w:p w14:paraId="2916C2F0" w14:textId="77777777" w:rsidR="00F37CF9" w:rsidRPr="00DD47DF" w:rsidRDefault="00F37CF9" w:rsidP="00142A82">
            <w:pPr>
              <w:pStyle w:val="Tabulka"/>
              <w:jc w:val="left"/>
              <w:rPr>
                <w:rFonts w:cs="Calibri"/>
              </w:rPr>
            </w:pPr>
            <w:r w:rsidRPr="00DD47DF">
              <w:rPr>
                <w:rFonts w:cs="Calibri"/>
              </w:rPr>
              <w:t>IT</w:t>
            </w:r>
          </w:p>
        </w:tc>
        <w:tc>
          <w:tcPr>
            <w:tcW w:w="6836" w:type="dxa"/>
            <w:shd w:val="clear" w:color="auto" w:fill="auto"/>
          </w:tcPr>
          <w:p w14:paraId="69412FE6" w14:textId="77777777" w:rsidR="00F37CF9" w:rsidRPr="00DD47DF" w:rsidRDefault="00F37CF9" w:rsidP="00142A82">
            <w:pPr>
              <w:pStyle w:val="Tabulka"/>
              <w:jc w:val="left"/>
              <w:rPr>
                <w:rFonts w:cs="Calibri"/>
              </w:rPr>
            </w:pPr>
            <w:r w:rsidRPr="00DD47DF">
              <w:rPr>
                <w:rFonts w:cs="Calibri"/>
              </w:rPr>
              <w:t>Informační technologie</w:t>
            </w:r>
          </w:p>
        </w:tc>
      </w:tr>
      <w:tr w:rsidR="00F37CF9" w:rsidRPr="00DD47DF" w14:paraId="00C1D4D7" w14:textId="77777777">
        <w:tc>
          <w:tcPr>
            <w:tcW w:w="2376" w:type="dxa"/>
            <w:shd w:val="clear" w:color="auto" w:fill="auto"/>
          </w:tcPr>
          <w:p w14:paraId="5C23E3F3" w14:textId="77777777" w:rsidR="00F37CF9" w:rsidRPr="00DD47DF" w:rsidRDefault="00F37CF9" w:rsidP="00142A82">
            <w:pPr>
              <w:pStyle w:val="Tabulka"/>
              <w:jc w:val="left"/>
              <w:rPr>
                <w:rFonts w:cs="Calibri"/>
              </w:rPr>
            </w:pPr>
            <w:r w:rsidRPr="00DD47DF">
              <w:rPr>
                <w:rFonts w:cs="Calibri"/>
              </w:rPr>
              <w:t>ITI</w:t>
            </w:r>
          </w:p>
        </w:tc>
        <w:tc>
          <w:tcPr>
            <w:tcW w:w="6836" w:type="dxa"/>
            <w:shd w:val="clear" w:color="auto" w:fill="auto"/>
          </w:tcPr>
          <w:p w14:paraId="67ECC155" w14:textId="77777777" w:rsidR="00F37CF9" w:rsidRPr="00DD47DF" w:rsidRDefault="00F37CF9" w:rsidP="00142A82">
            <w:pPr>
              <w:pStyle w:val="Tabulka"/>
              <w:jc w:val="left"/>
              <w:rPr>
                <w:rFonts w:cs="Calibri"/>
              </w:rPr>
            </w:pPr>
            <w:r w:rsidRPr="00DD47DF">
              <w:rPr>
                <w:rFonts w:cs="Calibri"/>
              </w:rPr>
              <w:t>Integrované územní investice</w:t>
            </w:r>
          </w:p>
        </w:tc>
      </w:tr>
      <w:tr w:rsidR="00F37CF9" w:rsidRPr="00DD47DF" w14:paraId="20C80352" w14:textId="77777777">
        <w:tc>
          <w:tcPr>
            <w:tcW w:w="2376" w:type="dxa"/>
            <w:shd w:val="clear" w:color="auto" w:fill="auto"/>
          </w:tcPr>
          <w:p w14:paraId="270EF25B" w14:textId="77777777" w:rsidR="00F37CF9" w:rsidRPr="00DD47DF" w:rsidRDefault="00F37CF9" w:rsidP="00142A82">
            <w:pPr>
              <w:pStyle w:val="Tabulka"/>
              <w:jc w:val="left"/>
              <w:rPr>
                <w:rFonts w:cs="Calibri"/>
              </w:rPr>
            </w:pPr>
            <w:r w:rsidRPr="00DD47DF">
              <w:rPr>
                <w:rFonts w:cs="Calibri"/>
              </w:rPr>
              <w:t>KETs</w:t>
            </w:r>
          </w:p>
        </w:tc>
        <w:tc>
          <w:tcPr>
            <w:tcW w:w="6836" w:type="dxa"/>
            <w:shd w:val="clear" w:color="auto" w:fill="auto"/>
          </w:tcPr>
          <w:p w14:paraId="03745405" w14:textId="77777777" w:rsidR="00F37CF9" w:rsidRPr="00DD47DF" w:rsidRDefault="00F37CF9" w:rsidP="00142A82">
            <w:pPr>
              <w:pStyle w:val="Tabulka"/>
              <w:jc w:val="left"/>
              <w:rPr>
                <w:rFonts w:cs="Calibri"/>
              </w:rPr>
            </w:pPr>
            <w:r w:rsidRPr="00DD47DF">
              <w:rPr>
                <w:rFonts w:cs="Calibri"/>
              </w:rPr>
              <w:t>Key Enabling Technologies (klíčové průřezové technologie)</w:t>
            </w:r>
          </w:p>
        </w:tc>
      </w:tr>
      <w:tr w:rsidR="00F37CF9" w:rsidRPr="00DD47DF" w14:paraId="5B70F09C" w14:textId="77777777">
        <w:tc>
          <w:tcPr>
            <w:tcW w:w="2376" w:type="dxa"/>
            <w:shd w:val="clear" w:color="auto" w:fill="auto"/>
          </w:tcPr>
          <w:p w14:paraId="3434252A" w14:textId="77777777" w:rsidR="00F37CF9" w:rsidRPr="00DD47DF" w:rsidRDefault="00F37CF9" w:rsidP="00142A82">
            <w:pPr>
              <w:pStyle w:val="Tabulka"/>
              <w:jc w:val="left"/>
              <w:rPr>
                <w:rFonts w:cs="Calibri"/>
              </w:rPr>
            </w:pPr>
            <w:r w:rsidRPr="00DD47DF">
              <w:rPr>
                <w:rFonts w:cs="Calibri"/>
              </w:rPr>
              <w:t>KTP</w:t>
            </w:r>
          </w:p>
        </w:tc>
        <w:tc>
          <w:tcPr>
            <w:tcW w:w="6836" w:type="dxa"/>
            <w:shd w:val="clear" w:color="auto" w:fill="auto"/>
          </w:tcPr>
          <w:p w14:paraId="4F827936" w14:textId="77777777" w:rsidR="00F37CF9" w:rsidRPr="00DD47DF" w:rsidRDefault="00F37CF9" w:rsidP="00142A82">
            <w:pPr>
              <w:pStyle w:val="Tabulka"/>
              <w:jc w:val="left"/>
              <w:rPr>
                <w:rFonts w:cs="Calibri"/>
              </w:rPr>
            </w:pPr>
            <w:r w:rsidRPr="00DD47DF">
              <w:rPr>
                <w:rFonts w:cs="Calibri"/>
              </w:rPr>
              <w:t>Knowledge Transfer Partnerships</w:t>
            </w:r>
          </w:p>
        </w:tc>
      </w:tr>
      <w:tr w:rsidR="00F37CF9" w:rsidRPr="00DD47DF" w14:paraId="77E3CC4D" w14:textId="77777777">
        <w:tc>
          <w:tcPr>
            <w:tcW w:w="2376" w:type="dxa"/>
            <w:shd w:val="clear" w:color="auto" w:fill="auto"/>
          </w:tcPr>
          <w:p w14:paraId="16CB66B1" w14:textId="77777777" w:rsidR="00F37CF9" w:rsidRPr="00DD47DF" w:rsidRDefault="00F37CF9" w:rsidP="00142A82">
            <w:pPr>
              <w:pStyle w:val="Tabulka"/>
              <w:jc w:val="left"/>
              <w:rPr>
                <w:rFonts w:cs="Calibri"/>
              </w:rPr>
            </w:pPr>
            <w:r w:rsidRPr="00DD47DF">
              <w:rPr>
                <w:rFonts w:cs="Calibri"/>
              </w:rPr>
              <w:t>KVET</w:t>
            </w:r>
          </w:p>
        </w:tc>
        <w:tc>
          <w:tcPr>
            <w:tcW w:w="6836" w:type="dxa"/>
            <w:shd w:val="clear" w:color="auto" w:fill="auto"/>
          </w:tcPr>
          <w:p w14:paraId="142F5BDC" w14:textId="77777777" w:rsidR="00F37CF9" w:rsidRPr="00DD47DF" w:rsidRDefault="00F37CF9" w:rsidP="00142A82">
            <w:pPr>
              <w:pStyle w:val="Tabulka"/>
              <w:jc w:val="left"/>
              <w:rPr>
                <w:rFonts w:cs="Calibri"/>
              </w:rPr>
            </w:pPr>
            <w:r w:rsidRPr="00DD47DF">
              <w:rPr>
                <w:rFonts w:cs="Calibri"/>
              </w:rPr>
              <w:t>Kombinovaná výroby elektřiny a tepla</w:t>
            </w:r>
          </w:p>
        </w:tc>
      </w:tr>
      <w:tr w:rsidR="003A7558" w:rsidRPr="00DD47DF" w14:paraId="15935001" w14:textId="77777777">
        <w:tc>
          <w:tcPr>
            <w:tcW w:w="2376" w:type="dxa"/>
            <w:shd w:val="clear" w:color="auto" w:fill="auto"/>
          </w:tcPr>
          <w:p w14:paraId="7921ADD1" w14:textId="77777777" w:rsidR="003A7558" w:rsidRPr="00DD47DF" w:rsidRDefault="003A7558" w:rsidP="00142A82">
            <w:pPr>
              <w:pStyle w:val="Tabulka"/>
              <w:jc w:val="left"/>
              <w:rPr>
                <w:rFonts w:cs="Calibri"/>
              </w:rPr>
            </w:pPr>
            <w:r w:rsidRPr="00DD47DF">
              <w:rPr>
                <w:rFonts w:cs="Calibri"/>
              </w:rPr>
              <w:t>MAS</w:t>
            </w:r>
          </w:p>
        </w:tc>
        <w:tc>
          <w:tcPr>
            <w:tcW w:w="6836" w:type="dxa"/>
            <w:shd w:val="clear" w:color="auto" w:fill="auto"/>
          </w:tcPr>
          <w:p w14:paraId="1C1610E8" w14:textId="77777777" w:rsidR="003A7558" w:rsidRPr="00DD47DF" w:rsidRDefault="003A7558" w:rsidP="00142A82">
            <w:pPr>
              <w:pStyle w:val="Tabulka"/>
              <w:jc w:val="left"/>
              <w:rPr>
                <w:rFonts w:cs="Calibri"/>
              </w:rPr>
            </w:pPr>
            <w:r w:rsidRPr="00DD47DF">
              <w:rPr>
                <w:rFonts w:cs="Calibri"/>
              </w:rPr>
              <w:t>Místní akční skupina</w:t>
            </w:r>
          </w:p>
        </w:tc>
      </w:tr>
      <w:tr w:rsidR="00F37CF9" w:rsidRPr="00DD47DF" w14:paraId="79CDA8B1" w14:textId="77777777">
        <w:tc>
          <w:tcPr>
            <w:tcW w:w="2376" w:type="dxa"/>
            <w:shd w:val="clear" w:color="auto" w:fill="auto"/>
          </w:tcPr>
          <w:p w14:paraId="4F70E0EC" w14:textId="77777777" w:rsidR="00F37CF9" w:rsidRPr="00DD47DF" w:rsidRDefault="00F37CF9" w:rsidP="00142A82">
            <w:pPr>
              <w:pStyle w:val="Tabulka"/>
              <w:jc w:val="left"/>
              <w:rPr>
                <w:rFonts w:cs="Calibri"/>
              </w:rPr>
            </w:pPr>
            <w:r w:rsidRPr="00DD47DF">
              <w:rPr>
                <w:rFonts w:cs="Calibri"/>
              </w:rPr>
              <w:lastRenderedPageBreak/>
              <w:t>MD</w:t>
            </w:r>
          </w:p>
        </w:tc>
        <w:tc>
          <w:tcPr>
            <w:tcW w:w="6836" w:type="dxa"/>
            <w:shd w:val="clear" w:color="auto" w:fill="auto"/>
          </w:tcPr>
          <w:p w14:paraId="38719E2B" w14:textId="77777777" w:rsidR="00F37CF9" w:rsidRPr="00DD47DF" w:rsidRDefault="000E47D9" w:rsidP="00142A82">
            <w:pPr>
              <w:pStyle w:val="Tabulka"/>
              <w:jc w:val="left"/>
              <w:rPr>
                <w:rFonts w:cs="Calibri"/>
              </w:rPr>
            </w:pPr>
            <w:r w:rsidRPr="00DD47DF">
              <w:rPr>
                <w:rFonts w:cs="Calibri"/>
              </w:rPr>
              <w:t>Ministerstvo dopravy</w:t>
            </w:r>
          </w:p>
        </w:tc>
      </w:tr>
      <w:tr w:rsidR="00F37CF9" w:rsidRPr="00DD47DF" w14:paraId="343A1B0E" w14:textId="77777777">
        <w:tc>
          <w:tcPr>
            <w:tcW w:w="2376" w:type="dxa"/>
            <w:shd w:val="clear" w:color="auto" w:fill="auto"/>
          </w:tcPr>
          <w:p w14:paraId="61CD7CAB" w14:textId="77777777" w:rsidR="00F37CF9" w:rsidRPr="00DD47DF" w:rsidRDefault="00F37CF9" w:rsidP="00142A82">
            <w:pPr>
              <w:pStyle w:val="Tabulka"/>
              <w:jc w:val="left"/>
              <w:rPr>
                <w:rFonts w:cs="Calibri"/>
              </w:rPr>
            </w:pPr>
            <w:r w:rsidRPr="00DD47DF">
              <w:rPr>
                <w:rFonts w:cs="Calibri"/>
              </w:rPr>
              <w:t>MF</w:t>
            </w:r>
          </w:p>
        </w:tc>
        <w:tc>
          <w:tcPr>
            <w:tcW w:w="6836" w:type="dxa"/>
            <w:shd w:val="clear" w:color="auto" w:fill="auto"/>
          </w:tcPr>
          <w:p w14:paraId="23349B64" w14:textId="77777777" w:rsidR="00F37CF9" w:rsidRPr="00DD47DF" w:rsidRDefault="000E47D9" w:rsidP="00142A82">
            <w:pPr>
              <w:pStyle w:val="Tabulka"/>
              <w:jc w:val="left"/>
              <w:rPr>
                <w:rFonts w:cs="Calibri"/>
              </w:rPr>
            </w:pPr>
            <w:r w:rsidRPr="00DD47DF">
              <w:rPr>
                <w:rFonts w:cs="Calibri"/>
              </w:rPr>
              <w:t>Ministerstvo financí</w:t>
            </w:r>
          </w:p>
        </w:tc>
      </w:tr>
      <w:tr w:rsidR="00F37CF9" w:rsidRPr="00DD47DF" w14:paraId="318C4211" w14:textId="77777777">
        <w:tc>
          <w:tcPr>
            <w:tcW w:w="2376" w:type="dxa"/>
            <w:shd w:val="clear" w:color="auto" w:fill="auto"/>
          </w:tcPr>
          <w:p w14:paraId="342CA5C1" w14:textId="77777777" w:rsidR="00F37CF9" w:rsidRPr="00DD47DF" w:rsidRDefault="00F37CF9" w:rsidP="00142A82">
            <w:pPr>
              <w:pStyle w:val="Tabulka"/>
              <w:jc w:val="left"/>
              <w:rPr>
                <w:rFonts w:cs="Calibri"/>
              </w:rPr>
            </w:pPr>
            <w:r w:rsidRPr="00DD47DF">
              <w:rPr>
                <w:rFonts w:cs="Calibri"/>
              </w:rPr>
              <w:t>MHMP</w:t>
            </w:r>
          </w:p>
        </w:tc>
        <w:tc>
          <w:tcPr>
            <w:tcW w:w="6836" w:type="dxa"/>
            <w:shd w:val="clear" w:color="auto" w:fill="auto"/>
          </w:tcPr>
          <w:p w14:paraId="2FDFA366" w14:textId="77777777" w:rsidR="00F37CF9" w:rsidRPr="00DD47DF" w:rsidRDefault="00F37CF9" w:rsidP="00142A82">
            <w:pPr>
              <w:pStyle w:val="Tabulka"/>
              <w:jc w:val="left"/>
              <w:rPr>
                <w:rFonts w:cs="Calibri"/>
              </w:rPr>
            </w:pPr>
            <w:r w:rsidRPr="00DD47DF">
              <w:rPr>
                <w:rFonts w:cs="Calibri"/>
              </w:rPr>
              <w:t>Magistrát hlavního města Prahy</w:t>
            </w:r>
          </w:p>
        </w:tc>
      </w:tr>
      <w:tr w:rsidR="00F37CF9" w:rsidRPr="00DD47DF" w14:paraId="2F1944AB" w14:textId="77777777">
        <w:tc>
          <w:tcPr>
            <w:tcW w:w="2376" w:type="dxa"/>
            <w:shd w:val="clear" w:color="auto" w:fill="auto"/>
          </w:tcPr>
          <w:p w14:paraId="6CCF60FD" w14:textId="77777777" w:rsidR="00F37CF9" w:rsidRPr="00DD47DF" w:rsidRDefault="00F37CF9" w:rsidP="00142A82">
            <w:pPr>
              <w:pStyle w:val="Tabulka"/>
              <w:jc w:val="left"/>
              <w:rPr>
                <w:rFonts w:cs="Calibri"/>
              </w:rPr>
            </w:pPr>
            <w:r w:rsidRPr="00DD47DF">
              <w:rPr>
                <w:rFonts w:cs="Calibri"/>
              </w:rPr>
              <w:t>MK</w:t>
            </w:r>
          </w:p>
        </w:tc>
        <w:tc>
          <w:tcPr>
            <w:tcW w:w="6836" w:type="dxa"/>
            <w:shd w:val="clear" w:color="auto" w:fill="auto"/>
          </w:tcPr>
          <w:p w14:paraId="6AC8A971" w14:textId="77777777" w:rsidR="00F37CF9" w:rsidRPr="00DD47DF" w:rsidRDefault="000E47D9" w:rsidP="00142A82">
            <w:pPr>
              <w:pStyle w:val="Tabulka"/>
              <w:jc w:val="left"/>
              <w:rPr>
                <w:rFonts w:cs="Calibri"/>
              </w:rPr>
            </w:pPr>
            <w:r w:rsidRPr="00DD47DF">
              <w:rPr>
                <w:rFonts w:cs="Calibri"/>
              </w:rPr>
              <w:t>Ministerstvo kultury</w:t>
            </w:r>
          </w:p>
        </w:tc>
      </w:tr>
      <w:tr w:rsidR="00F37CF9" w:rsidRPr="00DD47DF" w14:paraId="4956E8BC" w14:textId="77777777">
        <w:tc>
          <w:tcPr>
            <w:tcW w:w="2376" w:type="dxa"/>
            <w:shd w:val="clear" w:color="auto" w:fill="auto"/>
          </w:tcPr>
          <w:p w14:paraId="776C2E42" w14:textId="77777777" w:rsidR="00F37CF9" w:rsidRPr="00DD47DF" w:rsidRDefault="00F37CF9" w:rsidP="00142A82">
            <w:pPr>
              <w:pStyle w:val="Tabulka"/>
              <w:jc w:val="left"/>
              <w:rPr>
                <w:rFonts w:cs="Calibri"/>
              </w:rPr>
            </w:pPr>
            <w:r w:rsidRPr="00DD47DF">
              <w:rPr>
                <w:rFonts w:cs="Calibri"/>
              </w:rPr>
              <w:t>MMR-NOK</w:t>
            </w:r>
          </w:p>
        </w:tc>
        <w:tc>
          <w:tcPr>
            <w:tcW w:w="6836" w:type="dxa"/>
            <w:shd w:val="clear" w:color="auto" w:fill="auto"/>
          </w:tcPr>
          <w:p w14:paraId="0C378786" w14:textId="77777777" w:rsidR="00F37CF9" w:rsidRPr="00DD47DF" w:rsidRDefault="00F37CF9" w:rsidP="00142A82">
            <w:pPr>
              <w:pStyle w:val="Tabulka"/>
              <w:jc w:val="left"/>
              <w:rPr>
                <w:rFonts w:cs="Calibri"/>
              </w:rPr>
            </w:pPr>
            <w:r w:rsidRPr="00DD47DF">
              <w:rPr>
                <w:rFonts w:cs="Calibri"/>
              </w:rPr>
              <w:t>Ministerstvo pro místní rozvoj – Národní orgán pro koordinaci</w:t>
            </w:r>
          </w:p>
        </w:tc>
      </w:tr>
      <w:tr w:rsidR="00A14FE7" w:rsidRPr="00DD47DF" w14:paraId="39A8D5C7" w14:textId="77777777">
        <w:tc>
          <w:tcPr>
            <w:tcW w:w="2376" w:type="dxa"/>
            <w:shd w:val="clear" w:color="auto" w:fill="auto"/>
          </w:tcPr>
          <w:p w14:paraId="262B51F6" w14:textId="77777777" w:rsidR="00A14FE7" w:rsidRPr="00DD47DF" w:rsidRDefault="00A14FE7" w:rsidP="00A14FE7">
            <w:pPr>
              <w:pStyle w:val="Tabulka"/>
              <w:jc w:val="left"/>
              <w:rPr>
                <w:rFonts w:cs="Calibri"/>
              </w:rPr>
            </w:pPr>
            <w:r w:rsidRPr="00DD47DF">
              <w:rPr>
                <w:rFonts w:cs="Calibri"/>
              </w:rPr>
              <w:t>MMR-OSMS</w:t>
            </w:r>
          </w:p>
        </w:tc>
        <w:tc>
          <w:tcPr>
            <w:tcW w:w="6836" w:type="dxa"/>
            <w:shd w:val="clear" w:color="auto" w:fill="auto"/>
          </w:tcPr>
          <w:p w14:paraId="66F3FFCA" w14:textId="77777777" w:rsidR="00A14FE7" w:rsidRPr="00DD47DF" w:rsidRDefault="00A14FE7" w:rsidP="00142A82">
            <w:pPr>
              <w:pStyle w:val="Tabulka"/>
              <w:jc w:val="left"/>
              <w:rPr>
                <w:rFonts w:cs="Calibri"/>
              </w:rPr>
            </w:pPr>
            <w:r w:rsidRPr="00DD47DF">
              <w:rPr>
                <w:rFonts w:cs="Calibri"/>
              </w:rPr>
              <w:t>Ministerstvo pro místní rozvoj – odbor správy monitorovacího systému</w:t>
            </w:r>
          </w:p>
        </w:tc>
      </w:tr>
      <w:tr w:rsidR="00F37CF9" w:rsidRPr="00DD47DF" w14:paraId="6BFE53A2" w14:textId="77777777">
        <w:tc>
          <w:tcPr>
            <w:tcW w:w="2376" w:type="dxa"/>
            <w:shd w:val="clear" w:color="auto" w:fill="auto"/>
          </w:tcPr>
          <w:p w14:paraId="1D1E14A1" w14:textId="77777777" w:rsidR="00F37CF9" w:rsidRPr="00DD47DF" w:rsidRDefault="00F37CF9" w:rsidP="00142A82">
            <w:pPr>
              <w:pStyle w:val="Tabulka"/>
              <w:jc w:val="left"/>
              <w:rPr>
                <w:rFonts w:cs="Calibri"/>
              </w:rPr>
            </w:pPr>
            <w:r w:rsidRPr="00DD47DF">
              <w:rPr>
                <w:rFonts w:cs="Calibri"/>
              </w:rPr>
              <w:t>MP</w:t>
            </w:r>
          </w:p>
        </w:tc>
        <w:tc>
          <w:tcPr>
            <w:tcW w:w="6836" w:type="dxa"/>
            <w:shd w:val="clear" w:color="auto" w:fill="auto"/>
          </w:tcPr>
          <w:p w14:paraId="260A1618" w14:textId="77777777" w:rsidR="00F37CF9" w:rsidRPr="00DD47DF" w:rsidRDefault="00F37CF9" w:rsidP="00142A82">
            <w:pPr>
              <w:pStyle w:val="Tabulka"/>
              <w:jc w:val="left"/>
              <w:rPr>
                <w:rFonts w:cs="Calibri"/>
              </w:rPr>
            </w:pPr>
            <w:r w:rsidRPr="00DD47DF">
              <w:rPr>
                <w:rFonts w:cs="Calibri"/>
              </w:rPr>
              <w:t>Metodický pokyn</w:t>
            </w:r>
          </w:p>
        </w:tc>
      </w:tr>
      <w:tr w:rsidR="00F37CF9" w:rsidRPr="00DD47DF" w14:paraId="3AE13820" w14:textId="77777777">
        <w:tc>
          <w:tcPr>
            <w:tcW w:w="2376" w:type="dxa"/>
            <w:shd w:val="clear" w:color="auto" w:fill="auto"/>
          </w:tcPr>
          <w:p w14:paraId="16DB618B" w14:textId="77777777" w:rsidR="00F37CF9" w:rsidRPr="00DD47DF" w:rsidRDefault="00F37CF9" w:rsidP="00142A82">
            <w:pPr>
              <w:pStyle w:val="Tabulka"/>
              <w:jc w:val="left"/>
              <w:rPr>
                <w:rFonts w:cs="Calibri"/>
              </w:rPr>
            </w:pPr>
            <w:r w:rsidRPr="00DD47DF">
              <w:rPr>
                <w:rFonts w:cs="Calibri"/>
              </w:rPr>
              <w:t>MPO</w:t>
            </w:r>
          </w:p>
        </w:tc>
        <w:tc>
          <w:tcPr>
            <w:tcW w:w="6836" w:type="dxa"/>
            <w:shd w:val="clear" w:color="auto" w:fill="auto"/>
          </w:tcPr>
          <w:p w14:paraId="7939D65A" w14:textId="77777777" w:rsidR="00F37CF9" w:rsidRPr="00DD47DF" w:rsidRDefault="00F37CF9" w:rsidP="00142A82">
            <w:pPr>
              <w:pStyle w:val="Tabulka"/>
              <w:jc w:val="left"/>
              <w:rPr>
                <w:rFonts w:cs="Calibri"/>
              </w:rPr>
            </w:pPr>
            <w:r w:rsidRPr="00DD47DF">
              <w:rPr>
                <w:rFonts w:cs="Calibri"/>
              </w:rPr>
              <w:t>Mi</w:t>
            </w:r>
            <w:r w:rsidR="000E47D9" w:rsidRPr="00DD47DF">
              <w:rPr>
                <w:rFonts w:cs="Calibri"/>
              </w:rPr>
              <w:t>nisterstvo průmyslu a obchodu</w:t>
            </w:r>
          </w:p>
        </w:tc>
      </w:tr>
      <w:tr w:rsidR="00F37CF9" w:rsidRPr="00DD47DF" w14:paraId="28AE4E86" w14:textId="77777777">
        <w:tc>
          <w:tcPr>
            <w:tcW w:w="2376" w:type="dxa"/>
            <w:shd w:val="clear" w:color="auto" w:fill="auto"/>
          </w:tcPr>
          <w:p w14:paraId="6D330029" w14:textId="77777777" w:rsidR="00F37CF9" w:rsidRPr="00DD47DF" w:rsidRDefault="00F37CF9" w:rsidP="00142A82">
            <w:pPr>
              <w:pStyle w:val="Tabulka"/>
              <w:jc w:val="left"/>
              <w:rPr>
                <w:rFonts w:cs="Calibri"/>
              </w:rPr>
            </w:pPr>
            <w:r w:rsidRPr="00DD47DF">
              <w:rPr>
                <w:rFonts w:cs="Calibri"/>
              </w:rPr>
              <w:t>MPSV</w:t>
            </w:r>
          </w:p>
        </w:tc>
        <w:tc>
          <w:tcPr>
            <w:tcW w:w="6836" w:type="dxa"/>
            <w:shd w:val="clear" w:color="auto" w:fill="auto"/>
          </w:tcPr>
          <w:p w14:paraId="589A0B3F" w14:textId="77777777" w:rsidR="00F37CF9" w:rsidRPr="00DD47DF" w:rsidRDefault="00F37CF9" w:rsidP="00142A82">
            <w:pPr>
              <w:pStyle w:val="Tabulka"/>
              <w:jc w:val="left"/>
              <w:rPr>
                <w:rFonts w:cs="Calibri"/>
              </w:rPr>
            </w:pPr>
            <w:r w:rsidRPr="00DD47DF">
              <w:rPr>
                <w:rFonts w:cs="Calibri"/>
              </w:rPr>
              <w:t>Minis</w:t>
            </w:r>
            <w:r w:rsidR="000E47D9" w:rsidRPr="00DD47DF">
              <w:rPr>
                <w:rFonts w:cs="Calibri"/>
              </w:rPr>
              <w:t>terstvo práce a sociální věcí</w:t>
            </w:r>
          </w:p>
        </w:tc>
      </w:tr>
      <w:tr w:rsidR="00F37CF9" w:rsidRPr="00DD47DF" w14:paraId="1A900936" w14:textId="77777777">
        <w:tc>
          <w:tcPr>
            <w:tcW w:w="2376" w:type="dxa"/>
            <w:shd w:val="clear" w:color="auto" w:fill="auto"/>
          </w:tcPr>
          <w:p w14:paraId="42072DF7" w14:textId="77777777" w:rsidR="00F37CF9" w:rsidRPr="00DD47DF" w:rsidRDefault="00F37CF9" w:rsidP="00142A82">
            <w:pPr>
              <w:pStyle w:val="Tabulka"/>
              <w:jc w:val="left"/>
              <w:rPr>
                <w:rFonts w:cs="Calibri"/>
              </w:rPr>
            </w:pPr>
            <w:r w:rsidRPr="00DD47DF">
              <w:rPr>
                <w:rFonts w:cs="Calibri"/>
              </w:rPr>
              <w:t>MS 2014+</w:t>
            </w:r>
          </w:p>
        </w:tc>
        <w:tc>
          <w:tcPr>
            <w:tcW w:w="6836" w:type="dxa"/>
            <w:shd w:val="clear" w:color="auto" w:fill="auto"/>
          </w:tcPr>
          <w:p w14:paraId="287B3AEB" w14:textId="77777777" w:rsidR="00F37CF9" w:rsidRPr="00DD47DF" w:rsidRDefault="00F37CF9" w:rsidP="00142A82">
            <w:pPr>
              <w:pStyle w:val="Tabulka"/>
              <w:jc w:val="left"/>
              <w:rPr>
                <w:rFonts w:cs="Calibri"/>
              </w:rPr>
            </w:pPr>
            <w:r w:rsidRPr="00DD47DF">
              <w:rPr>
                <w:rFonts w:cs="Calibri"/>
              </w:rPr>
              <w:t xml:space="preserve">Jednotný monitorovací systém </w:t>
            </w:r>
            <w:r w:rsidR="00EF3400" w:rsidRPr="00DD47DF">
              <w:rPr>
                <w:rFonts w:cs="Calibri"/>
              </w:rPr>
              <w:t>pro programovací období 2014 - 2020</w:t>
            </w:r>
          </w:p>
        </w:tc>
      </w:tr>
      <w:tr w:rsidR="00F37CF9" w:rsidRPr="00DD47DF" w14:paraId="0B91654C" w14:textId="77777777">
        <w:tc>
          <w:tcPr>
            <w:tcW w:w="2376" w:type="dxa"/>
            <w:shd w:val="clear" w:color="auto" w:fill="auto"/>
          </w:tcPr>
          <w:p w14:paraId="22BE2D2B" w14:textId="77777777" w:rsidR="00F37CF9" w:rsidRPr="00DD47DF" w:rsidRDefault="00F37CF9" w:rsidP="00142A82">
            <w:pPr>
              <w:pStyle w:val="Tabulka"/>
              <w:jc w:val="left"/>
              <w:rPr>
                <w:rFonts w:cs="Calibri"/>
              </w:rPr>
            </w:pPr>
            <w:r w:rsidRPr="00DD47DF">
              <w:rPr>
                <w:rFonts w:cs="Calibri"/>
              </w:rPr>
              <w:t>MSP</w:t>
            </w:r>
          </w:p>
        </w:tc>
        <w:tc>
          <w:tcPr>
            <w:tcW w:w="6836" w:type="dxa"/>
            <w:shd w:val="clear" w:color="auto" w:fill="auto"/>
          </w:tcPr>
          <w:p w14:paraId="74D78836" w14:textId="77777777" w:rsidR="00F37CF9" w:rsidRPr="00DD47DF" w:rsidRDefault="00F37CF9" w:rsidP="00142A82">
            <w:pPr>
              <w:pStyle w:val="Tabulka"/>
              <w:jc w:val="left"/>
              <w:rPr>
                <w:rFonts w:cs="Calibri"/>
              </w:rPr>
            </w:pPr>
            <w:r w:rsidRPr="00DD47DF">
              <w:rPr>
                <w:rFonts w:cs="Calibri"/>
              </w:rPr>
              <w:t>Malé a střední podniky</w:t>
            </w:r>
          </w:p>
        </w:tc>
      </w:tr>
      <w:tr w:rsidR="00F37CF9" w:rsidRPr="00DD47DF" w14:paraId="4CB64CD0" w14:textId="77777777">
        <w:tc>
          <w:tcPr>
            <w:tcW w:w="2376" w:type="dxa"/>
            <w:shd w:val="clear" w:color="auto" w:fill="auto"/>
          </w:tcPr>
          <w:p w14:paraId="63E7DAD1" w14:textId="77777777" w:rsidR="00F37CF9" w:rsidRPr="00DD47DF" w:rsidRDefault="00F37CF9" w:rsidP="00142A82">
            <w:pPr>
              <w:pStyle w:val="Tabulka"/>
              <w:jc w:val="left"/>
              <w:rPr>
                <w:rFonts w:cs="Calibri"/>
              </w:rPr>
            </w:pPr>
            <w:r w:rsidRPr="00DD47DF">
              <w:rPr>
                <w:rFonts w:cs="Calibri"/>
              </w:rPr>
              <w:t>MSp</w:t>
            </w:r>
          </w:p>
        </w:tc>
        <w:tc>
          <w:tcPr>
            <w:tcW w:w="6836" w:type="dxa"/>
            <w:shd w:val="clear" w:color="auto" w:fill="auto"/>
          </w:tcPr>
          <w:p w14:paraId="50C26555" w14:textId="77777777" w:rsidR="00F37CF9" w:rsidRPr="00DD47DF" w:rsidRDefault="000E47D9" w:rsidP="00142A82">
            <w:pPr>
              <w:pStyle w:val="Tabulka"/>
              <w:jc w:val="left"/>
              <w:rPr>
                <w:rFonts w:cs="Calibri"/>
              </w:rPr>
            </w:pPr>
            <w:r w:rsidRPr="00DD47DF">
              <w:rPr>
                <w:rFonts w:cs="Calibri"/>
              </w:rPr>
              <w:t>Ministerstvo spravedlnosti</w:t>
            </w:r>
          </w:p>
        </w:tc>
      </w:tr>
      <w:tr w:rsidR="00F37CF9" w:rsidRPr="00DD47DF" w14:paraId="5AB1AFFB" w14:textId="77777777">
        <w:tc>
          <w:tcPr>
            <w:tcW w:w="2376" w:type="dxa"/>
            <w:shd w:val="clear" w:color="auto" w:fill="auto"/>
          </w:tcPr>
          <w:p w14:paraId="08ADA6BA" w14:textId="77777777" w:rsidR="00F37CF9" w:rsidRPr="00DD47DF" w:rsidRDefault="00F37CF9" w:rsidP="00142A82">
            <w:pPr>
              <w:pStyle w:val="Tabulka"/>
              <w:jc w:val="left"/>
              <w:rPr>
                <w:rFonts w:cs="Calibri"/>
              </w:rPr>
            </w:pPr>
            <w:r w:rsidRPr="00DD47DF">
              <w:rPr>
                <w:rFonts w:cs="Calibri"/>
              </w:rPr>
              <w:t>MŠMT</w:t>
            </w:r>
          </w:p>
        </w:tc>
        <w:tc>
          <w:tcPr>
            <w:tcW w:w="6836" w:type="dxa"/>
            <w:shd w:val="clear" w:color="auto" w:fill="auto"/>
          </w:tcPr>
          <w:p w14:paraId="08E1D4E9" w14:textId="77777777" w:rsidR="00F37CF9" w:rsidRPr="00DD47DF" w:rsidRDefault="00F37CF9" w:rsidP="00142A82">
            <w:pPr>
              <w:pStyle w:val="Tabulka"/>
              <w:jc w:val="left"/>
              <w:rPr>
                <w:rFonts w:cs="Calibri"/>
              </w:rPr>
            </w:pPr>
            <w:r w:rsidRPr="00DD47DF">
              <w:rPr>
                <w:rFonts w:cs="Calibri"/>
              </w:rPr>
              <w:t>Ministerstvo školství, ml</w:t>
            </w:r>
            <w:r w:rsidR="000E47D9" w:rsidRPr="00DD47DF">
              <w:rPr>
                <w:rFonts w:cs="Calibri"/>
              </w:rPr>
              <w:t>ádeže a tělovýchovy</w:t>
            </w:r>
          </w:p>
        </w:tc>
      </w:tr>
      <w:tr w:rsidR="00F37CF9" w:rsidRPr="00DD47DF" w14:paraId="580093DE" w14:textId="77777777">
        <w:tc>
          <w:tcPr>
            <w:tcW w:w="2376" w:type="dxa"/>
            <w:shd w:val="clear" w:color="auto" w:fill="auto"/>
          </w:tcPr>
          <w:p w14:paraId="6DB91901" w14:textId="77777777" w:rsidR="00F37CF9" w:rsidRPr="00DD47DF" w:rsidRDefault="00F37CF9" w:rsidP="00142A82">
            <w:pPr>
              <w:pStyle w:val="Tabulka"/>
              <w:jc w:val="left"/>
              <w:rPr>
                <w:rFonts w:cs="Calibri"/>
              </w:rPr>
            </w:pPr>
            <w:r w:rsidRPr="00DD47DF">
              <w:rPr>
                <w:rFonts w:cs="Calibri"/>
              </w:rPr>
              <w:t>MV</w:t>
            </w:r>
          </w:p>
        </w:tc>
        <w:tc>
          <w:tcPr>
            <w:tcW w:w="6836" w:type="dxa"/>
            <w:shd w:val="clear" w:color="auto" w:fill="auto"/>
          </w:tcPr>
          <w:p w14:paraId="71013FFC" w14:textId="77777777" w:rsidR="00F37CF9" w:rsidRPr="00DD47DF" w:rsidRDefault="000E47D9" w:rsidP="00142A82">
            <w:pPr>
              <w:pStyle w:val="Tabulka"/>
              <w:jc w:val="left"/>
              <w:rPr>
                <w:rFonts w:cs="Calibri"/>
              </w:rPr>
            </w:pPr>
            <w:r w:rsidRPr="00DD47DF">
              <w:rPr>
                <w:rFonts w:cs="Calibri"/>
              </w:rPr>
              <w:t>Ministerstvo vnitra</w:t>
            </w:r>
          </w:p>
        </w:tc>
      </w:tr>
      <w:tr w:rsidR="00D83F6F" w:rsidRPr="00DD47DF" w14:paraId="1231C1DF" w14:textId="77777777">
        <w:tc>
          <w:tcPr>
            <w:tcW w:w="2376" w:type="dxa"/>
            <w:shd w:val="clear" w:color="auto" w:fill="auto"/>
          </w:tcPr>
          <w:p w14:paraId="7133FBFD" w14:textId="19E747C7" w:rsidR="00D83F6F" w:rsidRPr="00DD47DF" w:rsidRDefault="00D83F6F" w:rsidP="00142A82">
            <w:pPr>
              <w:pStyle w:val="Tabulka"/>
              <w:jc w:val="left"/>
              <w:rPr>
                <w:rFonts w:cs="Calibri"/>
              </w:rPr>
            </w:pPr>
            <w:r>
              <w:rPr>
                <w:rFonts w:cs="Calibri"/>
              </w:rPr>
              <w:t xml:space="preserve">MV OP PIK </w:t>
            </w:r>
          </w:p>
        </w:tc>
        <w:tc>
          <w:tcPr>
            <w:tcW w:w="6836" w:type="dxa"/>
            <w:shd w:val="clear" w:color="auto" w:fill="auto"/>
          </w:tcPr>
          <w:p w14:paraId="7257179C" w14:textId="58B966DF" w:rsidR="00D83F6F" w:rsidRPr="00DD47DF" w:rsidRDefault="00D83F6F" w:rsidP="00142A82">
            <w:pPr>
              <w:pStyle w:val="Tabulka"/>
              <w:jc w:val="left"/>
              <w:rPr>
                <w:rFonts w:cs="Calibri"/>
              </w:rPr>
            </w:pPr>
            <w:r>
              <w:rPr>
                <w:rFonts w:cs="Calibri"/>
              </w:rPr>
              <w:t>Monitorovací výbor OP PIK</w:t>
            </w:r>
          </w:p>
        </w:tc>
      </w:tr>
      <w:tr w:rsidR="00F37CF9" w:rsidRPr="00DD47DF" w14:paraId="2FDDF425" w14:textId="77777777">
        <w:tc>
          <w:tcPr>
            <w:tcW w:w="2376" w:type="dxa"/>
            <w:shd w:val="clear" w:color="auto" w:fill="auto"/>
          </w:tcPr>
          <w:p w14:paraId="29358617" w14:textId="77777777" w:rsidR="00F37CF9" w:rsidRPr="00DD47DF" w:rsidRDefault="00F37CF9" w:rsidP="00142A82">
            <w:pPr>
              <w:pStyle w:val="Tabulka"/>
              <w:jc w:val="left"/>
              <w:rPr>
                <w:rFonts w:cs="Calibri"/>
              </w:rPr>
            </w:pPr>
            <w:r w:rsidRPr="00DD47DF">
              <w:rPr>
                <w:rFonts w:cs="Calibri"/>
              </w:rPr>
              <w:t>MZe</w:t>
            </w:r>
          </w:p>
        </w:tc>
        <w:tc>
          <w:tcPr>
            <w:tcW w:w="6836" w:type="dxa"/>
            <w:shd w:val="clear" w:color="auto" w:fill="auto"/>
          </w:tcPr>
          <w:p w14:paraId="0565DD0D" w14:textId="77777777" w:rsidR="00F37CF9" w:rsidRPr="00DD47DF" w:rsidRDefault="000E47D9" w:rsidP="00142A82">
            <w:pPr>
              <w:pStyle w:val="Tabulka"/>
              <w:jc w:val="left"/>
              <w:rPr>
                <w:rFonts w:cs="Calibri"/>
              </w:rPr>
            </w:pPr>
            <w:r w:rsidRPr="00DD47DF">
              <w:rPr>
                <w:rFonts w:cs="Calibri"/>
              </w:rPr>
              <w:t>Ministerstvo zemědělství</w:t>
            </w:r>
          </w:p>
        </w:tc>
      </w:tr>
      <w:tr w:rsidR="00F37CF9" w:rsidRPr="00DD47DF" w14:paraId="0D186D0F" w14:textId="77777777">
        <w:tc>
          <w:tcPr>
            <w:tcW w:w="2376" w:type="dxa"/>
            <w:shd w:val="clear" w:color="auto" w:fill="auto"/>
          </w:tcPr>
          <w:p w14:paraId="70EC00A9" w14:textId="77777777" w:rsidR="00F37CF9" w:rsidRPr="00DD47DF" w:rsidRDefault="00F37CF9" w:rsidP="00142A82">
            <w:pPr>
              <w:pStyle w:val="Tabulka"/>
              <w:jc w:val="left"/>
              <w:rPr>
                <w:rFonts w:cs="Calibri"/>
              </w:rPr>
            </w:pPr>
            <w:r w:rsidRPr="00DD47DF">
              <w:rPr>
                <w:rFonts w:cs="Calibri"/>
              </w:rPr>
              <w:t>MŽP</w:t>
            </w:r>
          </w:p>
        </w:tc>
        <w:tc>
          <w:tcPr>
            <w:tcW w:w="6836" w:type="dxa"/>
            <w:shd w:val="clear" w:color="auto" w:fill="auto"/>
          </w:tcPr>
          <w:p w14:paraId="28E24FB4" w14:textId="77777777" w:rsidR="00F37CF9" w:rsidRPr="00DD47DF" w:rsidRDefault="00F37CF9" w:rsidP="00142A82">
            <w:pPr>
              <w:pStyle w:val="Tabulka"/>
              <w:jc w:val="left"/>
              <w:rPr>
                <w:rFonts w:cs="Calibri"/>
              </w:rPr>
            </w:pPr>
            <w:r w:rsidRPr="00DD47DF">
              <w:rPr>
                <w:rFonts w:cs="Calibri"/>
              </w:rPr>
              <w:t>Min</w:t>
            </w:r>
            <w:r w:rsidR="000E47D9" w:rsidRPr="00DD47DF">
              <w:rPr>
                <w:rFonts w:cs="Calibri"/>
              </w:rPr>
              <w:t>isterstvo životního prostředí</w:t>
            </w:r>
          </w:p>
        </w:tc>
      </w:tr>
      <w:tr w:rsidR="00F37CF9" w:rsidRPr="00DD47DF" w14:paraId="52FDAEB2" w14:textId="77777777">
        <w:tc>
          <w:tcPr>
            <w:tcW w:w="2376" w:type="dxa"/>
            <w:shd w:val="clear" w:color="auto" w:fill="auto"/>
          </w:tcPr>
          <w:p w14:paraId="7D1C828E" w14:textId="77777777" w:rsidR="00F37CF9" w:rsidRPr="00DD47DF" w:rsidRDefault="00F37CF9" w:rsidP="00142A82">
            <w:pPr>
              <w:pStyle w:val="Tabulka"/>
              <w:jc w:val="left"/>
              <w:rPr>
                <w:rFonts w:cs="Calibri"/>
              </w:rPr>
            </w:pPr>
            <w:r w:rsidRPr="00DD47DF">
              <w:rPr>
                <w:rFonts w:cs="Calibri"/>
              </w:rPr>
              <w:t>NAP</w:t>
            </w:r>
          </w:p>
        </w:tc>
        <w:tc>
          <w:tcPr>
            <w:tcW w:w="6836" w:type="dxa"/>
            <w:shd w:val="clear" w:color="auto" w:fill="auto"/>
          </w:tcPr>
          <w:p w14:paraId="49C984EF" w14:textId="77777777" w:rsidR="00F37CF9" w:rsidRPr="00DD47DF" w:rsidRDefault="00F37CF9" w:rsidP="00142A82">
            <w:pPr>
              <w:pStyle w:val="Tabulka"/>
              <w:jc w:val="left"/>
              <w:rPr>
                <w:rFonts w:cs="Calibri"/>
              </w:rPr>
            </w:pPr>
            <w:r w:rsidRPr="00DD47DF">
              <w:rPr>
                <w:rFonts w:cs="Calibri"/>
              </w:rPr>
              <w:t>Národní akční plán ČR</w:t>
            </w:r>
          </w:p>
        </w:tc>
      </w:tr>
      <w:tr w:rsidR="00F37CF9" w:rsidRPr="00DD47DF" w14:paraId="18FF3051" w14:textId="77777777">
        <w:tc>
          <w:tcPr>
            <w:tcW w:w="2376" w:type="dxa"/>
            <w:shd w:val="clear" w:color="auto" w:fill="auto"/>
          </w:tcPr>
          <w:p w14:paraId="6923D5C0" w14:textId="77777777" w:rsidR="00F37CF9" w:rsidRPr="00DD47DF" w:rsidRDefault="00F37CF9" w:rsidP="00142A82">
            <w:pPr>
              <w:pStyle w:val="Tabulka"/>
              <w:jc w:val="left"/>
              <w:rPr>
                <w:rFonts w:cs="Calibri"/>
              </w:rPr>
            </w:pPr>
            <w:r w:rsidRPr="00DD47DF">
              <w:rPr>
                <w:rFonts w:cs="Calibri"/>
              </w:rPr>
              <w:t>NČI 2014+</w:t>
            </w:r>
          </w:p>
        </w:tc>
        <w:tc>
          <w:tcPr>
            <w:tcW w:w="6836" w:type="dxa"/>
            <w:shd w:val="clear" w:color="auto" w:fill="auto"/>
          </w:tcPr>
          <w:p w14:paraId="1ECC26F4" w14:textId="77777777" w:rsidR="00F37CF9" w:rsidRPr="00DD47DF" w:rsidRDefault="00F37CF9" w:rsidP="00142A82">
            <w:pPr>
              <w:pStyle w:val="Tabulka"/>
              <w:jc w:val="left"/>
              <w:rPr>
                <w:rFonts w:cs="Calibri"/>
              </w:rPr>
            </w:pPr>
            <w:r w:rsidRPr="00DD47DF">
              <w:rPr>
                <w:rFonts w:cs="Calibri"/>
              </w:rPr>
              <w:t xml:space="preserve">Národní číselník indikátorů </w:t>
            </w:r>
            <w:r w:rsidR="00EF3400" w:rsidRPr="00DD47DF">
              <w:rPr>
                <w:rFonts w:cs="Calibri"/>
              </w:rPr>
              <w:t xml:space="preserve">pro programovací období </w:t>
            </w:r>
            <w:r w:rsidRPr="00DD47DF">
              <w:rPr>
                <w:rFonts w:cs="Calibri"/>
              </w:rPr>
              <w:t>2014 - 2020</w:t>
            </w:r>
          </w:p>
        </w:tc>
      </w:tr>
      <w:tr w:rsidR="00AA3134" w:rsidRPr="00DD47DF" w14:paraId="212C47E7" w14:textId="77777777">
        <w:tc>
          <w:tcPr>
            <w:tcW w:w="2376" w:type="dxa"/>
            <w:shd w:val="clear" w:color="auto" w:fill="auto"/>
          </w:tcPr>
          <w:p w14:paraId="10ED4675" w14:textId="77777777" w:rsidR="00AA3134" w:rsidRPr="00DD47DF" w:rsidRDefault="00AA3134" w:rsidP="00142A82">
            <w:pPr>
              <w:pStyle w:val="Tabulka"/>
              <w:jc w:val="left"/>
              <w:rPr>
                <w:rFonts w:cs="Calibri"/>
              </w:rPr>
            </w:pPr>
            <w:r w:rsidRPr="00DD47DF">
              <w:rPr>
                <w:rFonts w:cs="Calibri"/>
              </w:rPr>
              <w:t>NDÚD</w:t>
            </w:r>
          </w:p>
        </w:tc>
        <w:tc>
          <w:tcPr>
            <w:tcW w:w="6836" w:type="dxa"/>
            <w:shd w:val="clear" w:color="auto" w:fill="auto"/>
          </w:tcPr>
          <w:p w14:paraId="79B49E5D" w14:textId="77777777" w:rsidR="00AA3134" w:rsidRPr="00DD47DF" w:rsidRDefault="00AA3134" w:rsidP="00142A82">
            <w:pPr>
              <w:pStyle w:val="Tabulka"/>
              <w:jc w:val="left"/>
              <w:rPr>
                <w:rFonts w:cs="Calibri"/>
              </w:rPr>
            </w:pPr>
            <w:r w:rsidRPr="00DD47DF">
              <w:rPr>
                <w:rFonts w:cs="Calibri"/>
              </w:rPr>
              <w:t>Národní dokument k územní dimenzi</w:t>
            </w:r>
          </w:p>
        </w:tc>
      </w:tr>
      <w:tr w:rsidR="00F37CF9" w:rsidRPr="00DD47DF" w14:paraId="5CFB1550" w14:textId="77777777">
        <w:tc>
          <w:tcPr>
            <w:tcW w:w="2376" w:type="dxa"/>
            <w:shd w:val="clear" w:color="auto" w:fill="auto"/>
          </w:tcPr>
          <w:p w14:paraId="3ACF34F9" w14:textId="77777777" w:rsidR="00F37CF9" w:rsidRPr="00DD47DF" w:rsidRDefault="00F37CF9" w:rsidP="00142A82">
            <w:pPr>
              <w:pStyle w:val="Tabulka"/>
              <w:jc w:val="left"/>
              <w:rPr>
                <w:rFonts w:cs="Calibri"/>
              </w:rPr>
            </w:pPr>
            <w:r w:rsidRPr="00DD47DF">
              <w:rPr>
                <w:rFonts w:cs="Calibri"/>
              </w:rPr>
              <w:t>NIS</w:t>
            </w:r>
          </w:p>
        </w:tc>
        <w:tc>
          <w:tcPr>
            <w:tcW w:w="6836" w:type="dxa"/>
            <w:shd w:val="clear" w:color="auto" w:fill="auto"/>
          </w:tcPr>
          <w:p w14:paraId="3A2FF5F2" w14:textId="77777777" w:rsidR="00F37CF9" w:rsidRPr="00DD47DF" w:rsidRDefault="00F37CF9" w:rsidP="00142A82">
            <w:pPr>
              <w:pStyle w:val="Tabulka"/>
              <w:jc w:val="left"/>
              <w:rPr>
                <w:rFonts w:cs="Calibri"/>
              </w:rPr>
            </w:pPr>
            <w:r w:rsidRPr="00DD47DF">
              <w:rPr>
                <w:rFonts w:cs="Calibri"/>
              </w:rPr>
              <w:t>Národní inovační strategie ČR</w:t>
            </w:r>
          </w:p>
        </w:tc>
      </w:tr>
      <w:tr w:rsidR="00F37CF9" w:rsidRPr="00DD47DF" w14:paraId="1C9F23D3" w14:textId="77777777">
        <w:tc>
          <w:tcPr>
            <w:tcW w:w="2376" w:type="dxa"/>
            <w:shd w:val="clear" w:color="auto" w:fill="auto"/>
          </w:tcPr>
          <w:p w14:paraId="276D7415" w14:textId="77777777" w:rsidR="00F37CF9" w:rsidRPr="00DD47DF" w:rsidRDefault="00F37CF9" w:rsidP="00142A82">
            <w:pPr>
              <w:pStyle w:val="Tabulka"/>
              <w:jc w:val="left"/>
              <w:rPr>
                <w:rFonts w:cs="Calibri"/>
              </w:rPr>
            </w:pPr>
            <w:r w:rsidRPr="00DD47DF">
              <w:rPr>
                <w:rFonts w:cs="Calibri"/>
              </w:rPr>
              <w:t>NNO</w:t>
            </w:r>
          </w:p>
        </w:tc>
        <w:tc>
          <w:tcPr>
            <w:tcW w:w="6836" w:type="dxa"/>
            <w:shd w:val="clear" w:color="auto" w:fill="auto"/>
          </w:tcPr>
          <w:p w14:paraId="2D0B1130" w14:textId="77777777" w:rsidR="00F37CF9" w:rsidRPr="00DD47DF" w:rsidRDefault="00F37CF9" w:rsidP="00142A82">
            <w:pPr>
              <w:pStyle w:val="Tabulka"/>
              <w:jc w:val="left"/>
              <w:rPr>
                <w:rFonts w:cs="Calibri"/>
              </w:rPr>
            </w:pPr>
            <w:r w:rsidRPr="00DD47DF">
              <w:rPr>
                <w:rFonts w:cs="Calibri"/>
              </w:rPr>
              <w:t xml:space="preserve">Nestátní nezisková </w:t>
            </w:r>
            <w:r w:rsidRPr="00DD47DF">
              <w:rPr>
                <w:rFonts w:cs="Calibri"/>
                <w:bCs/>
              </w:rPr>
              <w:t>organizace</w:t>
            </w:r>
          </w:p>
        </w:tc>
      </w:tr>
      <w:tr w:rsidR="00F37CF9" w:rsidRPr="00DD47DF" w14:paraId="7B6445A1" w14:textId="77777777">
        <w:tc>
          <w:tcPr>
            <w:tcW w:w="2376" w:type="dxa"/>
            <w:shd w:val="clear" w:color="auto" w:fill="auto"/>
          </w:tcPr>
          <w:p w14:paraId="202E10C6" w14:textId="77777777" w:rsidR="00F37CF9" w:rsidRPr="00DD47DF" w:rsidRDefault="00F37CF9" w:rsidP="00142A82">
            <w:pPr>
              <w:pStyle w:val="Tabulka"/>
              <w:jc w:val="left"/>
              <w:rPr>
                <w:rFonts w:cs="Calibri"/>
              </w:rPr>
            </w:pPr>
            <w:r w:rsidRPr="00DD47DF">
              <w:rPr>
                <w:rFonts w:cs="Calibri"/>
              </w:rPr>
              <w:t>NP VaVaI</w:t>
            </w:r>
          </w:p>
        </w:tc>
        <w:tc>
          <w:tcPr>
            <w:tcW w:w="6836" w:type="dxa"/>
            <w:shd w:val="clear" w:color="auto" w:fill="auto"/>
          </w:tcPr>
          <w:p w14:paraId="22463B79" w14:textId="77777777" w:rsidR="00F37CF9" w:rsidRPr="00DD47DF" w:rsidRDefault="00F37CF9" w:rsidP="00142A82">
            <w:pPr>
              <w:pStyle w:val="Tabulka"/>
              <w:jc w:val="left"/>
              <w:rPr>
                <w:rFonts w:cs="Calibri"/>
              </w:rPr>
            </w:pPr>
            <w:r w:rsidRPr="00DD47DF">
              <w:rPr>
                <w:rFonts w:cs="Calibri"/>
              </w:rPr>
              <w:t>Aktualizace Národní politiky výzkumu, vývoje a inovací České republiky na léta 2009 až 2015 s výhledem do roku 2020</w:t>
            </w:r>
          </w:p>
        </w:tc>
      </w:tr>
      <w:tr w:rsidR="00F37CF9" w:rsidRPr="00DD47DF" w14:paraId="64E10CC0" w14:textId="77777777">
        <w:tc>
          <w:tcPr>
            <w:tcW w:w="2376" w:type="dxa"/>
            <w:shd w:val="clear" w:color="auto" w:fill="auto"/>
          </w:tcPr>
          <w:p w14:paraId="50D025ED" w14:textId="77777777" w:rsidR="00F37CF9" w:rsidRPr="00DD47DF" w:rsidRDefault="00F37CF9" w:rsidP="00142A82">
            <w:pPr>
              <w:pStyle w:val="Tabulka"/>
              <w:jc w:val="left"/>
              <w:rPr>
                <w:rFonts w:cs="Calibri"/>
              </w:rPr>
            </w:pPr>
            <w:r w:rsidRPr="00DD47DF">
              <w:rPr>
                <w:rFonts w:cs="Calibri"/>
              </w:rPr>
              <w:t>NPR</w:t>
            </w:r>
          </w:p>
        </w:tc>
        <w:tc>
          <w:tcPr>
            <w:tcW w:w="6836" w:type="dxa"/>
            <w:shd w:val="clear" w:color="auto" w:fill="auto"/>
          </w:tcPr>
          <w:p w14:paraId="5C4BD96D" w14:textId="77777777" w:rsidR="00F37CF9" w:rsidRPr="00DD47DF" w:rsidRDefault="00F37CF9" w:rsidP="00142A82">
            <w:pPr>
              <w:pStyle w:val="Tabulka"/>
              <w:jc w:val="left"/>
              <w:rPr>
                <w:rFonts w:cs="Calibri"/>
              </w:rPr>
            </w:pPr>
            <w:r w:rsidRPr="00DD47DF">
              <w:rPr>
                <w:rFonts w:cs="Calibri"/>
              </w:rPr>
              <w:t>Národní program reforem ČR</w:t>
            </w:r>
          </w:p>
        </w:tc>
      </w:tr>
      <w:tr w:rsidR="00F37CF9" w:rsidRPr="00DD47DF" w14:paraId="7070984B" w14:textId="77777777">
        <w:tc>
          <w:tcPr>
            <w:tcW w:w="2376" w:type="dxa"/>
            <w:shd w:val="clear" w:color="auto" w:fill="auto"/>
          </w:tcPr>
          <w:p w14:paraId="28B32002" w14:textId="77777777" w:rsidR="00F37CF9" w:rsidRPr="00DD47DF" w:rsidRDefault="00F37CF9" w:rsidP="00142A82">
            <w:pPr>
              <w:pStyle w:val="Tabulka"/>
              <w:jc w:val="left"/>
              <w:rPr>
                <w:rFonts w:cs="Calibri"/>
              </w:rPr>
            </w:pPr>
            <w:r w:rsidRPr="00DD47DF">
              <w:rPr>
                <w:rFonts w:cs="Calibri"/>
              </w:rPr>
              <w:t>NUTS</w:t>
            </w:r>
          </w:p>
        </w:tc>
        <w:tc>
          <w:tcPr>
            <w:tcW w:w="6836" w:type="dxa"/>
            <w:shd w:val="clear" w:color="auto" w:fill="auto"/>
          </w:tcPr>
          <w:p w14:paraId="7ADFA2AC" w14:textId="77777777" w:rsidR="00F37CF9" w:rsidRPr="00DD47DF" w:rsidRDefault="00F37CF9" w:rsidP="00142A82">
            <w:pPr>
              <w:pStyle w:val="Tabulka"/>
              <w:jc w:val="left"/>
              <w:rPr>
                <w:rFonts w:cs="Calibri"/>
              </w:rPr>
            </w:pPr>
            <w:r w:rsidRPr="00DD47DF">
              <w:rPr>
                <w:rStyle w:val="st1"/>
                <w:szCs w:val="24"/>
              </w:rPr>
              <w:t>Nomenklatura územních statistických jednotek</w:t>
            </w:r>
          </w:p>
        </w:tc>
      </w:tr>
      <w:tr w:rsidR="00F37CF9" w:rsidRPr="00DD47DF" w14:paraId="33E01217" w14:textId="77777777">
        <w:tc>
          <w:tcPr>
            <w:tcW w:w="2376" w:type="dxa"/>
            <w:shd w:val="clear" w:color="auto" w:fill="auto"/>
          </w:tcPr>
          <w:p w14:paraId="2A8F602C" w14:textId="77777777" w:rsidR="00F37CF9" w:rsidRPr="00DD47DF" w:rsidRDefault="00F37CF9" w:rsidP="00142A82">
            <w:pPr>
              <w:pStyle w:val="Tabulka"/>
              <w:jc w:val="left"/>
              <w:rPr>
                <w:rFonts w:cs="Calibri"/>
              </w:rPr>
            </w:pPr>
            <w:r w:rsidRPr="00DD47DF">
              <w:rPr>
                <w:rFonts w:cs="Calibri"/>
              </w:rPr>
              <w:t>OP D</w:t>
            </w:r>
          </w:p>
        </w:tc>
        <w:tc>
          <w:tcPr>
            <w:tcW w:w="6836" w:type="dxa"/>
            <w:shd w:val="clear" w:color="auto" w:fill="auto"/>
          </w:tcPr>
          <w:p w14:paraId="59693340" w14:textId="77777777" w:rsidR="00F37CF9" w:rsidRPr="00DD47DF" w:rsidRDefault="00F37CF9" w:rsidP="00142A82">
            <w:pPr>
              <w:pStyle w:val="Tabulka"/>
              <w:jc w:val="left"/>
              <w:rPr>
                <w:rFonts w:cs="Calibri"/>
              </w:rPr>
            </w:pPr>
            <w:r w:rsidRPr="00DD47DF">
              <w:rPr>
                <w:rFonts w:cs="Calibri"/>
              </w:rPr>
              <w:t>Operační program Doprava</w:t>
            </w:r>
          </w:p>
        </w:tc>
      </w:tr>
      <w:tr w:rsidR="00F37CF9" w:rsidRPr="00DD47DF" w14:paraId="5AC4C268" w14:textId="77777777">
        <w:tc>
          <w:tcPr>
            <w:tcW w:w="2376" w:type="dxa"/>
            <w:shd w:val="clear" w:color="auto" w:fill="auto"/>
          </w:tcPr>
          <w:p w14:paraId="3622CF27" w14:textId="77777777" w:rsidR="00F37CF9" w:rsidRPr="00DD47DF" w:rsidRDefault="00F37CF9" w:rsidP="00142A82">
            <w:pPr>
              <w:pStyle w:val="Tabulka"/>
              <w:jc w:val="left"/>
              <w:rPr>
                <w:rFonts w:cs="Calibri"/>
              </w:rPr>
            </w:pPr>
            <w:r w:rsidRPr="00DD47DF">
              <w:rPr>
                <w:rFonts w:cs="Calibri"/>
              </w:rPr>
              <w:t>OP PIK</w:t>
            </w:r>
          </w:p>
        </w:tc>
        <w:tc>
          <w:tcPr>
            <w:tcW w:w="6836" w:type="dxa"/>
            <w:shd w:val="clear" w:color="auto" w:fill="auto"/>
          </w:tcPr>
          <w:p w14:paraId="7071D9FD" w14:textId="77777777" w:rsidR="00F37CF9" w:rsidRPr="00DD47DF" w:rsidRDefault="00F37CF9" w:rsidP="00142A82">
            <w:pPr>
              <w:pStyle w:val="Tabulka"/>
              <w:jc w:val="left"/>
              <w:rPr>
                <w:rFonts w:cs="Calibri"/>
              </w:rPr>
            </w:pPr>
            <w:r w:rsidRPr="00DD47DF">
              <w:rPr>
                <w:rFonts w:cs="Calibri"/>
              </w:rPr>
              <w:t>Operační program Podnikání a inovace pro konkurenceschopnost 2014 - 2020</w:t>
            </w:r>
          </w:p>
        </w:tc>
      </w:tr>
      <w:tr w:rsidR="00F37CF9" w:rsidRPr="00DD47DF" w14:paraId="319ED1FB" w14:textId="77777777">
        <w:tc>
          <w:tcPr>
            <w:tcW w:w="2376" w:type="dxa"/>
            <w:shd w:val="clear" w:color="auto" w:fill="auto"/>
          </w:tcPr>
          <w:p w14:paraId="49630797" w14:textId="77777777" w:rsidR="00F37CF9" w:rsidRPr="00DD47DF" w:rsidRDefault="00F37CF9" w:rsidP="00142A82">
            <w:pPr>
              <w:pStyle w:val="Tabulka"/>
              <w:jc w:val="left"/>
              <w:rPr>
                <w:rFonts w:cs="Calibri"/>
              </w:rPr>
            </w:pPr>
            <w:r w:rsidRPr="00DD47DF">
              <w:rPr>
                <w:rFonts w:cs="Calibri"/>
              </w:rPr>
              <w:t>OP PPR</w:t>
            </w:r>
          </w:p>
        </w:tc>
        <w:tc>
          <w:tcPr>
            <w:tcW w:w="6836" w:type="dxa"/>
            <w:shd w:val="clear" w:color="auto" w:fill="auto"/>
          </w:tcPr>
          <w:p w14:paraId="772716B3" w14:textId="77777777" w:rsidR="00F37CF9" w:rsidRPr="00DD47DF" w:rsidRDefault="00F37CF9" w:rsidP="00142A82">
            <w:pPr>
              <w:pStyle w:val="Tabulka"/>
              <w:jc w:val="left"/>
              <w:rPr>
                <w:rFonts w:cs="Calibri"/>
              </w:rPr>
            </w:pPr>
            <w:r w:rsidRPr="00DD47DF">
              <w:rPr>
                <w:rFonts w:cs="Calibri"/>
              </w:rPr>
              <w:t>Operační program Praha - pól růstu ČR</w:t>
            </w:r>
          </w:p>
        </w:tc>
      </w:tr>
      <w:tr w:rsidR="00F37CF9" w:rsidRPr="00DD47DF" w14:paraId="289FF5AC" w14:textId="77777777">
        <w:tc>
          <w:tcPr>
            <w:tcW w:w="2376" w:type="dxa"/>
            <w:shd w:val="clear" w:color="auto" w:fill="auto"/>
          </w:tcPr>
          <w:p w14:paraId="34EA54E3" w14:textId="77777777" w:rsidR="00F37CF9" w:rsidRPr="00DD47DF" w:rsidRDefault="00F37CF9" w:rsidP="00142A82">
            <w:pPr>
              <w:pStyle w:val="Tabulka"/>
              <w:jc w:val="left"/>
              <w:rPr>
                <w:rFonts w:cs="Calibri"/>
              </w:rPr>
            </w:pPr>
            <w:r w:rsidRPr="00DD47DF">
              <w:rPr>
                <w:rFonts w:cs="Calibri"/>
              </w:rPr>
              <w:t>OP R</w:t>
            </w:r>
          </w:p>
        </w:tc>
        <w:tc>
          <w:tcPr>
            <w:tcW w:w="6836" w:type="dxa"/>
            <w:shd w:val="clear" w:color="auto" w:fill="auto"/>
          </w:tcPr>
          <w:p w14:paraId="1CC765FA" w14:textId="77777777" w:rsidR="00F37CF9" w:rsidRPr="00DD47DF" w:rsidRDefault="00F37CF9" w:rsidP="00142A82">
            <w:pPr>
              <w:pStyle w:val="Tabulka"/>
              <w:jc w:val="left"/>
              <w:rPr>
                <w:rFonts w:cs="Calibri"/>
              </w:rPr>
            </w:pPr>
            <w:r w:rsidRPr="00DD47DF">
              <w:rPr>
                <w:rFonts w:cs="Calibri"/>
              </w:rPr>
              <w:t>Operační program Rybářství</w:t>
            </w:r>
          </w:p>
        </w:tc>
      </w:tr>
      <w:tr w:rsidR="00F37CF9" w:rsidRPr="00DD47DF" w14:paraId="5D322B75" w14:textId="77777777">
        <w:tc>
          <w:tcPr>
            <w:tcW w:w="2376" w:type="dxa"/>
            <w:shd w:val="clear" w:color="auto" w:fill="auto"/>
          </w:tcPr>
          <w:p w14:paraId="1BA096C3" w14:textId="77777777" w:rsidR="00F37CF9" w:rsidRPr="00DD47DF" w:rsidRDefault="00F37CF9" w:rsidP="00142A82">
            <w:pPr>
              <w:pStyle w:val="Tabulka"/>
              <w:jc w:val="left"/>
              <w:rPr>
                <w:rFonts w:cs="Calibri"/>
              </w:rPr>
            </w:pPr>
            <w:r w:rsidRPr="00DD47DF">
              <w:rPr>
                <w:rFonts w:cs="Calibri"/>
              </w:rPr>
              <w:t>OP VVV</w:t>
            </w:r>
          </w:p>
        </w:tc>
        <w:tc>
          <w:tcPr>
            <w:tcW w:w="6836" w:type="dxa"/>
            <w:shd w:val="clear" w:color="auto" w:fill="auto"/>
          </w:tcPr>
          <w:p w14:paraId="7AC4710E" w14:textId="77777777" w:rsidR="00F37CF9" w:rsidRPr="00DD47DF" w:rsidRDefault="00F37CF9" w:rsidP="00142A82">
            <w:pPr>
              <w:pStyle w:val="Tabulka"/>
              <w:jc w:val="left"/>
              <w:rPr>
                <w:rFonts w:cs="Calibri"/>
              </w:rPr>
            </w:pPr>
            <w:r w:rsidRPr="00DD47DF">
              <w:rPr>
                <w:rFonts w:cs="Calibri"/>
              </w:rPr>
              <w:t>Operační program Výzkum, vývoj a vzdělávání</w:t>
            </w:r>
          </w:p>
        </w:tc>
      </w:tr>
      <w:tr w:rsidR="00F37CF9" w:rsidRPr="00DD47DF" w14:paraId="40A16909" w14:textId="77777777">
        <w:tc>
          <w:tcPr>
            <w:tcW w:w="2376" w:type="dxa"/>
            <w:shd w:val="clear" w:color="auto" w:fill="auto"/>
          </w:tcPr>
          <w:p w14:paraId="68BA0DA1" w14:textId="77777777" w:rsidR="00F37CF9" w:rsidRPr="00DD47DF" w:rsidRDefault="00F37CF9" w:rsidP="00142A82">
            <w:pPr>
              <w:pStyle w:val="Tabulka"/>
              <w:jc w:val="left"/>
              <w:rPr>
                <w:rFonts w:cs="Calibri"/>
              </w:rPr>
            </w:pPr>
            <w:r w:rsidRPr="00DD47DF">
              <w:rPr>
                <w:rFonts w:cs="Calibri"/>
              </w:rPr>
              <w:t>OP Z</w:t>
            </w:r>
          </w:p>
        </w:tc>
        <w:tc>
          <w:tcPr>
            <w:tcW w:w="6836" w:type="dxa"/>
            <w:shd w:val="clear" w:color="auto" w:fill="auto"/>
          </w:tcPr>
          <w:p w14:paraId="44A9C96E" w14:textId="77777777" w:rsidR="00F37CF9" w:rsidRPr="00DD47DF" w:rsidRDefault="00F37CF9" w:rsidP="00142A82">
            <w:pPr>
              <w:pStyle w:val="Tabulka"/>
              <w:jc w:val="left"/>
              <w:rPr>
                <w:rFonts w:cs="Calibri"/>
              </w:rPr>
            </w:pPr>
            <w:r w:rsidRPr="00DD47DF">
              <w:rPr>
                <w:rFonts w:cs="Calibri"/>
              </w:rPr>
              <w:t>Operační program Zaměstnanost</w:t>
            </w:r>
          </w:p>
        </w:tc>
      </w:tr>
      <w:tr w:rsidR="00F37CF9" w:rsidRPr="00DD47DF" w14:paraId="0DDEB022" w14:textId="77777777">
        <w:tc>
          <w:tcPr>
            <w:tcW w:w="2376" w:type="dxa"/>
            <w:shd w:val="clear" w:color="auto" w:fill="auto"/>
          </w:tcPr>
          <w:p w14:paraId="0B476393" w14:textId="77777777" w:rsidR="00F37CF9" w:rsidRPr="00DD47DF" w:rsidRDefault="00F37CF9" w:rsidP="00142A82">
            <w:pPr>
              <w:pStyle w:val="Tabulka"/>
              <w:jc w:val="left"/>
              <w:rPr>
                <w:rFonts w:cs="Calibri"/>
              </w:rPr>
            </w:pPr>
            <w:r w:rsidRPr="00DD47DF">
              <w:rPr>
                <w:rFonts w:cs="Calibri"/>
              </w:rPr>
              <w:t>OP ŽP</w:t>
            </w:r>
          </w:p>
        </w:tc>
        <w:tc>
          <w:tcPr>
            <w:tcW w:w="6836" w:type="dxa"/>
            <w:shd w:val="clear" w:color="auto" w:fill="auto"/>
          </w:tcPr>
          <w:p w14:paraId="4CC3C80E" w14:textId="77777777" w:rsidR="00F37CF9" w:rsidRPr="00DD47DF" w:rsidRDefault="00F37CF9" w:rsidP="00142A82">
            <w:pPr>
              <w:pStyle w:val="Tabulka"/>
              <w:jc w:val="left"/>
              <w:rPr>
                <w:rFonts w:cs="Calibri"/>
              </w:rPr>
            </w:pPr>
            <w:r w:rsidRPr="00DD47DF">
              <w:rPr>
                <w:rFonts w:cs="Calibri"/>
              </w:rPr>
              <w:t>Operační program Životní prostředí</w:t>
            </w:r>
          </w:p>
        </w:tc>
      </w:tr>
      <w:tr w:rsidR="00F37CF9" w:rsidRPr="00DD47DF" w14:paraId="7743139C" w14:textId="77777777">
        <w:tc>
          <w:tcPr>
            <w:tcW w:w="2376" w:type="dxa"/>
            <w:shd w:val="clear" w:color="auto" w:fill="auto"/>
          </w:tcPr>
          <w:p w14:paraId="3317C32C" w14:textId="77777777" w:rsidR="00F37CF9" w:rsidRPr="00DD47DF" w:rsidRDefault="00F37CF9" w:rsidP="00142A82">
            <w:pPr>
              <w:pStyle w:val="Tabulka"/>
              <w:jc w:val="left"/>
              <w:rPr>
                <w:rFonts w:cs="Calibri"/>
              </w:rPr>
            </w:pPr>
            <w:r w:rsidRPr="00DD47DF">
              <w:rPr>
                <w:rFonts w:cs="Calibri"/>
              </w:rPr>
              <w:t>OPPI</w:t>
            </w:r>
          </w:p>
        </w:tc>
        <w:tc>
          <w:tcPr>
            <w:tcW w:w="6836" w:type="dxa"/>
            <w:shd w:val="clear" w:color="auto" w:fill="auto"/>
          </w:tcPr>
          <w:p w14:paraId="31A73904" w14:textId="77777777" w:rsidR="00F37CF9" w:rsidRPr="00DD47DF" w:rsidRDefault="00F37CF9" w:rsidP="00142A82">
            <w:pPr>
              <w:pStyle w:val="Tabulka"/>
              <w:jc w:val="left"/>
              <w:rPr>
                <w:rFonts w:cs="Calibri"/>
              </w:rPr>
            </w:pPr>
            <w:r w:rsidRPr="00DD47DF">
              <w:rPr>
                <w:rFonts w:cs="Calibri"/>
              </w:rPr>
              <w:t>Operační program Podnikání a inovace 2007-2013</w:t>
            </w:r>
          </w:p>
        </w:tc>
      </w:tr>
      <w:tr w:rsidR="00F37CF9" w:rsidRPr="00DD47DF" w14:paraId="4D87E4D8" w14:textId="77777777">
        <w:tc>
          <w:tcPr>
            <w:tcW w:w="2376" w:type="dxa"/>
            <w:shd w:val="clear" w:color="auto" w:fill="auto"/>
          </w:tcPr>
          <w:p w14:paraId="63543A9C" w14:textId="77777777" w:rsidR="00F37CF9" w:rsidRPr="00DD47DF" w:rsidRDefault="00F37CF9" w:rsidP="00142A82">
            <w:pPr>
              <w:pStyle w:val="Tabulka"/>
              <w:jc w:val="left"/>
              <w:rPr>
                <w:rFonts w:cs="Calibri"/>
              </w:rPr>
            </w:pPr>
            <w:r w:rsidRPr="00DD47DF">
              <w:rPr>
                <w:rFonts w:cs="Calibri"/>
              </w:rPr>
              <w:t>OSS</w:t>
            </w:r>
          </w:p>
        </w:tc>
        <w:tc>
          <w:tcPr>
            <w:tcW w:w="6836" w:type="dxa"/>
            <w:shd w:val="clear" w:color="auto" w:fill="auto"/>
          </w:tcPr>
          <w:p w14:paraId="31596517" w14:textId="77777777" w:rsidR="00F37CF9" w:rsidRPr="00DD47DF" w:rsidRDefault="00F37CF9" w:rsidP="00142A82">
            <w:pPr>
              <w:pStyle w:val="Tabulka"/>
              <w:jc w:val="left"/>
              <w:rPr>
                <w:rFonts w:cs="Calibri"/>
              </w:rPr>
            </w:pPr>
            <w:r w:rsidRPr="00DD47DF">
              <w:rPr>
                <w:rFonts w:cs="Calibri"/>
              </w:rPr>
              <w:t>Organizační složky státu</w:t>
            </w:r>
          </w:p>
        </w:tc>
      </w:tr>
      <w:tr w:rsidR="00F37CF9" w:rsidRPr="00DD47DF" w14:paraId="6FF86BAD" w14:textId="77777777">
        <w:tc>
          <w:tcPr>
            <w:tcW w:w="2376" w:type="dxa"/>
            <w:shd w:val="clear" w:color="auto" w:fill="auto"/>
          </w:tcPr>
          <w:p w14:paraId="716302DD" w14:textId="77777777" w:rsidR="00F37CF9" w:rsidRPr="00DD47DF" w:rsidRDefault="00F37CF9" w:rsidP="00142A82">
            <w:pPr>
              <w:pStyle w:val="Tabulka"/>
              <w:jc w:val="left"/>
              <w:rPr>
                <w:rFonts w:cs="Calibri"/>
              </w:rPr>
            </w:pPr>
            <w:r w:rsidRPr="00DD47DF">
              <w:rPr>
                <w:rFonts w:cs="Calibri"/>
              </w:rPr>
              <w:lastRenderedPageBreak/>
              <w:t>OSVČ</w:t>
            </w:r>
          </w:p>
        </w:tc>
        <w:tc>
          <w:tcPr>
            <w:tcW w:w="6836" w:type="dxa"/>
            <w:shd w:val="clear" w:color="auto" w:fill="auto"/>
          </w:tcPr>
          <w:p w14:paraId="7E71D4AA" w14:textId="77777777" w:rsidR="00F37CF9" w:rsidRPr="00DD47DF" w:rsidRDefault="00F37CF9" w:rsidP="00142A82">
            <w:pPr>
              <w:pStyle w:val="Tabulka"/>
              <w:jc w:val="left"/>
              <w:rPr>
                <w:rFonts w:cs="Calibri"/>
              </w:rPr>
            </w:pPr>
            <w:r w:rsidRPr="00DD47DF">
              <w:rPr>
                <w:rStyle w:val="st1"/>
                <w:szCs w:val="24"/>
              </w:rPr>
              <w:t>Osoba samostatně výdělečně činná</w:t>
            </w:r>
          </w:p>
        </w:tc>
      </w:tr>
      <w:tr w:rsidR="00F37CF9" w:rsidRPr="00DD47DF" w14:paraId="4BBEB9B1" w14:textId="77777777">
        <w:tc>
          <w:tcPr>
            <w:tcW w:w="2376" w:type="dxa"/>
            <w:shd w:val="clear" w:color="auto" w:fill="auto"/>
          </w:tcPr>
          <w:p w14:paraId="2847B7AC" w14:textId="77777777" w:rsidR="00F37CF9" w:rsidRPr="00DD47DF" w:rsidRDefault="00F37CF9" w:rsidP="00142A82">
            <w:pPr>
              <w:pStyle w:val="Tabulka"/>
              <w:jc w:val="left"/>
              <w:rPr>
                <w:rFonts w:cs="Calibri"/>
              </w:rPr>
            </w:pPr>
            <w:r w:rsidRPr="00DD47DF">
              <w:rPr>
                <w:rFonts w:cs="Calibri"/>
              </w:rPr>
              <w:t>OZE</w:t>
            </w:r>
          </w:p>
        </w:tc>
        <w:tc>
          <w:tcPr>
            <w:tcW w:w="6836" w:type="dxa"/>
            <w:shd w:val="clear" w:color="auto" w:fill="auto"/>
          </w:tcPr>
          <w:p w14:paraId="625E03A5" w14:textId="77777777" w:rsidR="00F37CF9" w:rsidRPr="00DD47DF" w:rsidRDefault="00F37CF9" w:rsidP="00142A82">
            <w:pPr>
              <w:pStyle w:val="Tabulka"/>
              <w:jc w:val="left"/>
              <w:rPr>
                <w:rFonts w:cs="Calibri"/>
              </w:rPr>
            </w:pPr>
            <w:r w:rsidRPr="00DD47DF">
              <w:rPr>
                <w:rFonts w:cs="Calibri"/>
              </w:rPr>
              <w:t>Obnovitelné zdroje energie</w:t>
            </w:r>
          </w:p>
        </w:tc>
      </w:tr>
      <w:tr w:rsidR="00F37CF9" w:rsidRPr="00DD47DF" w14:paraId="797D29DB" w14:textId="77777777">
        <w:tc>
          <w:tcPr>
            <w:tcW w:w="2376" w:type="dxa"/>
            <w:shd w:val="clear" w:color="auto" w:fill="auto"/>
          </w:tcPr>
          <w:p w14:paraId="6EE69297" w14:textId="77777777" w:rsidR="00F37CF9" w:rsidRPr="00DD47DF" w:rsidRDefault="00F37CF9" w:rsidP="00142A82">
            <w:pPr>
              <w:pStyle w:val="Tabulka"/>
              <w:jc w:val="left"/>
              <w:rPr>
                <w:rFonts w:cs="Calibri"/>
              </w:rPr>
            </w:pPr>
            <w:r w:rsidRPr="00DD47DF">
              <w:rPr>
                <w:rFonts w:cs="Calibri"/>
              </w:rPr>
              <w:t>PCO</w:t>
            </w:r>
          </w:p>
        </w:tc>
        <w:tc>
          <w:tcPr>
            <w:tcW w:w="6836" w:type="dxa"/>
            <w:shd w:val="clear" w:color="auto" w:fill="auto"/>
          </w:tcPr>
          <w:p w14:paraId="1E929C26" w14:textId="77777777" w:rsidR="00F37CF9" w:rsidRPr="00DD47DF" w:rsidRDefault="00F37CF9" w:rsidP="00142A82">
            <w:pPr>
              <w:pStyle w:val="Tabulka"/>
              <w:jc w:val="left"/>
              <w:rPr>
                <w:rFonts w:cs="Calibri"/>
              </w:rPr>
            </w:pPr>
            <w:r w:rsidRPr="00DD47DF">
              <w:rPr>
                <w:rFonts w:cs="Calibri"/>
              </w:rPr>
              <w:t>Platební a certifikační orgán</w:t>
            </w:r>
          </w:p>
        </w:tc>
      </w:tr>
      <w:tr w:rsidR="00F37CF9" w:rsidRPr="00DD47DF" w14:paraId="43435441" w14:textId="77777777">
        <w:tc>
          <w:tcPr>
            <w:tcW w:w="2376" w:type="dxa"/>
            <w:shd w:val="clear" w:color="auto" w:fill="auto"/>
          </w:tcPr>
          <w:p w14:paraId="51BB9E69" w14:textId="77777777" w:rsidR="00F37CF9" w:rsidRPr="00DD47DF" w:rsidRDefault="00F37CF9" w:rsidP="00142A82">
            <w:pPr>
              <w:pStyle w:val="Tabulka"/>
              <w:jc w:val="left"/>
              <w:rPr>
                <w:rFonts w:cs="Calibri"/>
              </w:rPr>
            </w:pPr>
            <w:r w:rsidRPr="00DD47DF">
              <w:rPr>
                <w:rFonts w:cs="Calibri"/>
              </w:rPr>
              <w:t>PCP</w:t>
            </w:r>
          </w:p>
        </w:tc>
        <w:tc>
          <w:tcPr>
            <w:tcW w:w="6836" w:type="dxa"/>
            <w:shd w:val="clear" w:color="auto" w:fill="auto"/>
          </w:tcPr>
          <w:p w14:paraId="25B8F2B2" w14:textId="77777777" w:rsidR="00F37CF9" w:rsidRPr="00DD47DF" w:rsidRDefault="00F37CF9" w:rsidP="00142A82">
            <w:pPr>
              <w:pStyle w:val="Tabulka"/>
              <w:jc w:val="left"/>
              <w:rPr>
                <w:rFonts w:cs="Calibri"/>
              </w:rPr>
            </w:pPr>
            <w:r w:rsidRPr="00DD47DF">
              <w:rPr>
                <w:rFonts w:cs="Calibri"/>
              </w:rPr>
              <w:t>Pre-commercial public procurement</w:t>
            </w:r>
          </w:p>
        </w:tc>
      </w:tr>
      <w:tr w:rsidR="00F37CF9" w:rsidRPr="00DD47DF" w14:paraId="415419AD" w14:textId="77777777">
        <w:tc>
          <w:tcPr>
            <w:tcW w:w="2376" w:type="dxa"/>
            <w:shd w:val="clear" w:color="auto" w:fill="auto"/>
          </w:tcPr>
          <w:p w14:paraId="0904274B" w14:textId="77777777" w:rsidR="00F37CF9" w:rsidRPr="00DD47DF" w:rsidRDefault="00F37CF9" w:rsidP="00142A82">
            <w:pPr>
              <w:pStyle w:val="Tabulka"/>
              <w:jc w:val="left"/>
              <w:rPr>
                <w:rFonts w:cs="Calibri"/>
              </w:rPr>
            </w:pPr>
            <w:r w:rsidRPr="00DD47DF">
              <w:rPr>
                <w:rFonts w:cs="Calibri"/>
              </w:rPr>
              <w:t>PD</w:t>
            </w:r>
          </w:p>
        </w:tc>
        <w:tc>
          <w:tcPr>
            <w:tcW w:w="6836" w:type="dxa"/>
            <w:shd w:val="clear" w:color="auto" w:fill="auto"/>
          </w:tcPr>
          <w:p w14:paraId="7F642E60" w14:textId="77777777" w:rsidR="00F37CF9" w:rsidRPr="00DD47DF" w:rsidRDefault="00F37CF9" w:rsidP="00142A82">
            <w:pPr>
              <w:pStyle w:val="Tabulka"/>
              <w:jc w:val="left"/>
              <w:rPr>
                <w:rFonts w:cs="Calibri"/>
              </w:rPr>
            </w:pPr>
            <w:r w:rsidRPr="00DD47DF">
              <w:rPr>
                <w:rFonts w:cs="Calibri"/>
              </w:rPr>
              <w:t>Programový dokument</w:t>
            </w:r>
          </w:p>
        </w:tc>
      </w:tr>
      <w:tr w:rsidR="00F37CF9" w:rsidRPr="00DD47DF" w14:paraId="748E4480" w14:textId="77777777">
        <w:tc>
          <w:tcPr>
            <w:tcW w:w="2376" w:type="dxa"/>
            <w:shd w:val="clear" w:color="auto" w:fill="auto"/>
          </w:tcPr>
          <w:p w14:paraId="5269E4FA" w14:textId="77777777" w:rsidR="00F37CF9" w:rsidRPr="00DD47DF" w:rsidRDefault="00F37CF9" w:rsidP="00142A82">
            <w:pPr>
              <w:pStyle w:val="Tabulka"/>
              <w:jc w:val="left"/>
              <w:rPr>
                <w:rFonts w:cs="Calibri"/>
              </w:rPr>
            </w:pPr>
            <w:r w:rsidRPr="00DD47DF">
              <w:rPr>
                <w:rFonts w:cs="Calibri"/>
              </w:rPr>
              <w:t>PO</w:t>
            </w:r>
          </w:p>
        </w:tc>
        <w:tc>
          <w:tcPr>
            <w:tcW w:w="6836" w:type="dxa"/>
            <w:shd w:val="clear" w:color="auto" w:fill="auto"/>
          </w:tcPr>
          <w:p w14:paraId="43823093" w14:textId="77777777" w:rsidR="00F37CF9" w:rsidRPr="00DD47DF" w:rsidRDefault="00F37CF9" w:rsidP="00142A82">
            <w:pPr>
              <w:pStyle w:val="Tabulka"/>
              <w:jc w:val="left"/>
              <w:rPr>
                <w:rFonts w:cs="Calibri"/>
              </w:rPr>
            </w:pPr>
            <w:r w:rsidRPr="00DD47DF">
              <w:rPr>
                <w:rFonts w:cs="Calibri"/>
              </w:rPr>
              <w:t>Prioritní osa</w:t>
            </w:r>
          </w:p>
        </w:tc>
      </w:tr>
      <w:tr w:rsidR="00F37CF9" w:rsidRPr="00DD47DF" w14:paraId="79D9FF56" w14:textId="77777777">
        <w:tc>
          <w:tcPr>
            <w:tcW w:w="2376" w:type="dxa"/>
            <w:shd w:val="clear" w:color="auto" w:fill="auto"/>
          </w:tcPr>
          <w:p w14:paraId="10E6DF2F" w14:textId="77777777" w:rsidR="00F37CF9" w:rsidRPr="00DD47DF" w:rsidRDefault="00F37CF9" w:rsidP="00142A82">
            <w:pPr>
              <w:pStyle w:val="Tabulka"/>
              <w:jc w:val="left"/>
              <w:rPr>
                <w:rFonts w:cs="Calibri"/>
              </w:rPr>
            </w:pPr>
            <w:r w:rsidRPr="00DD47DF">
              <w:rPr>
                <w:rFonts w:cs="Calibri"/>
              </w:rPr>
              <w:t>PRV</w:t>
            </w:r>
          </w:p>
        </w:tc>
        <w:tc>
          <w:tcPr>
            <w:tcW w:w="6836" w:type="dxa"/>
            <w:shd w:val="clear" w:color="auto" w:fill="auto"/>
          </w:tcPr>
          <w:p w14:paraId="040CCB25" w14:textId="77777777" w:rsidR="00F37CF9" w:rsidRPr="00DD47DF" w:rsidRDefault="00F37CF9" w:rsidP="00142A82">
            <w:pPr>
              <w:pStyle w:val="Tabulka"/>
              <w:jc w:val="left"/>
              <w:rPr>
                <w:rFonts w:cs="Calibri"/>
              </w:rPr>
            </w:pPr>
            <w:r w:rsidRPr="00DD47DF">
              <w:rPr>
                <w:rFonts w:cs="Calibri"/>
              </w:rPr>
              <w:t>Program rozvoje venkova</w:t>
            </w:r>
          </w:p>
        </w:tc>
      </w:tr>
      <w:tr w:rsidR="00F37CF9" w:rsidRPr="00DD47DF" w14:paraId="112C9CEB" w14:textId="77777777">
        <w:tc>
          <w:tcPr>
            <w:tcW w:w="2376" w:type="dxa"/>
            <w:shd w:val="clear" w:color="auto" w:fill="auto"/>
          </w:tcPr>
          <w:p w14:paraId="3B258F96" w14:textId="77777777" w:rsidR="00F37CF9" w:rsidRPr="00DD47DF" w:rsidRDefault="00241CA3" w:rsidP="00142A82">
            <w:pPr>
              <w:pStyle w:val="Tabulka"/>
              <w:jc w:val="left"/>
              <w:rPr>
                <w:rFonts w:cs="Calibri"/>
              </w:rPr>
            </w:pPr>
            <w:r w:rsidRPr="00DD47DF">
              <w:rPr>
                <w:rFonts w:cs="Calibri"/>
              </w:rPr>
              <w:t>PS</w:t>
            </w:r>
          </w:p>
        </w:tc>
        <w:tc>
          <w:tcPr>
            <w:tcW w:w="6836" w:type="dxa"/>
            <w:shd w:val="clear" w:color="auto" w:fill="auto"/>
          </w:tcPr>
          <w:p w14:paraId="2B024562" w14:textId="77777777" w:rsidR="00F37CF9" w:rsidRPr="00DD47DF" w:rsidRDefault="00241CA3" w:rsidP="00142A82">
            <w:pPr>
              <w:pStyle w:val="Tabulka"/>
              <w:jc w:val="left"/>
              <w:rPr>
                <w:rFonts w:cs="Calibri"/>
              </w:rPr>
            </w:pPr>
            <w:r w:rsidRPr="00DD47DF">
              <w:rPr>
                <w:rFonts w:cs="Calibri"/>
              </w:rPr>
              <w:t>Pracovní skupina</w:t>
            </w:r>
          </w:p>
        </w:tc>
      </w:tr>
      <w:tr w:rsidR="00241CA3" w:rsidRPr="00DD47DF" w14:paraId="08ADDEA7" w14:textId="77777777">
        <w:tc>
          <w:tcPr>
            <w:tcW w:w="2376" w:type="dxa"/>
            <w:shd w:val="clear" w:color="auto" w:fill="auto"/>
          </w:tcPr>
          <w:p w14:paraId="778C8E74" w14:textId="77777777" w:rsidR="00241CA3" w:rsidRPr="00DD47DF" w:rsidRDefault="00092326" w:rsidP="00142A82">
            <w:pPr>
              <w:pStyle w:val="Tabulka"/>
              <w:jc w:val="left"/>
              <w:rPr>
                <w:rFonts w:cs="Calibri"/>
              </w:rPr>
            </w:pPr>
            <w:r w:rsidRPr="00DD47DF">
              <w:rPr>
                <w:rFonts w:cs="Calibri"/>
              </w:rPr>
              <w:t>RIS3</w:t>
            </w:r>
          </w:p>
        </w:tc>
        <w:tc>
          <w:tcPr>
            <w:tcW w:w="6836" w:type="dxa"/>
            <w:shd w:val="clear" w:color="auto" w:fill="auto"/>
          </w:tcPr>
          <w:p w14:paraId="6641E2FD" w14:textId="77777777" w:rsidR="00241CA3" w:rsidRPr="00DD47DF" w:rsidRDefault="00241CA3" w:rsidP="00142A82">
            <w:pPr>
              <w:pStyle w:val="Tabulka"/>
              <w:jc w:val="left"/>
              <w:rPr>
                <w:rFonts w:cs="Calibri"/>
              </w:rPr>
            </w:pPr>
            <w:r w:rsidRPr="00DD47DF">
              <w:rPr>
                <w:rFonts w:cs="Calibri"/>
              </w:rPr>
              <w:t>Strategie inteligentní specializace ČR</w:t>
            </w:r>
          </w:p>
        </w:tc>
      </w:tr>
      <w:tr w:rsidR="00092326" w:rsidRPr="00DD47DF" w14:paraId="43A452C9" w14:textId="77777777">
        <w:tc>
          <w:tcPr>
            <w:tcW w:w="2376" w:type="dxa"/>
            <w:shd w:val="clear" w:color="auto" w:fill="auto"/>
          </w:tcPr>
          <w:p w14:paraId="11435EE0" w14:textId="77777777" w:rsidR="00092326" w:rsidRPr="00DD47DF" w:rsidRDefault="00092326" w:rsidP="00142A82">
            <w:pPr>
              <w:pStyle w:val="Tabulka"/>
              <w:jc w:val="left"/>
              <w:rPr>
                <w:rFonts w:cs="Calibri"/>
              </w:rPr>
            </w:pPr>
            <w:r w:rsidRPr="00DD47DF">
              <w:rPr>
                <w:rFonts w:cs="Calibri"/>
              </w:rPr>
              <w:t>ŘO</w:t>
            </w:r>
          </w:p>
        </w:tc>
        <w:tc>
          <w:tcPr>
            <w:tcW w:w="6836" w:type="dxa"/>
            <w:shd w:val="clear" w:color="auto" w:fill="auto"/>
          </w:tcPr>
          <w:p w14:paraId="609B5F4F" w14:textId="77777777" w:rsidR="00092326" w:rsidRPr="00DD47DF" w:rsidRDefault="00092326" w:rsidP="00142A82">
            <w:pPr>
              <w:pStyle w:val="Tabulka"/>
              <w:jc w:val="left"/>
              <w:rPr>
                <w:rFonts w:cs="Calibri"/>
              </w:rPr>
            </w:pPr>
            <w:r w:rsidRPr="00DD47DF">
              <w:rPr>
                <w:rFonts w:cs="Calibri"/>
              </w:rPr>
              <w:t>Řídící orgán</w:t>
            </w:r>
          </w:p>
        </w:tc>
      </w:tr>
      <w:tr w:rsidR="00241CA3" w:rsidRPr="00DD47DF" w14:paraId="42B2B1D9" w14:textId="77777777">
        <w:tc>
          <w:tcPr>
            <w:tcW w:w="2376" w:type="dxa"/>
            <w:shd w:val="clear" w:color="auto" w:fill="auto"/>
          </w:tcPr>
          <w:p w14:paraId="1208B0E1" w14:textId="77777777" w:rsidR="00241CA3" w:rsidRPr="00DD47DF" w:rsidRDefault="00241CA3" w:rsidP="00142A82">
            <w:pPr>
              <w:pStyle w:val="Tabulka"/>
              <w:jc w:val="left"/>
              <w:rPr>
                <w:rFonts w:cs="Calibri"/>
              </w:rPr>
            </w:pPr>
            <w:r w:rsidRPr="00DD47DF">
              <w:rPr>
                <w:rFonts w:cs="Calibri"/>
              </w:rPr>
              <w:t>SBA</w:t>
            </w:r>
          </w:p>
        </w:tc>
        <w:tc>
          <w:tcPr>
            <w:tcW w:w="6836" w:type="dxa"/>
            <w:shd w:val="clear" w:color="auto" w:fill="auto"/>
          </w:tcPr>
          <w:p w14:paraId="727662A1" w14:textId="77777777" w:rsidR="00241CA3" w:rsidRPr="00DD47DF" w:rsidRDefault="00241CA3" w:rsidP="00142A82">
            <w:pPr>
              <w:pStyle w:val="Tabulka"/>
              <w:jc w:val="left"/>
              <w:rPr>
                <w:rFonts w:cs="Calibri"/>
              </w:rPr>
            </w:pPr>
            <w:r w:rsidRPr="00DD47DF">
              <w:rPr>
                <w:rFonts w:cs="Calibri"/>
              </w:rPr>
              <w:t>Small Business Act</w:t>
            </w:r>
          </w:p>
        </w:tc>
      </w:tr>
      <w:tr w:rsidR="00241CA3" w:rsidRPr="00DD47DF" w14:paraId="5A819B05" w14:textId="77777777">
        <w:tc>
          <w:tcPr>
            <w:tcW w:w="2376" w:type="dxa"/>
            <w:shd w:val="clear" w:color="auto" w:fill="auto"/>
          </w:tcPr>
          <w:p w14:paraId="5C5DB94E" w14:textId="77777777" w:rsidR="00241CA3" w:rsidRPr="00DD47DF" w:rsidRDefault="00241CA3" w:rsidP="00142A82">
            <w:pPr>
              <w:pStyle w:val="Tabulka"/>
              <w:jc w:val="left"/>
              <w:rPr>
                <w:rFonts w:cs="Calibri"/>
              </w:rPr>
            </w:pPr>
            <w:r w:rsidRPr="00DD47DF">
              <w:rPr>
                <w:rFonts w:cs="Calibri"/>
              </w:rPr>
              <w:t>SC</w:t>
            </w:r>
          </w:p>
        </w:tc>
        <w:tc>
          <w:tcPr>
            <w:tcW w:w="6836" w:type="dxa"/>
            <w:shd w:val="clear" w:color="auto" w:fill="auto"/>
          </w:tcPr>
          <w:p w14:paraId="129ADF9F" w14:textId="77777777" w:rsidR="00241CA3" w:rsidRPr="00DD47DF" w:rsidRDefault="00241CA3" w:rsidP="00142A82">
            <w:pPr>
              <w:pStyle w:val="Tabulka"/>
              <w:jc w:val="left"/>
              <w:rPr>
                <w:rFonts w:cs="Calibri"/>
              </w:rPr>
            </w:pPr>
            <w:r w:rsidRPr="00DD47DF">
              <w:rPr>
                <w:rFonts w:cs="Calibri"/>
              </w:rPr>
              <w:t>Specifický cíl</w:t>
            </w:r>
          </w:p>
        </w:tc>
      </w:tr>
      <w:tr w:rsidR="00241CA3" w:rsidRPr="00DD47DF" w14:paraId="7DC1C435" w14:textId="77777777">
        <w:tc>
          <w:tcPr>
            <w:tcW w:w="2376" w:type="dxa"/>
            <w:shd w:val="clear" w:color="auto" w:fill="auto"/>
          </w:tcPr>
          <w:p w14:paraId="3924FADD" w14:textId="77777777" w:rsidR="00241CA3" w:rsidRPr="00DD47DF" w:rsidRDefault="00241CA3" w:rsidP="00142A82">
            <w:pPr>
              <w:pStyle w:val="Tabulka"/>
              <w:jc w:val="left"/>
              <w:rPr>
                <w:rFonts w:cs="Calibri"/>
              </w:rPr>
            </w:pPr>
            <w:r w:rsidRPr="00DD47DF">
              <w:rPr>
                <w:rFonts w:cs="Calibri"/>
              </w:rPr>
              <w:t>SEA</w:t>
            </w:r>
          </w:p>
        </w:tc>
        <w:tc>
          <w:tcPr>
            <w:tcW w:w="6836" w:type="dxa"/>
            <w:shd w:val="clear" w:color="auto" w:fill="auto"/>
          </w:tcPr>
          <w:p w14:paraId="5AB8C747" w14:textId="77777777" w:rsidR="00241CA3" w:rsidRPr="00DD47DF" w:rsidRDefault="00241CA3" w:rsidP="00142A82">
            <w:pPr>
              <w:pStyle w:val="Tabulka"/>
              <w:jc w:val="left"/>
              <w:rPr>
                <w:rFonts w:cs="Calibri"/>
              </w:rPr>
            </w:pPr>
            <w:r w:rsidRPr="00DD47DF">
              <w:rPr>
                <w:rFonts w:cs="Calibri"/>
              </w:rPr>
              <w:t>Posuzování vlivů koncepce na životní prostředí</w:t>
            </w:r>
          </w:p>
        </w:tc>
      </w:tr>
      <w:tr w:rsidR="00A83DD9" w:rsidRPr="00DD47DF" w14:paraId="62A71AAB" w14:textId="77777777">
        <w:tc>
          <w:tcPr>
            <w:tcW w:w="2376" w:type="dxa"/>
            <w:shd w:val="clear" w:color="auto" w:fill="auto"/>
          </w:tcPr>
          <w:p w14:paraId="0D912828" w14:textId="77777777" w:rsidR="00A83DD9" w:rsidRPr="00DD47DF" w:rsidRDefault="00A83DD9" w:rsidP="00142A82">
            <w:pPr>
              <w:pStyle w:val="Tabulka"/>
              <w:jc w:val="left"/>
              <w:rPr>
                <w:rFonts w:cs="Calibri"/>
              </w:rPr>
            </w:pPr>
            <w:r w:rsidRPr="00DD47DF">
              <w:rPr>
                <w:rFonts w:cs="Calibri"/>
              </w:rPr>
              <w:t>SEI</w:t>
            </w:r>
          </w:p>
        </w:tc>
        <w:tc>
          <w:tcPr>
            <w:tcW w:w="6836" w:type="dxa"/>
            <w:shd w:val="clear" w:color="auto" w:fill="auto"/>
          </w:tcPr>
          <w:p w14:paraId="14BE4699" w14:textId="77777777" w:rsidR="00A83DD9" w:rsidRPr="00DD47DF" w:rsidRDefault="00A83DD9" w:rsidP="00142A82">
            <w:pPr>
              <w:pStyle w:val="Tabulka"/>
              <w:jc w:val="left"/>
              <w:rPr>
                <w:rFonts w:cs="Calibri"/>
              </w:rPr>
            </w:pPr>
            <w:r w:rsidRPr="00DD47DF">
              <w:rPr>
                <w:rFonts w:cs="Calibri"/>
              </w:rPr>
              <w:t>Státní energetická inspekce ČR</w:t>
            </w:r>
          </w:p>
        </w:tc>
      </w:tr>
      <w:tr w:rsidR="00241CA3" w:rsidRPr="00DD47DF" w14:paraId="63C5CE52" w14:textId="77777777">
        <w:tc>
          <w:tcPr>
            <w:tcW w:w="2376" w:type="dxa"/>
            <w:shd w:val="clear" w:color="auto" w:fill="auto"/>
          </w:tcPr>
          <w:p w14:paraId="3FB71013" w14:textId="77777777" w:rsidR="00241CA3" w:rsidRPr="00DD47DF" w:rsidRDefault="00241CA3" w:rsidP="00142A82">
            <w:pPr>
              <w:pStyle w:val="Tabulka"/>
              <w:jc w:val="left"/>
              <w:rPr>
                <w:rFonts w:cs="Calibri"/>
              </w:rPr>
            </w:pPr>
            <w:r w:rsidRPr="00DD47DF">
              <w:rPr>
                <w:rFonts w:cs="Calibri"/>
              </w:rPr>
              <w:t>SEK</w:t>
            </w:r>
          </w:p>
        </w:tc>
        <w:tc>
          <w:tcPr>
            <w:tcW w:w="6836" w:type="dxa"/>
            <w:shd w:val="clear" w:color="auto" w:fill="auto"/>
          </w:tcPr>
          <w:p w14:paraId="6CF08FB4" w14:textId="77777777" w:rsidR="00241CA3" w:rsidRPr="00DD47DF" w:rsidRDefault="00241CA3" w:rsidP="00142A82">
            <w:pPr>
              <w:pStyle w:val="Tabulka"/>
              <w:jc w:val="left"/>
              <w:rPr>
                <w:rFonts w:cs="Calibri"/>
              </w:rPr>
            </w:pPr>
            <w:r w:rsidRPr="00DD47DF">
              <w:rPr>
                <w:rFonts w:cs="Calibri"/>
              </w:rPr>
              <w:t>Státní energetická koncepce ČR</w:t>
            </w:r>
          </w:p>
        </w:tc>
      </w:tr>
      <w:tr w:rsidR="00241CA3" w:rsidRPr="00DD47DF" w14:paraId="4501728B" w14:textId="77777777">
        <w:tc>
          <w:tcPr>
            <w:tcW w:w="2376" w:type="dxa"/>
            <w:shd w:val="clear" w:color="auto" w:fill="auto"/>
          </w:tcPr>
          <w:p w14:paraId="36890937" w14:textId="77777777" w:rsidR="00241CA3" w:rsidRPr="00DD47DF" w:rsidRDefault="00241CA3" w:rsidP="00142A82">
            <w:pPr>
              <w:pStyle w:val="Tabulka"/>
              <w:jc w:val="left"/>
              <w:rPr>
                <w:rFonts w:cs="Calibri"/>
              </w:rPr>
            </w:pPr>
            <w:r w:rsidRPr="00DD47DF">
              <w:rPr>
                <w:rFonts w:cs="Calibri"/>
              </w:rPr>
              <w:t>SFEU</w:t>
            </w:r>
          </w:p>
        </w:tc>
        <w:tc>
          <w:tcPr>
            <w:tcW w:w="6836" w:type="dxa"/>
            <w:shd w:val="clear" w:color="auto" w:fill="auto"/>
          </w:tcPr>
          <w:p w14:paraId="42334C43" w14:textId="77777777" w:rsidR="00241CA3" w:rsidRPr="00DD47DF" w:rsidRDefault="00241CA3" w:rsidP="00142A82">
            <w:pPr>
              <w:pStyle w:val="Tabulka"/>
              <w:jc w:val="left"/>
              <w:rPr>
                <w:rFonts w:cs="Calibri"/>
              </w:rPr>
            </w:pPr>
            <w:r w:rsidRPr="00DD47DF">
              <w:rPr>
                <w:rFonts w:cs="Calibri"/>
              </w:rPr>
              <w:t>Smlouva o fungování EU</w:t>
            </w:r>
          </w:p>
        </w:tc>
      </w:tr>
      <w:tr w:rsidR="00241CA3" w:rsidRPr="00DD47DF" w14:paraId="5101A798" w14:textId="77777777">
        <w:tc>
          <w:tcPr>
            <w:tcW w:w="2376" w:type="dxa"/>
            <w:shd w:val="clear" w:color="auto" w:fill="auto"/>
          </w:tcPr>
          <w:p w14:paraId="63940DEB" w14:textId="77777777" w:rsidR="00241CA3" w:rsidRPr="00DD47DF" w:rsidRDefault="00241CA3" w:rsidP="00142A82">
            <w:pPr>
              <w:pStyle w:val="Tabulka"/>
              <w:jc w:val="left"/>
              <w:rPr>
                <w:rFonts w:cs="Calibri"/>
              </w:rPr>
            </w:pPr>
            <w:r w:rsidRPr="00DD47DF">
              <w:rPr>
                <w:rFonts w:cs="Calibri"/>
              </w:rPr>
              <w:t>SMK</w:t>
            </w:r>
          </w:p>
        </w:tc>
        <w:tc>
          <w:tcPr>
            <w:tcW w:w="6836" w:type="dxa"/>
            <w:shd w:val="clear" w:color="auto" w:fill="auto"/>
          </w:tcPr>
          <w:p w14:paraId="41E6DEE4" w14:textId="77777777" w:rsidR="00241CA3" w:rsidRPr="00DD47DF" w:rsidRDefault="00241CA3" w:rsidP="00142A82">
            <w:pPr>
              <w:pStyle w:val="Tabulka"/>
              <w:jc w:val="left"/>
              <w:rPr>
                <w:rFonts w:cs="Calibri"/>
              </w:rPr>
            </w:pPr>
            <w:r w:rsidRPr="00DD47DF">
              <w:rPr>
                <w:rFonts w:cs="Calibri"/>
              </w:rPr>
              <w:t>Strategie mezinárodní konkurenceschopnosti ČR</w:t>
            </w:r>
          </w:p>
        </w:tc>
      </w:tr>
      <w:tr w:rsidR="00241CA3" w:rsidRPr="00DD47DF" w14:paraId="604350A0" w14:textId="77777777">
        <w:tc>
          <w:tcPr>
            <w:tcW w:w="2376" w:type="dxa"/>
            <w:shd w:val="clear" w:color="auto" w:fill="auto"/>
          </w:tcPr>
          <w:p w14:paraId="47875918" w14:textId="77777777" w:rsidR="00241CA3" w:rsidRPr="00DD47DF" w:rsidRDefault="00241CA3" w:rsidP="00142A82">
            <w:pPr>
              <w:pStyle w:val="Tabulka"/>
              <w:jc w:val="left"/>
              <w:rPr>
                <w:rFonts w:cs="Calibri"/>
              </w:rPr>
            </w:pPr>
            <w:r w:rsidRPr="00DD47DF">
              <w:rPr>
                <w:rFonts w:cs="Calibri"/>
              </w:rPr>
              <w:t>SRR</w:t>
            </w:r>
          </w:p>
        </w:tc>
        <w:tc>
          <w:tcPr>
            <w:tcW w:w="6836" w:type="dxa"/>
            <w:shd w:val="clear" w:color="auto" w:fill="auto"/>
          </w:tcPr>
          <w:p w14:paraId="2E71D69F" w14:textId="77777777" w:rsidR="00241CA3" w:rsidRPr="00DD47DF" w:rsidRDefault="00241CA3" w:rsidP="00142A82">
            <w:pPr>
              <w:pStyle w:val="Tabulka"/>
              <w:jc w:val="left"/>
              <w:rPr>
                <w:rFonts w:cs="Calibri"/>
              </w:rPr>
            </w:pPr>
            <w:r w:rsidRPr="00DD47DF">
              <w:rPr>
                <w:rFonts w:cs="Calibri"/>
              </w:rPr>
              <w:t>Strategie regionálního rozvoje ČR pro období 2014 – 2020</w:t>
            </w:r>
          </w:p>
        </w:tc>
      </w:tr>
      <w:tr w:rsidR="00241CA3" w:rsidRPr="00DD47DF" w14:paraId="282BDC9D" w14:textId="77777777">
        <w:tc>
          <w:tcPr>
            <w:tcW w:w="2376" w:type="dxa"/>
            <w:shd w:val="clear" w:color="auto" w:fill="auto"/>
          </w:tcPr>
          <w:p w14:paraId="1178F32D" w14:textId="77777777" w:rsidR="00241CA3" w:rsidRPr="00DD47DF" w:rsidRDefault="00241CA3" w:rsidP="00142A82">
            <w:pPr>
              <w:pStyle w:val="Tabulka"/>
              <w:jc w:val="left"/>
              <w:rPr>
                <w:rFonts w:cs="Calibri"/>
              </w:rPr>
            </w:pPr>
            <w:r w:rsidRPr="00DD47DF">
              <w:rPr>
                <w:rFonts w:cs="Calibri"/>
              </w:rPr>
              <w:t>SRUR</w:t>
            </w:r>
          </w:p>
        </w:tc>
        <w:tc>
          <w:tcPr>
            <w:tcW w:w="6836" w:type="dxa"/>
            <w:shd w:val="clear" w:color="auto" w:fill="auto"/>
          </w:tcPr>
          <w:p w14:paraId="6815D226" w14:textId="77777777" w:rsidR="00241CA3" w:rsidRPr="00DD47DF" w:rsidRDefault="00241CA3" w:rsidP="00142A82">
            <w:pPr>
              <w:pStyle w:val="Tabulka"/>
              <w:jc w:val="left"/>
              <w:rPr>
                <w:rFonts w:cs="Calibri"/>
              </w:rPr>
            </w:pPr>
            <w:r w:rsidRPr="00DD47DF">
              <w:rPr>
                <w:rFonts w:cs="Calibri"/>
              </w:rPr>
              <w:t>Strategický rámec udržitelného rozvoje ČR</w:t>
            </w:r>
          </w:p>
        </w:tc>
      </w:tr>
      <w:tr w:rsidR="00241CA3" w:rsidRPr="00DD47DF" w14:paraId="63A972AE" w14:textId="77777777">
        <w:tc>
          <w:tcPr>
            <w:tcW w:w="2376" w:type="dxa"/>
            <w:shd w:val="clear" w:color="auto" w:fill="auto"/>
          </w:tcPr>
          <w:p w14:paraId="35BB4096" w14:textId="77777777" w:rsidR="00241CA3" w:rsidRPr="00DD47DF" w:rsidRDefault="00241CA3" w:rsidP="00142A82">
            <w:pPr>
              <w:pStyle w:val="Tabulka"/>
              <w:jc w:val="left"/>
              <w:rPr>
                <w:rFonts w:cs="Calibri"/>
              </w:rPr>
            </w:pPr>
            <w:r w:rsidRPr="00DD47DF">
              <w:rPr>
                <w:rFonts w:cs="Calibri"/>
              </w:rPr>
              <w:t>SSR</w:t>
            </w:r>
          </w:p>
        </w:tc>
        <w:tc>
          <w:tcPr>
            <w:tcW w:w="6836" w:type="dxa"/>
            <w:shd w:val="clear" w:color="auto" w:fill="auto"/>
          </w:tcPr>
          <w:p w14:paraId="6BA99441" w14:textId="77777777" w:rsidR="00241CA3" w:rsidRPr="00DD47DF" w:rsidRDefault="00241CA3" w:rsidP="00142A82">
            <w:pPr>
              <w:pStyle w:val="Tabulka"/>
              <w:jc w:val="left"/>
              <w:rPr>
                <w:rFonts w:cs="Calibri"/>
              </w:rPr>
            </w:pPr>
            <w:r w:rsidRPr="00DD47DF">
              <w:rPr>
                <w:rFonts w:cs="Calibri"/>
              </w:rPr>
              <w:t>Společný strategický rámec</w:t>
            </w:r>
          </w:p>
        </w:tc>
      </w:tr>
      <w:tr w:rsidR="0037504E" w:rsidRPr="00DD47DF" w14:paraId="553A2D9D" w14:textId="77777777">
        <w:tc>
          <w:tcPr>
            <w:tcW w:w="2376" w:type="dxa"/>
            <w:shd w:val="clear" w:color="auto" w:fill="auto"/>
          </w:tcPr>
          <w:p w14:paraId="76A15ACB" w14:textId="77777777" w:rsidR="0037504E" w:rsidRPr="00DD47DF" w:rsidRDefault="0037504E" w:rsidP="00142A82">
            <w:pPr>
              <w:pStyle w:val="Tabulka"/>
              <w:jc w:val="left"/>
              <w:rPr>
                <w:rFonts w:cs="Calibri"/>
              </w:rPr>
            </w:pPr>
            <w:r w:rsidRPr="00DD47DF">
              <w:rPr>
                <w:rFonts w:cs="Calibri"/>
              </w:rPr>
              <w:t>SÚPM-SVČ</w:t>
            </w:r>
          </w:p>
        </w:tc>
        <w:tc>
          <w:tcPr>
            <w:tcW w:w="6836" w:type="dxa"/>
            <w:shd w:val="clear" w:color="auto" w:fill="auto"/>
          </w:tcPr>
          <w:p w14:paraId="272518EE" w14:textId="77777777" w:rsidR="0037504E" w:rsidRPr="00DD47DF" w:rsidRDefault="0037504E" w:rsidP="00142A82">
            <w:pPr>
              <w:pStyle w:val="Tabulka"/>
              <w:jc w:val="left"/>
              <w:rPr>
                <w:rFonts w:cs="Calibri"/>
              </w:rPr>
            </w:pPr>
            <w:r w:rsidRPr="00DD47DF">
              <w:rPr>
                <w:rFonts w:cs="Calibri"/>
              </w:rPr>
              <w:t>Společensky účelné pracovní místo zřízené uchazečem o zaměstnání za účelem výkonu samostatně výdělečné činnosti</w:t>
            </w:r>
          </w:p>
        </w:tc>
      </w:tr>
      <w:tr w:rsidR="00241CA3" w:rsidRPr="00DD47DF" w14:paraId="4876295D" w14:textId="77777777">
        <w:tc>
          <w:tcPr>
            <w:tcW w:w="2376" w:type="dxa"/>
            <w:shd w:val="clear" w:color="auto" w:fill="auto"/>
          </w:tcPr>
          <w:p w14:paraId="33F4C0FE" w14:textId="77777777" w:rsidR="00241CA3" w:rsidRPr="00DD47DF" w:rsidRDefault="00241CA3" w:rsidP="00142A82">
            <w:pPr>
              <w:pStyle w:val="Tabulka"/>
              <w:jc w:val="left"/>
              <w:rPr>
                <w:rFonts w:cs="Calibri"/>
              </w:rPr>
            </w:pPr>
            <w:r w:rsidRPr="00DD47DF">
              <w:rPr>
                <w:rFonts w:cs="Calibri"/>
              </w:rPr>
              <w:t>TA ČR</w:t>
            </w:r>
          </w:p>
        </w:tc>
        <w:tc>
          <w:tcPr>
            <w:tcW w:w="6836" w:type="dxa"/>
            <w:shd w:val="clear" w:color="auto" w:fill="auto"/>
          </w:tcPr>
          <w:p w14:paraId="4F9CABC3" w14:textId="77777777" w:rsidR="00241CA3" w:rsidRPr="00DD47DF" w:rsidRDefault="00241CA3" w:rsidP="00142A82">
            <w:pPr>
              <w:pStyle w:val="Tabulka"/>
              <w:jc w:val="left"/>
              <w:rPr>
                <w:rFonts w:cs="Calibri"/>
              </w:rPr>
            </w:pPr>
            <w:r w:rsidRPr="00DD47DF">
              <w:rPr>
                <w:rFonts w:cs="Calibri"/>
              </w:rPr>
              <w:t>Technologická agentura České republiky</w:t>
            </w:r>
          </w:p>
        </w:tc>
      </w:tr>
      <w:tr w:rsidR="00241CA3" w:rsidRPr="00DD47DF" w14:paraId="439F5DA4" w14:textId="77777777">
        <w:tc>
          <w:tcPr>
            <w:tcW w:w="2376" w:type="dxa"/>
            <w:shd w:val="clear" w:color="auto" w:fill="auto"/>
          </w:tcPr>
          <w:p w14:paraId="781DA03C" w14:textId="77777777" w:rsidR="00241CA3" w:rsidRPr="00DD47DF" w:rsidRDefault="00241CA3" w:rsidP="00142A82">
            <w:pPr>
              <w:pStyle w:val="Tabulka"/>
              <w:jc w:val="left"/>
              <w:rPr>
                <w:rFonts w:cs="Calibri"/>
              </w:rPr>
            </w:pPr>
            <w:r w:rsidRPr="00DD47DF">
              <w:rPr>
                <w:rFonts w:cs="Calibri"/>
              </w:rPr>
              <w:t>TC</w:t>
            </w:r>
          </w:p>
        </w:tc>
        <w:tc>
          <w:tcPr>
            <w:tcW w:w="6836" w:type="dxa"/>
            <w:shd w:val="clear" w:color="auto" w:fill="auto"/>
          </w:tcPr>
          <w:p w14:paraId="23991AA1" w14:textId="77777777" w:rsidR="00241CA3" w:rsidRPr="00DD47DF" w:rsidRDefault="00241CA3" w:rsidP="00142A82">
            <w:pPr>
              <w:pStyle w:val="Tabulka"/>
              <w:jc w:val="left"/>
              <w:rPr>
                <w:rFonts w:cs="Calibri"/>
              </w:rPr>
            </w:pPr>
            <w:r w:rsidRPr="00DD47DF">
              <w:rPr>
                <w:rFonts w:cs="Calibri"/>
              </w:rPr>
              <w:t>Tematický cíl</w:t>
            </w:r>
          </w:p>
        </w:tc>
      </w:tr>
      <w:tr w:rsidR="00241CA3" w:rsidRPr="00DD47DF" w14:paraId="67BA917F" w14:textId="77777777">
        <w:tc>
          <w:tcPr>
            <w:tcW w:w="2376" w:type="dxa"/>
            <w:shd w:val="clear" w:color="auto" w:fill="auto"/>
          </w:tcPr>
          <w:p w14:paraId="53D83D89" w14:textId="77777777" w:rsidR="00241CA3" w:rsidRPr="00DD47DF" w:rsidRDefault="00241CA3" w:rsidP="00142A82">
            <w:pPr>
              <w:pStyle w:val="Tabulka"/>
              <w:jc w:val="left"/>
              <w:rPr>
                <w:rFonts w:cs="Calibri"/>
              </w:rPr>
            </w:pPr>
            <w:r w:rsidRPr="00DD47DF">
              <w:rPr>
                <w:rFonts w:cs="Calibri"/>
              </w:rPr>
              <w:t>TC AV</w:t>
            </w:r>
          </w:p>
        </w:tc>
        <w:tc>
          <w:tcPr>
            <w:tcW w:w="6836" w:type="dxa"/>
            <w:shd w:val="clear" w:color="auto" w:fill="auto"/>
          </w:tcPr>
          <w:p w14:paraId="29BD8C42" w14:textId="77777777" w:rsidR="00241CA3" w:rsidRPr="00DD47DF" w:rsidRDefault="00241CA3" w:rsidP="00142A82">
            <w:pPr>
              <w:pStyle w:val="Tabulka"/>
              <w:jc w:val="left"/>
              <w:rPr>
                <w:rFonts w:cs="Calibri"/>
              </w:rPr>
            </w:pPr>
            <w:r w:rsidRPr="00DD47DF">
              <w:rPr>
                <w:rFonts w:cs="Calibri"/>
              </w:rPr>
              <w:t>Technologické centrum Akademie věd ČR</w:t>
            </w:r>
          </w:p>
        </w:tc>
      </w:tr>
      <w:tr w:rsidR="00241CA3" w:rsidRPr="00DD47DF" w14:paraId="4A29BE53" w14:textId="77777777">
        <w:tc>
          <w:tcPr>
            <w:tcW w:w="2376" w:type="dxa"/>
            <w:shd w:val="clear" w:color="auto" w:fill="auto"/>
          </w:tcPr>
          <w:p w14:paraId="7B6CA6F3" w14:textId="77777777" w:rsidR="00241CA3" w:rsidRPr="00DD47DF" w:rsidRDefault="00241CA3" w:rsidP="00142A82">
            <w:pPr>
              <w:pStyle w:val="Tabulka"/>
              <w:jc w:val="left"/>
              <w:rPr>
                <w:rFonts w:cs="Calibri"/>
              </w:rPr>
            </w:pPr>
            <w:r w:rsidRPr="00DD47DF">
              <w:rPr>
                <w:rFonts w:cs="Calibri"/>
              </w:rPr>
              <w:t>ÚOHS</w:t>
            </w:r>
          </w:p>
        </w:tc>
        <w:tc>
          <w:tcPr>
            <w:tcW w:w="6836" w:type="dxa"/>
            <w:shd w:val="clear" w:color="auto" w:fill="auto"/>
          </w:tcPr>
          <w:p w14:paraId="124DB51C" w14:textId="77777777" w:rsidR="00241CA3" w:rsidRPr="00DD47DF" w:rsidRDefault="00241CA3" w:rsidP="00142A82">
            <w:pPr>
              <w:pStyle w:val="Tabulka"/>
              <w:jc w:val="left"/>
              <w:rPr>
                <w:rFonts w:cs="Calibri"/>
              </w:rPr>
            </w:pPr>
            <w:r w:rsidRPr="00DD47DF">
              <w:rPr>
                <w:rFonts w:cs="Calibri"/>
              </w:rPr>
              <w:t>Úřad pro ochranu hospodářské soutěže</w:t>
            </w:r>
          </w:p>
        </w:tc>
      </w:tr>
      <w:tr w:rsidR="00E94BD9" w:rsidRPr="00DD47DF" w14:paraId="08342CEC" w14:textId="77777777">
        <w:tc>
          <w:tcPr>
            <w:tcW w:w="2376" w:type="dxa"/>
            <w:shd w:val="clear" w:color="auto" w:fill="auto"/>
          </w:tcPr>
          <w:p w14:paraId="3E77571C" w14:textId="77777777" w:rsidR="00E94BD9" w:rsidRPr="00DD47DF" w:rsidRDefault="00E94BD9" w:rsidP="00142A82">
            <w:pPr>
              <w:pStyle w:val="Tabulka"/>
              <w:jc w:val="left"/>
              <w:rPr>
                <w:rFonts w:cs="Calibri"/>
              </w:rPr>
            </w:pPr>
            <w:r w:rsidRPr="00DD47DF">
              <w:rPr>
                <w:rFonts w:cs="Calibri"/>
              </w:rPr>
              <w:t>ÚP ČP</w:t>
            </w:r>
          </w:p>
        </w:tc>
        <w:tc>
          <w:tcPr>
            <w:tcW w:w="6836" w:type="dxa"/>
            <w:shd w:val="clear" w:color="auto" w:fill="auto"/>
          </w:tcPr>
          <w:p w14:paraId="0355A8AA" w14:textId="77777777" w:rsidR="00E94BD9" w:rsidRPr="00DD47DF" w:rsidRDefault="00E94BD9" w:rsidP="00142A82">
            <w:pPr>
              <w:pStyle w:val="Tabulka"/>
              <w:jc w:val="left"/>
              <w:rPr>
                <w:rFonts w:cs="Calibri"/>
              </w:rPr>
            </w:pPr>
            <w:r w:rsidRPr="00DD47DF">
              <w:rPr>
                <w:rFonts w:cs="Calibri"/>
              </w:rPr>
              <w:t xml:space="preserve">Úřad práce </w:t>
            </w:r>
            <w:r w:rsidR="002D1B8D" w:rsidRPr="00DD47DF">
              <w:rPr>
                <w:rFonts w:cs="Calibri"/>
              </w:rPr>
              <w:t>Č</w:t>
            </w:r>
            <w:r w:rsidRPr="00DD47DF">
              <w:rPr>
                <w:rFonts w:cs="Calibri"/>
              </w:rPr>
              <w:t>eské republiky</w:t>
            </w:r>
          </w:p>
        </w:tc>
      </w:tr>
      <w:tr w:rsidR="00241CA3" w:rsidRPr="00DD47DF" w14:paraId="0B265F45" w14:textId="77777777">
        <w:tc>
          <w:tcPr>
            <w:tcW w:w="2376" w:type="dxa"/>
            <w:shd w:val="clear" w:color="auto" w:fill="auto"/>
          </w:tcPr>
          <w:p w14:paraId="54ABFED3" w14:textId="77777777" w:rsidR="00241CA3" w:rsidRPr="00DD47DF" w:rsidRDefault="00241CA3" w:rsidP="00142A82">
            <w:pPr>
              <w:pStyle w:val="Tabulka"/>
              <w:jc w:val="left"/>
              <w:rPr>
                <w:rFonts w:cs="Calibri"/>
              </w:rPr>
            </w:pPr>
            <w:r w:rsidRPr="00DD47DF">
              <w:rPr>
                <w:rFonts w:cs="Calibri"/>
              </w:rPr>
              <w:t>UV</w:t>
            </w:r>
          </w:p>
        </w:tc>
        <w:tc>
          <w:tcPr>
            <w:tcW w:w="6836" w:type="dxa"/>
            <w:shd w:val="clear" w:color="auto" w:fill="auto"/>
          </w:tcPr>
          <w:p w14:paraId="655BBB1E" w14:textId="77777777" w:rsidR="00241CA3" w:rsidRPr="00DD47DF" w:rsidRDefault="00241CA3" w:rsidP="00142A82">
            <w:pPr>
              <w:pStyle w:val="Tabulka"/>
              <w:jc w:val="left"/>
              <w:rPr>
                <w:rFonts w:cs="Calibri"/>
              </w:rPr>
            </w:pPr>
            <w:r w:rsidRPr="00DD47DF">
              <w:rPr>
                <w:rFonts w:cs="Calibri"/>
              </w:rPr>
              <w:t>Usnesení vlády ČR</w:t>
            </w:r>
          </w:p>
        </w:tc>
      </w:tr>
      <w:tr w:rsidR="00241CA3" w:rsidRPr="00DD47DF" w14:paraId="7E59A9F5" w14:textId="77777777">
        <w:tc>
          <w:tcPr>
            <w:tcW w:w="2376" w:type="dxa"/>
            <w:shd w:val="clear" w:color="auto" w:fill="auto"/>
          </w:tcPr>
          <w:p w14:paraId="5A2186B9" w14:textId="77777777" w:rsidR="00241CA3" w:rsidRPr="00DD47DF" w:rsidRDefault="00241CA3" w:rsidP="00142A82">
            <w:pPr>
              <w:pStyle w:val="Tabulka"/>
              <w:jc w:val="left"/>
              <w:rPr>
                <w:rFonts w:cs="Calibri"/>
              </w:rPr>
            </w:pPr>
            <w:r w:rsidRPr="00DD47DF">
              <w:rPr>
                <w:rFonts w:cs="Calibri"/>
              </w:rPr>
              <w:t>ÚV</w:t>
            </w:r>
            <w:r w:rsidR="00DC60E3" w:rsidRPr="00DD47DF">
              <w:rPr>
                <w:rFonts w:cs="Calibri"/>
              </w:rPr>
              <w:t xml:space="preserve"> ČR</w:t>
            </w:r>
          </w:p>
        </w:tc>
        <w:tc>
          <w:tcPr>
            <w:tcW w:w="6836" w:type="dxa"/>
            <w:shd w:val="clear" w:color="auto" w:fill="auto"/>
          </w:tcPr>
          <w:p w14:paraId="533A4AF0" w14:textId="77777777" w:rsidR="00241CA3" w:rsidRPr="00DD47DF" w:rsidRDefault="00241CA3" w:rsidP="00142A82">
            <w:pPr>
              <w:pStyle w:val="Tabulka"/>
              <w:jc w:val="left"/>
              <w:rPr>
                <w:rFonts w:cs="Calibri"/>
              </w:rPr>
            </w:pPr>
            <w:r w:rsidRPr="00DD47DF">
              <w:rPr>
                <w:rFonts w:cs="Calibri"/>
              </w:rPr>
              <w:t xml:space="preserve">Úřad vlády </w:t>
            </w:r>
            <w:r w:rsidR="0048329A" w:rsidRPr="00DD47DF">
              <w:rPr>
                <w:rFonts w:cs="Calibri"/>
              </w:rPr>
              <w:t>Č</w:t>
            </w:r>
            <w:r w:rsidR="00DC60E3" w:rsidRPr="00DD47DF">
              <w:rPr>
                <w:rFonts w:cs="Calibri"/>
              </w:rPr>
              <w:t>eské republiky</w:t>
            </w:r>
          </w:p>
        </w:tc>
      </w:tr>
      <w:tr w:rsidR="00241CA3" w:rsidRPr="00DD47DF" w14:paraId="35812A13" w14:textId="77777777">
        <w:tc>
          <w:tcPr>
            <w:tcW w:w="2376" w:type="dxa"/>
            <w:shd w:val="clear" w:color="auto" w:fill="auto"/>
          </w:tcPr>
          <w:p w14:paraId="50DA14DD" w14:textId="77777777" w:rsidR="00241CA3" w:rsidRPr="00DD47DF" w:rsidRDefault="00241CA3" w:rsidP="00142A82">
            <w:pPr>
              <w:pStyle w:val="Tabulka"/>
              <w:jc w:val="left"/>
              <w:rPr>
                <w:rFonts w:cs="Calibri"/>
              </w:rPr>
            </w:pPr>
            <w:r w:rsidRPr="00DD47DF">
              <w:rPr>
                <w:rFonts w:cs="Calibri"/>
              </w:rPr>
              <w:t>VaVaI</w:t>
            </w:r>
          </w:p>
        </w:tc>
        <w:tc>
          <w:tcPr>
            <w:tcW w:w="6836" w:type="dxa"/>
            <w:shd w:val="clear" w:color="auto" w:fill="auto"/>
          </w:tcPr>
          <w:p w14:paraId="595F3BAC" w14:textId="77777777" w:rsidR="00241CA3" w:rsidRPr="00DD47DF" w:rsidRDefault="00241CA3" w:rsidP="00142A82">
            <w:pPr>
              <w:pStyle w:val="Tabulka"/>
              <w:jc w:val="left"/>
              <w:rPr>
                <w:rFonts w:cs="Calibri"/>
              </w:rPr>
            </w:pPr>
            <w:r w:rsidRPr="00DD47DF">
              <w:rPr>
                <w:rFonts w:cs="Calibri"/>
              </w:rPr>
              <w:t>Výzkum, vývoj a inovace</w:t>
            </w:r>
          </w:p>
        </w:tc>
      </w:tr>
      <w:tr w:rsidR="00241CA3" w:rsidRPr="00DD47DF" w14:paraId="5480389C" w14:textId="77777777">
        <w:tc>
          <w:tcPr>
            <w:tcW w:w="2376" w:type="dxa"/>
            <w:shd w:val="clear" w:color="auto" w:fill="auto"/>
          </w:tcPr>
          <w:p w14:paraId="3737E6A8" w14:textId="77777777" w:rsidR="00241CA3" w:rsidRPr="00DD47DF" w:rsidRDefault="00241CA3" w:rsidP="00142A82">
            <w:pPr>
              <w:pStyle w:val="Tabulka"/>
              <w:jc w:val="left"/>
              <w:rPr>
                <w:rFonts w:cs="Calibri"/>
              </w:rPr>
            </w:pPr>
            <w:r w:rsidRPr="00DD47DF">
              <w:rPr>
                <w:rFonts w:cs="Calibri"/>
              </w:rPr>
              <w:t>VP</w:t>
            </w:r>
          </w:p>
        </w:tc>
        <w:tc>
          <w:tcPr>
            <w:tcW w:w="6836" w:type="dxa"/>
            <w:shd w:val="clear" w:color="auto" w:fill="auto"/>
          </w:tcPr>
          <w:p w14:paraId="76988701" w14:textId="77777777" w:rsidR="00241CA3" w:rsidRPr="00DD47DF" w:rsidRDefault="00241CA3" w:rsidP="00142A82">
            <w:pPr>
              <w:pStyle w:val="Tabulka"/>
              <w:jc w:val="left"/>
              <w:rPr>
                <w:rFonts w:cs="Calibri"/>
              </w:rPr>
            </w:pPr>
            <w:r w:rsidRPr="00DD47DF">
              <w:rPr>
                <w:rFonts w:cs="Calibri"/>
              </w:rPr>
              <w:t>Veřejná podpora</w:t>
            </w:r>
          </w:p>
        </w:tc>
      </w:tr>
      <w:tr w:rsidR="00414568" w:rsidRPr="00DD47DF" w14:paraId="5A2BBCF7" w14:textId="77777777">
        <w:tc>
          <w:tcPr>
            <w:tcW w:w="2376" w:type="dxa"/>
            <w:shd w:val="clear" w:color="auto" w:fill="auto"/>
          </w:tcPr>
          <w:p w14:paraId="56088D44" w14:textId="77777777" w:rsidR="009118D7" w:rsidRPr="00DD47DF" w:rsidRDefault="009118D7" w:rsidP="00142A82">
            <w:pPr>
              <w:pStyle w:val="Tabulka"/>
              <w:jc w:val="left"/>
              <w:rPr>
                <w:rFonts w:cs="Calibri"/>
              </w:rPr>
            </w:pPr>
            <w:r w:rsidRPr="00DD47DF">
              <w:rPr>
                <w:rFonts w:cs="Calibri"/>
              </w:rPr>
              <w:t>VŠE</w:t>
            </w:r>
          </w:p>
          <w:p w14:paraId="21204651" w14:textId="77777777" w:rsidR="00414568" w:rsidRPr="00DD47DF" w:rsidRDefault="00414568" w:rsidP="00142A82">
            <w:pPr>
              <w:pStyle w:val="Tabulka"/>
              <w:jc w:val="left"/>
              <w:rPr>
                <w:rFonts w:cs="Calibri"/>
              </w:rPr>
            </w:pPr>
            <w:r w:rsidRPr="00DD47DF">
              <w:rPr>
                <w:rFonts w:cs="Calibri"/>
              </w:rPr>
              <w:t>VTP</w:t>
            </w:r>
          </w:p>
        </w:tc>
        <w:tc>
          <w:tcPr>
            <w:tcW w:w="6836" w:type="dxa"/>
            <w:shd w:val="clear" w:color="auto" w:fill="auto"/>
          </w:tcPr>
          <w:p w14:paraId="6E365861" w14:textId="77777777" w:rsidR="009118D7" w:rsidRPr="00DD47DF" w:rsidRDefault="009118D7" w:rsidP="009118D7">
            <w:pPr>
              <w:pStyle w:val="Tabulka"/>
              <w:tabs>
                <w:tab w:val="left" w:pos="3388"/>
              </w:tabs>
              <w:jc w:val="left"/>
              <w:rPr>
                <w:rFonts w:cs="Calibri"/>
              </w:rPr>
            </w:pPr>
            <w:r w:rsidRPr="00DD47DF">
              <w:rPr>
                <w:rFonts w:cs="Calibri"/>
              </w:rPr>
              <w:t xml:space="preserve">Vysoká škola ekonomická </w:t>
            </w:r>
            <w:r w:rsidR="00120476" w:rsidRPr="00DD47DF">
              <w:rPr>
                <w:rFonts w:cs="Calibri"/>
              </w:rPr>
              <w:t xml:space="preserve">v </w:t>
            </w:r>
            <w:r w:rsidRPr="00DD47DF">
              <w:rPr>
                <w:rFonts w:cs="Calibri"/>
              </w:rPr>
              <w:t>Pra</w:t>
            </w:r>
            <w:r w:rsidR="00120476" w:rsidRPr="00DD47DF">
              <w:rPr>
                <w:rFonts w:cs="Calibri"/>
              </w:rPr>
              <w:t>ze</w:t>
            </w:r>
          </w:p>
          <w:p w14:paraId="35E981F7" w14:textId="77777777" w:rsidR="00414568" w:rsidRPr="00DD47DF" w:rsidRDefault="00414568" w:rsidP="00142A82">
            <w:pPr>
              <w:pStyle w:val="Tabulka"/>
              <w:jc w:val="left"/>
              <w:rPr>
                <w:rFonts w:cs="Calibri"/>
              </w:rPr>
            </w:pPr>
            <w:r w:rsidRPr="00DD47DF">
              <w:rPr>
                <w:rFonts w:cs="Calibri"/>
              </w:rPr>
              <w:t>Vědecko</w:t>
            </w:r>
            <w:r w:rsidR="0038384A" w:rsidRPr="00DD47DF">
              <w:rPr>
                <w:rFonts w:cs="Calibri"/>
              </w:rPr>
              <w:t>technický</w:t>
            </w:r>
            <w:r w:rsidRPr="00DD47DF">
              <w:rPr>
                <w:rFonts w:cs="Calibri"/>
              </w:rPr>
              <w:t xml:space="preserve"> park</w:t>
            </w:r>
          </w:p>
        </w:tc>
      </w:tr>
      <w:tr w:rsidR="00241CA3" w:rsidRPr="00DD47DF" w14:paraId="4AA9F6F1" w14:textId="77777777">
        <w:tc>
          <w:tcPr>
            <w:tcW w:w="2376" w:type="dxa"/>
            <w:shd w:val="clear" w:color="auto" w:fill="auto"/>
          </w:tcPr>
          <w:p w14:paraId="5AFD4092" w14:textId="77777777" w:rsidR="00241CA3" w:rsidRPr="00DD47DF" w:rsidRDefault="00241CA3" w:rsidP="00142A82">
            <w:pPr>
              <w:pStyle w:val="Tabulka"/>
              <w:jc w:val="left"/>
              <w:rPr>
                <w:rFonts w:cs="Calibri"/>
              </w:rPr>
            </w:pPr>
            <w:r w:rsidRPr="00DD47DF">
              <w:rPr>
                <w:rFonts w:cs="Calibri"/>
              </w:rPr>
              <w:t>VVI</w:t>
            </w:r>
          </w:p>
        </w:tc>
        <w:tc>
          <w:tcPr>
            <w:tcW w:w="6836" w:type="dxa"/>
            <w:shd w:val="clear" w:color="auto" w:fill="auto"/>
          </w:tcPr>
          <w:p w14:paraId="40A31002" w14:textId="77777777" w:rsidR="00241CA3" w:rsidRPr="00DD47DF" w:rsidRDefault="00241CA3" w:rsidP="00142A82">
            <w:pPr>
              <w:pStyle w:val="Tabulka"/>
              <w:jc w:val="left"/>
              <w:rPr>
                <w:rFonts w:cs="Calibri"/>
              </w:rPr>
            </w:pPr>
            <w:r w:rsidRPr="00DD47DF">
              <w:rPr>
                <w:rStyle w:val="st1"/>
                <w:szCs w:val="24"/>
              </w:rPr>
              <w:t xml:space="preserve">Veřejná výzkumná </w:t>
            </w:r>
            <w:r w:rsidRPr="00DD47DF">
              <w:rPr>
                <w:rStyle w:val="Zdraznn"/>
                <w:b w:val="0"/>
                <w:szCs w:val="24"/>
              </w:rPr>
              <w:t>instituce</w:t>
            </w:r>
          </w:p>
        </w:tc>
      </w:tr>
      <w:tr w:rsidR="0046425C" w:rsidRPr="00DD47DF" w14:paraId="2A20E599" w14:textId="77777777">
        <w:tc>
          <w:tcPr>
            <w:tcW w:w="2376" w:type="dxa"/>
            <w:shd w:val="clear" w:color="auto" w:fill="auto"/>
          </w:tcPr>
          <w:p w14:paraId="757349B3" w14:textId="77777777" w:rsidR="0046425C" w:rsidRPr="00DD47DF" w:rsidRDefault="0046425C" w:rsidP="00142A82">
            <w:pPr>
              <w:pStyle w:val="Tabulka"/>
              <w:jc w:val="left"/>
              <w:rPr>
                <w:rFonts w:cs="Calibri"/>
              </w:rPr>
            </w:pPr>
            <w:r w:rsidRPr="00DD47DF">
              <w:rPr>
                <w:rFonts w:cs="Calibri"/>
              </w:rPr>
              <w:t>ZS</w:t>
            </w:r>
          </w:p>
        </w:tc>
        <w:tc>
          <w:tcPr>
            <w:tcW w:w="6836" w:type="dxa"/>
            <w:shd w:val="clear" w:color="auto" w:fill="auto"/>
          </w:tcPr>
          <w:p w14:paraId="62DF432C" w14:textId="77777777" w:rsidR="0046425C" w:rsidRPr="00DD47DF" w:rsidRDefault="0046425C" w:rsidP="00142A82">
            <w:pPr>
              <w:pStyle w:val="Tabulka"/>
              <w:jc w:val="left"/>
              <w:rPr>
                <w:rStyle w:val="st1"/>
                <w:szCs w:val="24"/>
              </w:rPr>
            </w:pPr>
            <w:r w:rsidRPr="00DD47DF">
              <w:rPr>
                <w:rStyle w:val="st1"/>
                <w:szCs w:val="24"/>
              </w:rPr>
              <w:t>Zprostředkující subjekt</w:t>
            </w:r>
          </w:p>
        </w:tc>
      </w:tr>
    </w:tbl>
    <w:p w14:paraId="7BE1D78E" w14:textId="77777777" w:rsidR="00D44AFC" w:rsidRPr="00DD47DF" w:rsidRDefault="00D44AFC" w:rsidP="00D44AFC">
      <w:pPr>
        <w:rPr>
          <w:rFonts w:ascii="Calibri" w:hAnsi="Calibri" w:cs="Calibri"/>
        </w:rPr>
      </w:pPr>
      <w:r w:rsidRPr="00DD47DF">
        <w:rPr>
          <w:rFonts w:ascii="Calibri" w:hAnsi="Calibri" w:cs="Calibri"/>
        </w:rPr>
        <w:br w:type="page"/>
      </w:r>
    </w:p>
    <w:p w14:paraId="22174D96" w14:textId="77777777" w:rsidR="0029795B" w:rsidRPr="00DD47DF" w:rsidRDefault="00F203B2" w:rsidP="00F203B2">
      <w:pPr>
        <w:pStyle w:val="Nadpis1"/>
      </w:pPr>
      <w:bookmarkStart w:id="0" w:name="_Toc506884970"/>
      <w:r w:rsidRPr="00DD47DF">
        <w:lastRenderedPageBreak/>
        <w:t>Strategie, na jejímž základě bude operační program přispívat ke strategii Unie pro inteligentní a udržitelný růst podporující začlenění a k dosažení hospodářské, sociální a územní soudržnosti</w:t>
      </w:r>
      <w:bookmarkEnd w:id="0"/>
    </w:p>
    <w:p w14:paraId="730835A7" w14:textId="77777777" w:rsidR="00394685" w:rsidRPr="00DD47DF" w:rsidRDefault="00F203B2" w:rsidP="00F203B2">
      <w:pPr>
        <w:pStyle w:val="Nadpis2"/>
        <w:rPr>
          <w:rFonts w:cs="Calibri"/>
        </w:rPr>
      </w:pPr>
      <w:bookmarkStart w:id="1" w:name="_Toc506884971"/>
      <w:r w:rsidRPr="00DD47DF">
        <w:rPr>
          <w:rFonts w:cs="Calibri"/>
        </w:rPr>
        <w:t>Strategie, na jejímž základě bude operační program přispívat ke strategii Unie pro inteligentní a udržitelný růst podporující začlenění a k dosažení hospodářské, sociální a územní soudržnosti</w:t>
      </w:r>
      <w:bookmarkEnd w:id="1"/>
      <w:r w:rsidR="00394685" w:rsidRPr="00DD47DF">
        <w:rPr>
          <w:rFonts w:cs="Calibri"/>
        </w:rPr>
        <w:t xml:space="preserve"> </w:t>
      </w:r>
    </w:p>
    <w:p w14:paraId="1CFF306C" w14:textId="77777777" w:rsidR="00606523" w:rsidRPr="00DD47DF" w:rsidRDefault="00606523" w:rsidP="00405487">
      <w:pPr>
        <w:pStyle w:val="Nadpis3"/>
        <w:rPr>
          <w:rFonts w:cs="Calibri"/>
        </w:rPr>
      </w:pPr>
      <w:bookmarkStart w:id="2" w:name="_Toc506884972"/>
      <w:r w:rsidRPr="00DD47DF">
        <w:rPr>
          <w:rFonts w:cs="Calibri"/>
        </w:rPr>
        <w:t>Popis strategie programu, pokud jde o jeho příspěvek k plnění strategie Unie pro inteligentní a udržitelný růst podporující začlenění a k dosažení hospodářské, sociální a územní soudržnosti.</w:t>
      </w:r>
      <w:bookmarkEnd w:id="2"/>
    </w:p>
    <w:p w14:paraId="04F15051" w14:textId="77777777" w:rsidR="0040363A" w:rsidRPr="00DD47DF" w:rsidRDefault="0040363A" w:rsidP="00405487">
      <w:pPr>
        <w:pStyle w:val="Standardntext"/>
      </w:pPr>
      <w:r w:rsidRPr="00DD47DF">
        <w:rPr>
          <w:b/>
        </w:rPr>
        <w:t>Operační program Podnikání a inovace pro konkurenceschopnost 2014 - 2020</w:t>
      </w:r>
      <w:r w:rsidRPr="00DD47DF">
        <w:t xml:space="preserve"> („Operační program“ nebo „OP PIK“) je dokument vypracovaný Řídícím orgánem OP PIK (Ministerstvem průmyslu a obchodu, MPO) ve spolupráci s partnery, který stanovuje cíle a priority pro efektivní využívání Evropského fondu pro regionální rozvoj („EFRR“) za účelem dosažení konkurenceschopné a udržitelné ekonomiky založené na znalostech a inovacích. OP PIK je realizován v rámci cíle Investice pro růst a zaměstnanost politiky soudržnosti EU. OP PIK byl zpracován v souladu s čl. 27 obecného nařízení</w:t>
      </w:r>
      <w:r w:rsidRPr="00DD47DF">
        <w:rPr>
          <w:rStyle w:val="Znakapoznpodarou"/>
        </w:rPr>
        <w:footnoteReference w:id="2"/>
      </w:r>
      <w:r w:rsidRPr="00DD47DF">
        <w:t>, který stanovuje jeho obsah, a zároveň v souladu se šablonami Evropské komise („Komise“ nebo „EK“)</w:t>
      </w:r>
      <w:r w:rsidRPr="00DD47DF">
        <w:rPr>
          <w:rStyle w:val="Znakapoznpodarou"/>
        </w:rPr>
        <w:footnoteReference w:id="3"/>
      </w:r>
      <w:r w:rsidRPr="00DD47DF">
        <w:t xml:space="preserve">. V rámci uvedeného cíle bude OP PIK přispívat k naplňování tematických cílů 1 až 4 a tematického cíle 7 definovaných v čl. 9 návrhu obecného nařízení. </w:t>
      </w:r>
    </w:p>
    <w:p w14:paraId="38A2E5EE" w14:textId="77777777" w:rsidR="0040363A" w:rsidRPr="00DD47DF" w:rsidRDefault="0040363A" w:rsidP="0040363A">
      <w:pPr>
        <w:pStyle w:val="Standardntext"/>
      </w:pPr>
      <w:r w:rsidRPr="00DD47DF">
        <w:t xml:space="preserve">Operační program stanovuje strategii, na základě které bude přispívat ke Strategii Unie pro inteligentní a udržitelný růst podporující začlenění </w:t>
      </w:r>
      <w:r w:rsidRPr="00DD47DF">
        <w:rPr>
          <w:bCs/>
        </w:rPr>
        <w:t>(„</w:t>
      </w:r>
      <w:r w:rsidRPr="00DD47DF">
        <w:t>Strategie Evropa 2020“ nebo „EU 2020“)</w:t>
      </w:r>
      <w:r w:rsidRPr="00DD47DF">
        <w:rPr>
          <w:rStyle w:val="Znakapoznpodarou"/>
        </w:rPr>
        <w:footnoteReference w:id="4"/>
      </w:r>
      <w:r w:rsidRPr="00DD47DF">
        <w:t>, a která je v souladu s ustanoveními obsaženými v obecném nařízení a nařízení o EFRR</w:t>
      </w:r>
      <w:r w:rsidRPr="00DD47DF">
        <w:rPr>
          <w:rStyle w:val="Znakapoznpodarou"/>
        </w:rPr>
        <w:footnoteReference w:id="5"/>
      </w:r>
      <w:r w:rsidRPr="00DD47DF">
        <w:t xml:space="preserve"> a s obsahem Dohody o partnerství pro programové období 2014-2020 („Dohoda o partnerství“ nebo „Dohoda“).</w:t>
      </w:r>
    </w:p>
    <w:p w14:paraId="5C5B9F45" w14:textId="77777777" w:rsidR="009759AE" w:rsidRPr="00DD47DF" w:rsidRDefault="0040363A" w:rsidP="0040363A">
      <w:pPr>
        <w:pStyle w:val="Standardntext"/>
      </w:pPr>
      <w:r w:rsidRPr="00DD47DF">
        <w:t>Strategie OP PIK je založena na dvou pilířích, které se vzájemně protínají. Jedním jsou společné myšlenky a cíle vtělené do Strategie Evropa 2020 a druhým jsou priority a potřeby ČR identifikované ve strategických dokumentech na národní i evropské úrovni. Vazba OP PIK na klíčové strategické dokumenty je obsažena v Nepovinné příloze č. 2.</w:t>
      </w:r>
    </w:p>
    <w:p w14:paraId="41FA02AB" w14:textId="77777777" w:rsidR="0040363A" w:rsidRPr="00DD47DF" w:rsidRDefault="0040363A" w:rsidP="0040363A">
      <w:pPr>
        <w:pStyle w:val="Standardntext"/>
      </w:pPr>
      <w:r w:rsidRPr="00DD47DF">
        <w:t>Při stanovování strategie OP PIK byly zohledněny zkušenosti s přípravou a implementací operačních programů dvou předchozích programových období, OP Průmysl a podnikání 2004-</w:t>
      </w:r>
      <w:r w:rsidRPr="00DD47DF">
        <w:lastRenderedPageBreak/>
        <w:t>2006 a OP Podnikání a inovace 2007-2013</w:t>
      </w:r>
      <w:r w:rsidRPr="00DD47DF">
        <w:rPr>
          <w:rStyle w:val="Znakapoznpodarou"/>
        </w:rPr>
        <w:footnoteReference w:id="6"/>
      </w:r>
      <w:r w:rsidRPr="00DD47DF">
        <w:t>. Důležitý prvek představovaly diskuse s partnery, kteří se v rámci principu partnerství podíleli na přípravě Operačního programu.</w:t>
      </w:r>
    </w:p>
    <w:p w14:paraId="2F45237A" w14:textId="77777777" w:rsidR="000C1224" w:rsidRPr="00DD47DF" w:rsidRDefault="0040363A" w:rsidP="0040363A">
      <w:pPr>
        <w:pStyle w:val="Standardntext"/>
      </w:pPr>
      <w:r w:rsidRPr="00DD47DF">
        <w:t>Vysokou přidanou hodnotu z hlediska kvality programování přineslo předběžné hodnocení OP PIK, v rámci něhož byly posuzovány identifikované potřeby, navržená strategie a cíle Operačního programu, míra zohlednění priorit EU, systém přidělování a využití rozpočtových zdrojů, kvalita navržených postupů pro implementaci, monitorování, hodnocení a řízení Operačního programu či synergické efekty jednotlivých specifických cílů OP PIK v souladu s čl. 55 bodem 3 obecného nařízení. Zpráva z hodnocení a jeho shrnutí</w:t>
      </w:r>
      <w:r w:rsidRPr="00DD47DF">
        <w:rPr>
          <w:rStyle w:val="Znakapoznpodarou"/>
        </w:rPr>
        <w:footnoteReference w:id="7"/>
      </w:r>
      <w:r w:rsidRPr="00DD47DF">
        <w:t>, které je povinnou přílohou Operačního programu, je obsaženo v Příloze č. I.</w:t>
      </w:r>
    </w:p>
    <w:p w14:paraId="0A6ED27F" w14:textId="2D6B2619" w:rsidR="00E85A21" w:rsidRPr="00DD47DF" w:rsidRDefault="0040363A" w:rsidP="006707E9">
      <w:pPr>
        <w:spacing w:after="120"/>
        <w:jc w:val="both"/>
        <w:rPr>
          <w:sz w:val="24"/>
          <w:szCs w:val="24"/>
        </w:rPr>
      </w:pPr>
      <w:r w:rsidRPr="00DD47DF">
        <w:rPr>
          <w:sz w:val="24"/>
          <w:szCs w:val="24"/>
        </w:rPr>
        <w:t>OP PIK bude významně preferovat podporu malých a středních podniků („MSP“), které tvoří rozhodující podíl podnikatelských subjektů v ČR. Nicméně v oblasti přímých podpor investic bude v souladu s evropskou legislativou</w:t>
      </w:r>
      <w:r w:rsidRPr="00DD47DF">
        <w:rPr>
          <w:rStyle w:val="Znakapoznpodarou"/>
          <w:sz w:val="24"/>
          <w:szCs w:val="24"/>
        </w:rPr>
        <w:footnoteReference w:id="8"/>
      </w:r>
      <w:r w:rsidRPr="00DD47DF">
        <w:rPr>
          <w:sz w:val="24"/>
          <w:szCs w:val="24"/>
        </w:rPr>
        <w:t xml:space="preserve"> zohledňovat v PO 1, PO 3 a v PO 4 potřeby domácích firem nesplňujících evropskou definici MSP a jejich potenciál navázat na sebe MSP v rámci subdodavatelských vztahů. Při udělení podpory těmto podnikům budou striktně posuzovány vedlejší přínosy pro MSP a zároveň bude dbáno, aby podpora větším firmám neohrozila podstatně pracovní místa daného subjektu vytvořená dříve v jiných členských státech EU. </w:t>
      </w:r>
      <w:r w:rsidR="00563D07" w:rsidRPr="00563D07">
        <w:rPr>
          <w:sz w:val="24"/>
          <w:szCs w:val="24"/>
        </w:rPr>
        <w:t>Dotační podpora těchto firem nesmí překročit 20% plánované alokace pro PO 1, 40% plánované alokace pro PO 3 a 20% plánovaného přídělu pro PO 4 (kromě SO 4.1). Podíl podpory poskytované velkým podnikům bude sledován v rámci monitorování implementace programu. U projektů přímé spolupráce těchto podniků s malými a středními podniky a projektů, které jsou stoprocentně zaměřeny na životní prostředí (tj. s kódem intervence 065), spadajících pod SC 1.1, a dále projektů v rámci SC 1.2, SC 3.3, 3.5, 3.6 a 4.1 nebude podíl těchto firem omezen ani zvlášť sledován.</w:t>
      </w:r>
    </w:p>
    <w:p w14:paraId="588DF713" w14:textId="77777777" w:rsidR="007A0BCD" w:rsidRPr="00DD47DF" w:rsidRDefault="00BD427D" w:rsidP="00D20E3C">
      <w:pPr>
        <w:pStyle w:val="Standardntext"/>
      </w:pPr>
      <w:r w:rsidRPr="00DD47DF">
        <w:t>O</w:t>
      </w:r>
      <w:r w:rsidR="0040363A" w:rsidRPr="00DD47DF">
        <w:t>P PIK</w:t>
      </w:r>
      <w:r w:rsidRPr="00DD47DF">
        <w:t xml:space="preserve"> </w:t>
      </w:r>
      <w:r w:rsidR="00E85A21" w:rsidRPr="00DD47DF">
        <w:t xml:space="preserve">stojí na </w:t>
      </w:r>
      <w:r w:rsidR="00221FD6" w:rsidRPr="00DD47DF">
        <w:t>následujících</w:t>
      </w:r>
      <w:r w:rsidR="00E85A21" w:rsidRPr="00DD47DF">
        <w:t xml:space="preserve"> vzájemně se doplňujících prioritách, které přispívají k naplnění </w:t>
      </w:r>
      <w:r w:rsidR="0039342A" w:rsidRPr="00DD47DF">
        <w:t xml:space="preserve">výše formulovaného </w:t>
      </w:r>
      <w:r w:rsidR="00E85A21" w:rsidRPr="00DD47DF">
        <w:t>cíle</w:t>
      </w:r>
      <w:r w:rsidR="007A0BCD" w:rsidRPr="00DD47DF">
        <w:t>:</w:t>
      </w:r>
    </w:p>
    <w:p w14:paraId="594C82CC" w14:textId="77777777" w:rsidR="007A0BCD" w:rsidRPr="00DD47DF" w:rsidRDefault="007A0BCD" w:rsidP="002908E2">
      <w:pPr>
        <w:pStyle w:val="Standardntext"/>
        <w:numPr>
          <w:ilvl w:val="0"/>
          <w:numId w:val="33"/>
        </w:numPr>
      </w:pPr>
      <w:r w:rsidRPr="00DD47DF">
        <w:t>Z</w:t>
      </w:r>
      <w:r w:rsidR="00BD427D" w:rsidRPr="00DD47DF">
        <w:t xml:space="preserve">výšení počtu </w:t>
      </w:r>
      <w:r w:rsidR="005821F5" w:rsidRPr="00DD47DF">
        <w:t>podniků</w:t>
      </w:r>
      <w:r w:rsidR="00BD427D" w:rsidRPr="00DD47DF">
        <w:t xml:space="preserve"> </w:t>
      </w:r>
      <w:r w:rsidR="009F527A" w:rsidRPr="00DD47DF">
        <w:rPr>
          <w:bCs/>
        </w:rPr>
        <w:t>s potenciálem posunout</w:t>
      </w:r>
      <w:r w:rsidR="00BD427D" w:rsidRPr="00DD47DF">
        <w:t xml:space="preserve"> technologickou hranici ve svém oboru</w:t>
      </w:r>
      <w:r w:rsidR="00BD427D" w:rsidRPr="00DD47DF">
        <w:rPr>
          <w:rFonts w:eastAsia="Calibri"/>
        </w:rPr>
        <w:t>, přičemž důraz</w:t>
      </w:r>
      <w:r w:rsidR="00BD427D" w:rsidRPr="00DD47DF">
        <w:t xml:space="preserve"> bude kladen na rozvoj podnikových výzkumných, vývojových a inovačních kapacit a jejich </w:t>
      </w:r>
      <w:r w:rsidRPr="00DD47DF">
        <w:t>propojení s okolním prostředím;</w:t>
      </w:r>
    </w:p>
    <w:p w14:paraId="67429F5A" w14:textId="77777777" w:rsidR="007A0BCD" w:rsidRPr="00DD47DF" w:rsidRDefault="00BD427D" w:rsidP="002908E2">
      <w:pPr>
        <w:pStyle w:val="Standardntext"/>
        <w:numPr>
          <w:ilvl w:val="0"/>
          <w:numId w:val="33"/>
        </w:numPr>
      </w:pPr>
      <w:r w:rsidRPr="00DD47DF">
        <w:t xml:space="preserve">Rozvoj podnikání </w:t>
      </w:r>
      <w:r w:rsidR="004D45D3" w:rsidRPr="00DD47DF">
        <w:t>podporou projektů inovací nižších řádů</w:t>
      </w:r>
      <w:r w:rsidR="004D45D3" w:rsidRPr="00DD47DF">
        <w:rPr>
          <w:vertAlign w:val="superscript"/>
        </w:rPr>
        <w:footnoteReference w:id="9"/>
      </w:r>
      <w:r w:rsidR="004D45D3" w:rsidRPr="00DD47DF">
        <w:t>, tzn. modernizačních a rozvojových projektů zaměřených</w:t>
      </w:r>
      <w:r w:rsidR="004D45D3" w:rsidRPr="00DD47DF" w:rsidDel="004D45D3">
        <w:t xml:space="preserve"> </w:t>
      </w:r>
      <w:r w:rsidRPr="00DD47DF">
        <w:t xml:space="preserve">zejména na podporu realizace nových podnikatelských záměrů, včetně rozvoje služeb vedoucích ke zvýšení konkurenční výhody jednotlivých </w:t>
      </w:r>
      <w:r w:rsidR="005821F5" w:rsidRPr="00DD47DF">
        <w:t>podniků</w:t>
      </w:r>
      <w:r w:rsidR="007A0BCD" w:rsidRPr="00DD47DF">
        <w:t xml:space="preserve"> v mezinárodním prostředí;</w:t>
      </w:r>
    </w:p>
    <w:p w14:paraId="01E83855" w14:textId="77777777" w:rsidR="007A0BCD" w:rsidRPr="00DD47DF" w:rsidRDefault="00BD427D" w:rsidP="002908E2">
      <w:pPr>
        <w:pStyle w:val="Standardntext"/>
        <w:numPr>
          <w:ilvl w:val="0"/>
          <w:numId w:val="33"/>
        </w:numPr>
      </w:pPr>
      <w:r w:rsidRPr="00DD47DF">
        <w:t>Posun k energeticky účinnému, nízkouhlíkovému hospodářství spočívající především ve zvyšování energetické účinnosti podnikatelského sektoru, využívání obnovitelných zdrojů energie, modernizaci energetické infrastruktury a zavádění nových technologií v oblasti nakládán</w:t>
      </w:r>
      <w:r w:rsidR="007A0BCD" w:rsidRPr="00DD47DF">
        <w:t>í energií a druhotných surovin;</w:t>
      </w:r>
    </w:p>
    <w:p w14:paraId="44C5D94A" w14:textId="77777777" w:rsidR="00BD427D" w:rsidRPr="00DD47DF" w:rsidRDefault="00BD427D" w:rsidP="002908E2">
      <w:pPr>
        <w:pStyle w:val="Standardntext"/>
        <w:numPr>
          <w:ilvl w:val="0"/>
          <w:numId w:val="33"/>
        </w:numPr>
      </w:pPr>
      <w:r w:rsidRPr="00DD47DF">
        <w:lastRenderedPageBreak/>
        <w:t>Usnadnění rozvoje podnikání, služeb a přístupu ke službám státu prostřednictvím vysokorychlostního přístupu k internetu a širší nabídkou služeb informačních a komunikačních technologií („ICT“)</w:t>
      </w:r>
      <w:r w:rsidRPr="00DD47DF">
        <w:rPr>
          <w:rFonts w:eastAsia="Calibri"/>
        </w:rPr>
        <w:t>, neboť</w:t>
      </w:r>
      <w:r w:rsidRPr="00DD47DF">
        <w:t xml:space="preserve"> konkurenceschopnost informační společnosti je založena právě na efektivním využívání moderních služeb ICT.</w:t>
      </w:r>
    </w:p>
    <w:p w14:paraId="752DBF81" w14:textId="77777777" w:rsidR="00B1783A" w:rsidRPr="00DD47DF" w:rsidRDefault="00221FD6" w:rsidP="00D20E3C">
      <w:pPr>
        <w:pStyle w:val="Standardntext"/>
      </w:pPr>
      <w:r w:rsidRPr="00DD47DF">
        <w:t>Tyto</w:t>
      </w:r>
      <w:r w:rsidR="00B1783A" w:rsidRPr="00DD47DF">
        <w:t xml:space="preserve"> priority</w:t>
      </w:r>
      <w:r w:rsidRPr="00DD47DF">
        <w:t xml:space="preserve"> </w:t>
      </w:r>
      <w:r w:rsidR="0040363A" w:rsidRPr="00DD47DF">
        <w:t>OP PIK</w:t>
      </w:r>
      <w:r w:rsidR="00B1783A" w:rsidRPr="00DD47DF">
        <w:t xml:space="preserve"> jsou reflexí </w:t>
      </w:r>
      <w:r w:rsidRPr="00DD47DF">
        <w:t xml:space="preserve">čtyř ze sedmi </w:t>
      </w:r>
      <w:r w:rsidR="00B1783A" w:rsidRPr="00DD47DF">
        <w:t xml:space="preserve">stěžejních </w:t>
      </w:r>
      <w:r w:rsidR="00AF04F5" w:rsidRPr="00DD47DF">
        <w:t>iniciativ</w:t>
      </w:r>
      <w:r w:rsidR="00B1783A" w:rsidRPr="00DD47DF">
        <w:t xml:space="preserve"> EU 2020</w:t>
      </w:r>
      <w:r w:rsidRPr="00DD47DF">
        <w:t>:</w:t>
      </w:r>
    </w:p>
    <w:p w14:paraId="77189D9D" w14:textId="77777777" w:rsidR="00221FD6" w:rsidRPr="00DD47DF" w:rsidRDefault="00221FD6" w:rsidP="002908E2">
      <w:pPr>
        <w:pStyle w:val="Standardntext"/>
        <w:numPr>
          <w:ilvl w:val="0"/>
          <w:numId w:val="34"/>
        </w:numPr>
      </w:pPr>
      <w:r w:rsidRPr="00DD47DF">
        <w:t>„Inovace v Unii“ spočívající ve zlepšení rámcových podmínek a přístupu k financování výzkumu a inovací;</w:t>
      </w:r>
    </w:p>
    <w:p w14:paraId="066383A7" w14:textId="77777777" w:rsidR="00221FD6" w:rsidRPr="00DD47DF" w:rsidRDefault="00221FD6" w:rsidP="002908E2">
      <w:pPr>
        <w:pStyle w:val="Standardntext"/>
        <w:numPr>
          <w:ilvl w:val="0"/>
          <w:numId w:val="34"/>
        </w:numPr>
      </w:pPr>
      <w:r w:rsidRPr="00DD47DF">
        <w:t xml:space="preserve">„Průmyslová politika pro éru globalizace“ </w:t>
      </w:r>
      <w:r w:rsidR="00E478A8" w:rsidRPr="00DD47DF">
        <w:t>orientující se na</w:t>
      </w:r>
      <w:r w:rsidRPr="00DD47DF">
        <w:t xml:space="preserve"> zlepšení podnikatelského prostředí, zejména</w:t>
      </w:r>
      <w:r w:rsidR="00E478A8" w:rsidRPr="00DD47DF">
        <w:t xml:space="preserve"> pro </w:t>
      </w:r>
      <w:r w:rsidR="0040363A" w:rsidRPr="00DD47DF">
        <w:t>MSP</w:t>
      </w:r>
      <w:r w:rsidR="00E478A8" w:rsidRPr="00DD47DF">
        <w:t>;</w:t>
      </w:r>
    </w:p>
    <w:p w14:paraId="32BE5BA3" w14:textId="77777777" w:rsidR="00221FD6" w:rsidRPr="00DD47DF" w:rsidRDefault="00221FD6" w:rsidP="002908E2">
      <w:pPr>
        <w:pStyle w:val="Standardntext"/>
        <w:numPr>
          <w:ilvl w:val="0"/>
          <w:numId w:val="34"/>
        </w:numPr>
      </w:pPr>
      <w:r w:rsidRPr="00DD47DF">
        <w:t>„Evropa méně náročná na zdroje“ podporující přechod na nízkouhlíkovou ekonomiku;</w:t>
      </w:r>
    </w:p>
    <w:p w14:paraId="4BCE3802" w14:textId="77777777" w:rsidR="00221FD6" w:rsidRPr="00DD47DF" w:rsidRDefault="00221FD6" w:rsidP="002908E2">
      <w:pPr>
        <w:pStyle w:val="Standardntext"/>
        <w:numPr>
          <w:ilvl w:val="0"/>
          <w:numId w:val="34"/>
        </w:numPr>
      </w:pPr>
      <w:r w:rsidRPr="00DD47DF">
        <w:t xml:space="preserve">„Digitální </w:t>
      </w:r>
      <w:r w:rsidR="001B092B" w:rsidRPr="00DD47DF">
        <w:t>agenda</w:t>
      </w:r>
      <w:r w:rsidRPr="00DD47DF">
        <w:t xml:space="preserve"> pro Evropu“ zaměřující se na urychlení rozvoje vysokorychlostního internetu a využití jednotného digitálního trhu domácnostmi a podniky.</w:t>
      </w:r>
    </w:p>
    <w:p w14:paraId="41477C9E" w14:textId="77777777" w:rsidR="005066D6" w:rsidRPr="00DD47DF" w:rsidRDefault="005066D6" w:rsidP="005066D6">
      <w:pPr>
        <w:pStyle w:val="Standardntext"/>
      </w:pPr>
      <w:r w:rsidRPr="00DD47DF">
        <w:t>Základem Strategie Evropa 2020 je pět měřitelných cílů, (i) zvýšit zaměstnanost v kategorii 20–64 let na 75 %, (ii) investovat do výzkumu a vývoje 3 % HDP, (iii) v oblasti klimatu a energie by mělo být dosaženo cílů „20-20-20“ (tzn. zvýšit energetickou účinnost o 20 %; zvýšit podíl obnovitelných zdrojů energie v konečné spotřebě energie na 20 %, snížit emise skleníkových plynů o 20 %), (iv) snížit podíl dětí, které předčasně ukončí školní docházku, pod hranici 10 % a zvýšit dosažení terciární úrovně vzdělávání o nejméně 40 % u mladší generace, (v) snížit počet osob ohrožených chudobou o 20 milionů. Zde lze spatřovat hlavní přínos OP PIK především v případě cíle (ii) a (iii) prostřednictvím implementace prioritní osy 1, resp. prioritní osy 3. Z dlouhodobého hlediska přispěje OP PIK prostřednictvím růstu konkurenceschopnosti firem a rozvoje podnikání rovněž k naplňování cíle (i).</w:t>
      </w:r>
    </w:p>
    <w:p w14:paraId="6E8495B5" w14:textId="77777777" w:rsidR="006E695D" w:rsidRPr="00DD47DF" w:rsidRDefault="006E695D" w:rsidP="00A86EB3">
      <w:pPr>
        <w:pStyle w:val="Modrnadpis"/>
        <w:keepNext w:val="0"/>
        <w:keepLines w:val="0"/>
      </w:pPr>
      <w:r w:rsidRPr="00DD47DF">
        <w:t>Tematická koncentrace a prioritní osy O</w:t>
      </w:r>
      <w:r w:rsidR="0040363A" w:rsidRPr="00DD47DF">
        <w:t>P PIK</w:t>
      </w:r>
    </w:p>
    <w:p w14:paraId="6F703890" w14:textId="77777777" w:rsidR="0040363A" w:rsidRPr="00DD47DF" w:rsidRDefault="0040363A" w:rsidP="0040363A">
      <w:pPr>
        <w:pStyle w:val="Standardntext"/>
      </w:pPr>
      <w:r w:rsidRPr="00DD47DF">
        <w:t>Priority a cíle Strategie Evropa 2020 založené na tematickém přístupu byly dále rozpracovány ve Společném strategickém rámci</w:t>
      </w:r>
      <w:r w:rsidRPr="00DD47DF">
        <w:rPr>
          <w:b/>
        </w:rPr>
        <w:t xml:space="preserve"> </w:t>
      </w:r>
      <w:r w:rsidRPr="00DD47DF">
        <w:t xml:space="preserve">(„SSR“). Jde o dokument EK, jehož cílem je v rámci kohezní politiky koncentrovat zdroje na cíle obsažené ve Strategii Evropa 2020. Tematická koncentrace významně zvyšuje účinnost veřejných financí k dosažení vytyčených cílů se skutečným dopadem na socioekonomickou situaci ČR. Při formulování strategie OP PIK plnil SSR pomocnou roli při výběru relevantních tematických cílů (dle čl. 9 obecného nařízení) a jim odpovídajících investičních priorit (dle čl. 5 nařízení o EFRR). </w:t>
      </w:r>
    </w:p>
    <w:p w14:paraId="3F36D73C" w14:textId="77777777" w:rsidR="006E695D" w:rsidRPr="00DD47DF" w:rsidRDefault="0040363A" w:rsidP="0040363A">
      <w:pPr>
        <w:pStyle w:val="Standardntext"/>
      </w:pPr>
      <w:r w:rsidRPr="00DD47DF">
        <w:t>V návaznosti na strategické cíle a priority financování ČR zakotvené v Dohodě o partnerství jsou v rámci OP PIK podporovány intervence z pěti tematických cílů pro Evropské strukturální a investiční fondy („fondy ESI“ nebo „ESIF“)</w:t>
      </w:r>
      <w:r w:rsidRPr="00DD47DF">
        <w:rPr>
          <w:rStyle w:val="Znakapoznpodarou"/>
        </w:rPr>
        <w:footnoteReference w:id="10"/>
      </w:r>
      <w:r w:rsidRPr="00DD47DF">
        <w:t>, na něž navazují čtyři věcně zaměřené prioritní osy a jedna prioritní osa na technickou pomoc. Zaměření prioritních os je specifikováno v kapitole 2.</w:t>
      </w:r>
    </w:p>
    <w:p w14:paraId="35EBFA6E" w14:textId="77777777" w:rsidR="006E695D" w:rsidRPr="00DD47DF" w:rsidRDefault="006E695D" w:rsidP="00DA3512">
      <w:pPr>
        <w:pStyle w:val="Standardntext"/>
        <w:keepNext/>
        <w:keepLines/>
        <w:numPr>
          <w:ilvl w:val="0"/>
          <w:numId w:val="35"/>
        </w:numPr>
        <w:ind w:left="714" w:hanging="357"/>
      </w:pPr>
      <w:r w:rsidRPr="00DD47DF">
        <w:lastRenderedPageBreak/>
        <w:t>Prioritní osa 1 „</w:t>
      </w:r>
      <w:r w:rsidRPr="00DD47DF">
        <w:rPr>
          <w:b/>
        </w:rPr>
        <w:t>Rozvoj výzkumu a vývoje pro inovace</w:t>
      </w:r>
      <w:r w:rsidRPr="00DD47DF">
        <w:t>“,</w:t>
      </w:r>
    </w:p>
    <w:p w14:paraId="38F31B70" w14:textId="77777777" w:rsidR="006E695D" w:rsidRPr="00DD47DF" w:rsidRDefault="006E695D" w:rsidP="00DA3512">
      <w:pPr>
        <w:pStyle w:val="Standardntext"/>
        <w:keepNext/>
        <w:keepLines/>
        <w:numPr>
          <w:ilvl w:val="0"/>
          <w:numId w:val="35"/>
        </w:numPr>
        <w:ind w:left="714" w:hanging="357"/>
      </w:pPr>
      <w:r w:rsidRPr="00DD47DF">
        <w:t>Prioritní osa 2 „</w:t>
      </w:r>
      <w:r w:rsidRPr="00DD47DF">
        <w:rPr>
          <w:b/>
        </w:rPr>
        <w:t xml:space="preserve">Rozvoj podnikání a konkurenceschopnosti malých a středních </w:t>
      </w:r>
      <w:r w:rsidR="005821F5" w:rsidRPr="00DD47DF">
        <w:rPr>
          <w:b/>
        </w:rPr>
        <w:t>podniků</w:t>
      </w:r>
      <w:r w:rsidRPr="00DD47DF">
        <w:t>“,</w:t>
      </w:r>
    </w:p>
    <w:p w14:paraId="61706A7B" w14:textId="77777777" w:rsidR="006E695D" w:rsidRPr="00DD47DF" w:rsidRDefault="006E695D" w:rsidP="00DA3512">
      <w:pPr>
        <w:pStyle w:val="Standardntext"/>
        <w:numPr>
          <w:ilvl w:val="0"/>
          <w:numId w:val="35"/>
        </w:numPr>
      </w:pPr>
      <w:r w:rsidRPr="00DD47DF">
        <w:t>Prioritní osa 3 „</w:t>
      </w:r>
      <w:r w:rsidRPr="00DD47DF">
        <w:rPr>
          <w:b/>
        </w:rPr>
        <w:t>Účinné nakládání energií, rozvoj energetické infrastruktury a obnovitelných zdrojů energie, podpora zavádění nových technologií v oblasti nakládání energií a druhotných surovin</w:t>
      </w:r>
      <w:r w:rsidRPr="00DD47DF">
        <w:t>“,</w:t>
      </w:r>
    </w:p>
    <w:p w14:paraId="30B1E5DF" w14:textId="77777777" w:rsidR="006E695D" w:rsidRPr="00DD47DF" w:rsidRDefault="006E695D" w:rsidP="00DA3512">
      <w:pPr>
        <w:pStyle w:val="Standardntext"/>
        <w:numPr>
          <w:ilvl w:val="0"/>
          <w:numId w:val="35"/>
        </w:numPr>
      </w:pPr>
      <w:r w:rsidRPr="00DD47DF">
        <w:t>Prioritní osa 4 „</w:t>
      </w:r>
      <w:r w:rsidRPr="00DD47DF">
        <w:rPr>
          <w:b/>
        </w:rPr>
        <w:t>Rozvoj vysokorychlostních přístupových sítí k internetu a informačních a komunikačních technologií</w:t>
      </w:r>
      <w:r w:rsidRPr="00DD47DF">
        <w:t>“,</w:t>
      </w:r>
    </w:p>
    <w:p w14:paraId="33CC7926" w14:textId="77777777" w:rsidR="006E695D" w:rsidRPr="00DD47DF" w:rsidRDefault="006E695D" w:rsidP="00DA3512">
      <w:pPr>
        <w:pStyle w:val="Standardntext"/>
        <w:numPr>
          <w:ilvl w:val="0"/>
          <w:numId w:val="35"/>
        </w:numPr>
      </w:pPr>
      <w:r w:rsidRPr="00DD47DF">
        <w:t>Prioritní osa 5 „</w:t>
      </w:r>
      <w:r w:rsidRPr="00DD47DF">
        <w:rPr>
          <w:b/>
        </w:rPr>
        <w:t>Technická pomoc</w:t>
      </w:r>
      <w:r w:rsidRPr="00DD47DF">
        <w:t>“.</w:t>
      </w:r>
    </w:p>
    <w:p w14:paraId="4650782D" w14:textId="77777777" w:rsidR="006E695D" w:rsidRPr="00DD47DF" w:rsidRDefault="006E695D" w:rsidP="006E695D">
      <w:pPr>
        <w:pStyle w:val="Standardntext"/>
      </w:pPr>
      <w:r w:rsidRPr="00DD47DF">
        <w:t xml:space="preserve">K návrhu struktury </w:t>
      </w:r>
      <w:r w:rsidR="0040363A" w:rsidRPr="00DD47DF">
        <w:t>O</w:t>
      </w:r>
      <w:r w:rsidRPr="00DD47DF">
        <w:t xml:space="preserve">peračního programu ve smyslu nadefinování prioritních os bylo přistoupeno </w:t>
      </w:r>
      <w:r w:rsidR="008D6CED" w:rsidRPr="00DD47DF">
        <w:t xml:space="preserve">v počátku jeho přípravy </w:t>
      </w:r>
      <w:r w:rsidRPr="00DD47DF">
        <w:t xml:space="preserve">se záměrem nekombinovat v rámci jedné prioritní osy </w:t>
      </w:r>
      <w:r w:rsidR="00F41111" w:rsidRPr="00DD47DF">
        <w:t>investiční</w:t>
      </w:r>
      <w:r w:rsidRPr="00DD47DF">
        <w:t xml:space="preserve"> priority z více tematických cílů, pokud </w:t>
      </w:r>
      <w:r w:rsidR="004E4E99" w:rsidRPr="00DD47DF">
        <w:t>nebude prokázáno</w:t>
      </w:r>
      <w:r w:rsidR="00F41111" w:rsidRPr="00DD47DF">
        <w:t xml:space="preserve"> odůvodnění takovéto kombinace</w:t>
      </w:r>
      <w:r w:rsidR="008D6CED" w:rsidRPr="00DD47DF">
        <w:t xml:space="preserve">. Následně byla prokázána a s EK vyjednána potřeba intervencí v oblasti energetiky do vysokonapěťových přenosových sítí, což vyústilo v příslušné prioritní ose programu ve vazbu na dva tematické cíle dle čl. 96 bodu 1, písm. c) obecného nařízení </w:t>
      </w:r>
      <w:r w:rsidR="004E4E99" w:rsidRPr="00DD47DF">
        <w:t>(</w:t>
      </w:r>
      <w:r w:rsidR="008D6CED" w:rsidRPr="00DD47DF">
        <w:t xml:space="preserve">blíže </w:t>
      </w:r>
      <w:r w:rsidR="004E4E99" w:rsidRPr="00DD47DF">
        <w:t>viz prioritní osa 3)</w:t>
      </w:r>
      <w:r w:rsidR="00F41111" w:rsidRPr="00DD47DF">
        <w:t>.</w:t>
      </w:r>
    </w:p>
    <w:p w14:paraId="181F3A3B" w14:textId="77777777" w:rsidR="00153021" w:rsidRPr="00DD47DF" w:rsidRDefault="00153021" w:rsidP="00153021">
      <w:pPr>
        <w:pStyle w:val="Modrnadpis"/>
        <w:ind w:left="0" w:firstLine="0"/>
      </w:pPr>
      <w:r w:rsidRPr="00DD47DF">
        <w:t>Analýza problémů a potřeb ČR ve vazbě na vybrané problémové oblasti Dohody o partnerství</w:t>
      </w:r>
    </w:p>
    <w:p w14:paraId="0109A1C9" w14:textId="77777777" w:rsidR="00153021" w:rsidRPr="00DD47DF" w:rsidRDefault="0040363A" w:rsidP="00153021">
      <w:pPr>
        <w:pStyle w:val="Standardntext"/>
      </w:pPr>
      <w:bookmarkStart w:id="3" w:name="_Ref358382440"/>
      <w:bookmarkStart w:id="4" w:name="_Ref358382570"/>
      <w:bookmarkStart w:id="5" w:name="_Ref358382587"/>
      <w:bookmarkStart w:id="6" w:name="_Ref358382598"/>
      <w:bookmarkStart w:id="7" w:name="_Ref358382614"/>
      <w:bookmarkStart w:id="8" w:name="_Ref358382646"/>
      <w:bookmarkStart w:id="9" w:name="_Ref358382664"/>
      <w:bookmarkStart w:id="10" w:name="_Ref358382678"/>
      <w:bookmarkStart w:id="11" w:name="_Ref358382685"/>
      <w:bookmarkStart w:id="12" w:name="_Ref358382700"/>
      <w:bookmarkStart w:id="13" w:name="_Ref359399602"/>
      <w:bookmarkStart w:id="14" w:name="_Toc386032019"/>
      <w:r w:rsidRPr="00DD47DF">
        <w:t>Specifické postavení má ve vztahu k Operačnímu programu zmíněná Dohoda o partnerství, která byla dne 26. 8. 2014 schválena EK. Jde o klíčový dokument pro programové období 2014-2020, který stanovuje priority ČR pro účinné a efektivní využívání fondů ESI a je zastřešujícím dokumentem pro jednotlivé programy financované z fondů ESI. Dohoda zároveň plní roli výchozího analytického a strategického dokumentu pro OP PIK. V Dohodě obsažená analýza disparit, rozvojových potřeb a růstového potenciálu ČR pro jednotlivé problémové oblasti národního hospodářství jednoznačně předurčuje zaměření OP PIK. Na základě této analýzy následně Dohoda formuluje hlavní strategické cíle a od nich odvozené priority financování, k jejichž naplnění musí věcné zaměření pro programové období 2014-2020 v ČR směřovat.</w:t>
      </w:r>
    </w:p>
    <w:p w14:paraId="69903FE8" w14:textId="77777777" w:rsidR="00153021" w:rsidRPr="00DD47DF" w:rsidRDefault="0040363A" w:rsidP="00153021">
      <w:pPr>
        <w:pStyle w:val="Standardntext"/>
      </w:pPr>
      <w:r w:rsidRPr="00DD47DF">
        <w:t>OP PIK představuje klíčový operační program, jehož prostřednictvím dojde k naplnění strategického cíle Dohody „Vytvoření kvalitního podnikatelské prostředí, které podpoří konkurenceschopnost ČR na evropském i globálním trhu, povede k zakládání nových podniků, zvýší inovační schopnost stávajících podniků a posílí atraktivitu ČR pro domácí a zahraniční investory“. Mezi priority financování obsažené v Dohodě, které formulují strategické zaměření OP PIK, patří:</w:t>
      </w:r>
    </w:p>
    <w:p w14:paraId="5DF0A7B5" w14:textId="77777777" w:rsidR="00153021" w:rsidRPr="00DD47DF" w:rsidRDefault="00153021" w:rsidP="00153021">
      <w:pPr>
        <w:pStyle w:val="Standardntext"/>
        <w:numPr>
          <w:ilvl w:val="0"/>
          <w:numId w:val="4"/>
        </w:numPr>
        <w:spacing w:after="0"/>
      </w:pPr>
      <w:r w:rsidRPr="00DD47DF">
        <w:t>Výzkumný a inovační systém založený na kvalitním výzkumu propojeném s aplikační sférou a směřujícím ke komerčně využitelným výsledkům;</w:t>
      </w:r>
    </w:p>
    <w:p w14:paraId="745EBCCB" w14:textId="77777777" w:rsidR="00153021" w:rsidRPr="00DD47DF" w:rsidRDefault="00153021" w:rsidP="00153021">
      <w:pPr>
        <w:pStyle w:val="Standardntext"/>
        <w:numPr>
          <w:ilvl w:val="0"/>
          <w:numId w:val="4"/>
        </w:numPr>
        <w:spacing w:after="0"/>
      </w:pPr>
      <w:r w:rsidRPr="00DD47DF">
        <w:t>Podniky využívající výsledků VaV, konkurenceschopné na globálním trhu a přispívající k nízkouhlíkovému hospodářství;</w:t>
      </w:r>
    </w:p>
    <w:p w14:paraId="717DA31E" w14:textId="77777777" w:rsidR="00153021" w:rsidRPr="00DD47DF" w:rsidRDefault="00153021" w:rsidP="00153021">
      <w:pPr>
        <w:pStyle w:val="Standardntext"/>
        <w:numPr>
          <w:ilvl w:val="0"/>
          <w:numId w:val="4"/>
        </w:numPr>
        <w:spacing w:after="0"/>
      </w:pPr>
      <w:r w:rsidRPr="00DD47DF">
        <w:t>Udržitelná infrastruktura umožňující konkurenceschopnost ekonomiky a odpovídající obslužnost území;</w:t>
      </w:r>
    </w:p>
    <w:p w14:paraId="7BE79AF9" w14:textId="77777777" w:rsidR="00153021" w:rsidRPr="00DD47DF" w:rsidRDefault="00153021" w:rsidP="00153021">
      <w:pPr>
        <w:pStyle w:val="Standardntext"/>
        <w:numPr>
          <w:ilvl w:val="0"/>
          <w:numId w:val="4"/>
        </w:numPr>
        <w:ind w:left="714" w:hanging="357"/>
      </w:pPr>
      <w:r w:rsidRPr="00DD47DF">
        <w:t>a částečně také Ochrana životního prostředí a krajiny a přizpůsobení se změně klimatu.</w:t>
      </w:r>
    </w:p>
    <w:p w14:paraId="7F314401" w14:textId="77777777" w:rsidR="00153021" w:rsidRPr="00DD47DF" w:rsidRDefault="00153021" w:rsidP="00153021">
      <w:pPr>
        <w:pStyle w:val="Standardntext"/>
      </w:pPr>
      <w:r w:rsidRPr="00DD47DF">
        <w:t xml:space="preserve">Smyslem těchto priorit financování je odstranit či alespoň zmírnit bariéry dalšího rozvoje ČR identifikované v analytické části Dohody o partnerství. Z pohledu příspěvku OP PIK k řešení </w:t>
      </w:r>
      <w:r w:rsidRPr="00DD47DF">
        <w:lastRenderedPageBreak/>
        <w:t>problémových oblastí patří mezi zásadní ty, které Dohoda syntetizuje do bloků „Konkurenceschopnost ekonomiky“, „Infrastruktura“ a „Životní prostředí“.</w:t>
      </w:r>
    </w:p>
    <w:bookmarkEnd w:id="3"/>
    <w:bookmarkEnd w:id="4"/>
    <w:bookmarkEnd w:id="5"/>
    <w:bookmarkEnd w:id="6"/>
    <w:bookmarkEnd w:id="7"/>
    <w:bookmarkEnd w:id="8"/>
    <w:bookmarkEnd w:id="9"/>
    <w:bookmarkEnd w:id="10"/>
    <w:bookmarkEnd w:id="11"/>
    <w:bookmarkEnd w:id="12"/>
    <w:bookmarkEnd w:id="13"/>
    <w:bookmarkEnd w:id="14"/>
    <w:p w14:paraId="200ADCD1" w14:textId="77777777" w:rsidR="00706A57" w:rsidRPr="00DD47DF" w:rsidRDefault="00706A57" w:rsidP="00706A57">
      <w:pPr>
        <w:pStyle w:val="Standardntext"/>
      </w:pPr>
      <w:r w:rsidRPr="00DD47DF">
        <w:t>Následující text si klade za cíl shrnout problémy a potřeby ČR ve vazbě na výše uvedené problémové oblasti definované Dohodou, resp. vybrané hlavní pilíře těchto problémových oblastí.</w:t>
      </w:r>
    </w:p>
    <w:p w14:paraId="5BC5FA8B" w14:textId="77777777" w:rsidR="00F260AA" w:rsidRPr="00DD47DF" w:rsidRDefault="00F260AA" w:rsidP="001652D9">
      <w:pPr>
        <w:pStyle w:val="Modrnadpis"/>
      </w:pPr>
      <w:r w:rsidRPr="00DD47DF">
        <w:t>Efektivní výzkumný a inovační systém</w:t>
      </w:r>
    </w:p>
    <w:p w14:paraId="55297E50" w14:textId="77777777" w:rsidR="00F260AA" w:rsidRPr="00DD47DF" w:rsidRDefault="00F260AA" w:rsidP="00F260AA">
      <w:pPr>
        <w:pStyle w:val="Standardntext"/>
      </w:pPr>
      <w:r w:rsidRPr="00DD47DF">
        <w:t>Mezi hlavní bariéry rozvoje inovačních aktivit patří kromě nízké inovační poptávky firem rovněž nedostatečný rozsah a způsob financování VaVaI, který se v posledních letech významně proměnil zejména díky zahraničním investicím. Přitom hlavní funkční specializaci ČR v rámci světové ekonomiky lze charakterizovat jako výrobní základnu pro trhy v Evropě a blízkém okolí. Endogenní podnikatelský sektor je slabý a jeho rozvoj silně závislý na poptávce ze strany nadnárodních společností umístěných v samotné ČR a jejím blízkém okolí. V této souvislosti a v kontextu rostoucích cen práce a dalších vstupů do výroby je základní výzvou pro ČR schopnost vytvářet a nabízet podmínky pro lokalizaci takových aktivit zahraničních firem, u nichž hrají kvalifikace a dovednosti lidí spolu s tvorbou nových znalostí relativně vyšší roli než samotné ceny vstupů a blízkost hlavním evropským trhům.</w:t>
      </w:r>
    </w:p>
    <w:p w14:paraId="33DF9868" w14:textId="77777777" w:rsidR="00F260AA" w:rsidRPr="00DD47DF" w:rsidRDefault="00782BE3" w:rsidP="00F260AA">
      <w:pPr>
        <w:pStyle w:val="Standardntext"/>
      </w:pPr>
      <w:r w:rsidRPr="00DD47DF">
        <w:t>Rostoucí turbulence na finančních trzích ukazují, že se česká ekonomika nemůže spoléhat pouze na odbyt v zemích tradičních obchodních partnerů, které tvoří především sousední země EU. Je třeba vnímat příležitosti ve všech teritoriích a oborech, a navíc přicházet s vlastními řešeními. Endogenní podnikatelský sektor však zatím tvoří především podniky vzdálené v hodnotových řetězcích od koncových trhů a závislé na importu technologií. Je zde proto prostor pro veřejné intervence, které by měly napomoci ekonomice nastoupit cestu vedoucí mezi nejvyspělejší ekonomiky světa. Za nejvýznamnější nedostatky inovačního systému je považována především nízká motivace domácích firem pro budování konkurenční výhody založené na znalostech. To je dáno z velké části tím, že domácí podniky jsou svými odběrateli z vyšších pozic příslušných hodnotových řetězců omezeny jak ve svých možnostech strategického plánování rozvoje firem, tak v možnostech realizovat vlastní inovace. Další příčinou dosavadních pozic firem na nižších stupních hodnotových řetězců je i neodpovídající kvalifikace a odbornost pracovní síly ve vztahu k inovačním aktivitám podnikatelských subjektů a provázanost na vědecko-výzkumnou sféru.</w:t>
      </w:r>
    </w:p>
    <w:p w14:paraId="23E6A35A" w14:textId="77777777" w:rsidR="00F260AA" w:rsidRPr="00DD47DF" w:rsidRDefault="00F260AA" w:rsidP="00A86EB3">
      <w:pPr>
        <w:pStyle w:val="Titulek"/>
        <w:keepNext/>
        <w:keepLines/>
      </w:pPr>
      <w:r w:rsidRPr="00DD47DF">
        <w:lastRenderedPageBreak/>
        <w:t xml:space="preserve">Obrázek </w:t>
      </w:r>
      <w:r w:rsidR="002756E7" w:rsidRPr="00DD47DF">
        <w:fldChar w:fldCharType="begin"/>
      </w:r>
      <w:r w:rsidR="000E35F2" w:rsidRPr="00DD47DF">
        <w:instrText xml:space="preserve"> SEQ Obrázek \* ARABIC </w:instrText>
      </w:r>
      <w:r w:rsidR="002756E7" w:rsidRPr="00DD47DF">
        <w:fldChar w:fldCharType="separate"/>
      </w:r>
      <w:r w:rsidR="00117847">
        <w:rPr>
          <w:noProof/>
        </w:rPr>
        <w:t>1</w:t>
      </w:r>
      <w:r w:rsidR="002756E7" w:rsidRPr="00DD47DF">
        <w:rPr>
          <w:noProof/>
        </w:rPr>
        <w:fldChar w:fldCharType="end"/>
      </w:r>
      <w:r w:rsidRPr="00DD47DF">
        <w:t>: Inovační výkonnost členských států EU</w:t>
      </w:r>
    </w:p>
    <w:p w14:paraId="621577CE" w14:textId="77777777" w:rsidR="00F260AA" w:rsidRPr="00DD47DF" w:rsidRDefault="00F260AA" w:rsidP="00A86EB3">
      <w:pPr>
        <w:pStyle w:val="Standardntext"/>
        <w:keepNext/>
        <w:keepLines/>
      </w:pPr>
      <w:r w:rsidRPr="00DD47DF">
        <w:rPr>
          <w:noProof/>
        </w:rPr>
        <w:drawing>
          <wp:inline distT="0" distB="0" distL="0" distR="0" wp14:anchorId="0582EBBF" wp14:editId="0A9AA8CD">
            <wp:extent cx="5765800" cy="2646680"/>
            <wp:effectExtent l="19050" t="19050" r="25400" b="20320"/>
            <wp:docPr id="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800" cy="2646680"/>
                    </a:xfrm>
                    <a:prstGeom prst="rect">
                      <a:avLst/>
                    </a:prstGeom>
                    <a:noFill/>
                    <a:ln w="9525" cmpd="sng">
                      <a:solidFill>
                        <a:srgbClr val="000000"/>
                      </a:solidFill>
                      <a:miter lim="800000"/>
                      <a:headEnd/>
                      <a:tailEnd/>
                    </a:ln>
                    <a:effectLst/>
                  </pic:spPr>
                </pic:pic>
              </a:graphicData>
            </a:graphic>
          </wp:inline>
        </w:drawing>
      </w:r>
    </w:p>
    <w:p w14:paraId="6CA1F7F2" w14:textId="77777777" w:rsidR="00F260AA" w:rsidRPr="00DD47DF" w:rsidRDefault="00F260AA" w:rsidP="00F260AA">
      <w:pPr>
        <w:pStyle w:val="Standardntext"/>
        <w:spacing w:after="240"/>
      </w:pPr>
      <w:r w:rsidRPr="00DD47DF">
        <w:t>Zdroj: Innovation Union Scoreboard 2013</w:t>
      </w:r>
    </w:p>
    <w:p w14:paraId="1CB1DE27" w14:textId="77777777" w:rsidR="00F260AA" w:rsidRPr="00DD47DF" w:rsidRDefault="00F260AA" w:rsidP="00F260AA">
      <w:pPr>
        <w:pStyle w:val="Standardntext"/>
      </w:pPr>
      <w:r w:rsidRPr="00DD47DF">
        <w:t>Aktuální analýzy inovační výkonnosti ukazují, že výkonnost Č</w:t>
      </w:r>
      <w:r w:rsidR="007018A0" w:rsidRPr="00DD47DF">
        <w:t>R</w:t>
      </w:r>
      <w:r w:rsidRPr="00DD47DF">
        <w:t xml:space="preserve"> je stále pod průměrem celé EU27 a řadí se spolu s Řeckem, Maďarskem či Slovenskem mezi tzv. mírné inovátory (viz Innovation Union Scoreboard 201</w:t>
      </w:r>
      <w:r w:rsidR="00CA2C89" w:rsidRPr="00DD47DF">
        <w:t>3</w:t>
      </w:r>
      <w:r w:rsidRPr="00DD47DF">
        <w:t>). Na předních pozicích inovační výkonnosti se umísťují země, v jejichž národních výzkumných a inovačních systémech hrají hlavní roli aktivity podniků a spolupráce soukromé a veřejné sféry. Mezi zjišťovanými indikátory</w:t>
      </w:r>
      <w:r w:rsidR="00D73213" w:rsidRPr="00DD47DF">
        <w:t>, v nichž ČR zaostává,</w:t>
      </w:r>
      <w:r w:rsidRPr="00DD47DF">
        <w:t xml:space="preserve"> jsou velmi významné indikátory firemních investic – především podnikové výdaje na výzkum a vývoj a další indikátory podnikových aktivit – tj. duševní vlastnictví a propojenost a podnikavost, kam patří podíl MSP provádějících inovace interně, podíl MSP spolupracujících s ostatními podniky a indikátor poukazující na silné vazby mezi výzkumnou sférou a podniky – počet výzkumných publikací vytvořených v partnerství privátní a veřejné sféry.</w:t>
      </w:r>
    </w:p>
    <w:p w14:paraId="6EA42C8C" w14:textId="77777777" w:rsidR="00782BE3" w:rsidRPr="00DD47DF" w:rsidRDefault="00782BE3" w:rsidP="00782BE3">
      <w:pPr>
        <w:pStyle w:val="Standardntext"/>
      </w:pPr>
      <w:r w:rsidRPr="00DD47DF">
        <w:t xml:space="preserve">Ze srovnání evropského šetření o inovacích Community Innovation Survey (CIS) vyplývá, že více než třetina českých podniků provádí inovace, především technické, ale i netechnické, a řadí se v tomto ohledu k nejlepším v EU. To se však zatím významně nepromítá ve znalostní náročnosti produkce, kde převládají, zvláště v endogenním podnikatelském sektoru , výrobky méně náročné na znalosti. Je to způsobeno především kvalitou zaváděných inovací, která stále není schopna generovat významnější množství nových technologií, jak vyplývá např. z vysoce negativní technologické platební bilance ČR. Z druhé strany, pozice ČR v žebříčku IUS zaměřeném na inovativnost ekonomik EU ukazuje, že se situace postupně zlepšuje – ČR se řadí k zemím s nižší úrovní sledovaných ukazatelů inovativnosti, u velké části z nich však dochází ke zlepšení, mj. díky dosavadní podpoře z fondů EU. Dle šetření ČSÚ se na území ČR ve vybraných odvětvích ekonomiky zabývalo inovačními aktivitami 43,9 % podniků z celkového počtu ekonomicky aktivních podniků v období 2010–2012. Technickou inovaci zavedlo 35,6 % podniků a netechnickou 31,6 %. Z celkového počtu šetřených podniků ve vybraných odvětvích klíčových pro inovace spadalo 51 % do zpracovatelského průmyslu. Tyto podniky se podílely v roce 2012 na celkových tržbách sledované části ekonomiky 45,4 %. Produktově inovující podniky se ve sledovaném období soustředily zejména na inovaci svých výrobků. Nejvyšší podíl tržeb za inovované produkty vykázaly velké podniky (30,4 %) následované malými podniky (27,4 %). U středních podniků dosáhl podíl tržeb za inovované produkty rovných 26 </w:t>
      </w:r>
      <w:r w:rsidRPr="00DD47DF">
        <w:lastRenderedPageBreak/>
        <w:t>%. Podíl tržeb z inovované produkce na celkových tržbách podniků s produktovou inovací dosáhlo v letech 2010 – 2012 hodnoty 29,2%.</w:t>
      </w:r>
    </w:p>
    <w:p w14:paraId="2B4DE169" w14:textId="77777777" w:rsidR="00F260AA" w:rsidRPr="00DD47DF" w:rsidRDefault="00782BE3" w:rsidP="00782BE3">
      <w:pPr>
        <w:pStyle w:val="Standardntext"/>
      </w:pPr>
      <w:r w:rsidRPr="00DD47DF">
        <w:t>Konkrétními ukazateli hodnocení znalostní ekonomiky jsou výdaje na VaV a pracovníci ve VaV. Z hlediska VaV činil podíl výdajů v podnikatelském sektoru na HDP v roce 2012 dle ČSÚ 1,01 %, což v běžných cenách odpovídá 38,8 mld. Kč. V porovnání s rokem 2011 došlo k nominálnímu nárůstu tohoto ukazatele o 4,073 mld. Kč. Z hlediska zdrojů financování si podnikatelský sektor oproti období 1999 - 2008 neudržel 50% podíl na celkových výdajích na VaV. Z druhé strany je pozitivním trendem získávání prostředků na rozvoj VaV i ze zahraničních zdrojů, a to také v rámci programů a fondů EU. V roce 2012 se již veřejné zahraniční zdroje podílely na financování VaV plnými 16,1 %. Relativně silná závislost znalostních a inovačních sektorů na zahraničních subjektech je dalším z faktorů, který může mít positivní vliv na posílení meziregionálních vazeb jak v rámci ČR, tak mezi členskými státy EU. Ačkoliv je podíl výdajů podnikatelského sektoru na ukazateli GERD (celkových výdajích na VaV) okolo 45 % v mezinárodním srovnání dobrý výsledek, zůstává v ČR nízký celkový podíl celkových výdajů na VaV na HDP (1,88 %, cíl Evropy 2020 jsou 3%). Co se týká výdajů na VaV v podnikatelském sektoru jako % HDP bez zahrnutí hl. m. Prahy, hodnota ukazatele se v roce 2012 pohybovala na úrovni 0,75 %. V podstatě shodně jako výdaje na VaV se dlouhodobě vyvíjí i počet výzkumných pracovníků. I podle tohoto ukazatele lze ČR zařadit mezi skupinu zemí s nižší úrovní kapacit VaV, ale s rychlejším růstem.</w:t>
      </w:r>
    </w:p>
    <w:p w14:paraId="65CD3802" w14:textId="77777777" w:rsidR="00F260AA" w:rsidRPr="00DD47DF" w:rsidRDefault="00F260AA" w:rsidP="00F46C44">
      <w:pPr>
        <w:pStyle w:val="Standardntext"/>
        <w:rPr>
          <w:rFonts w:eastAsia="Calibri"/>
          <w:color w:val="000000"/>
          <w:szCs w:val="22"/>
          <w:lang w:eastAsia="en-US"/>
        </w:rPr>
      </w:pPr>
      <w:r w:rsidRPr="00DD47DF">
        <w:t>Z </w:t>
      </w:r>
      <w:r w:rsidR="00782BE3" w:rsidRPr="00DD47DF">
        <w:t xml:space="preserve">dostupných </w:t>
      </w:r>
      <w:r w:rsidRPr="00DD47DF">
        <w:t xml:space="preserve">analýz vyplývá, že vzniká potřeba podporovat </w:t>
      </w:r>
      <w:r w:rsidR="00577869" w:rsidRPr="00DD47DF">
        <w:t xml:space="preserve">specializaci </w:t>
      </w:r>
      <w:r w:rsidRPr="00DD47DF">
        <w:t>VaVaI v ČR v aplikační sféře. Kromě v současné době několika málo odvětví dominantních ve VaV disponují VaV potenciálem i některá další, přičemž se nejedná vždy jen o high-tech výrobu. I low-tech či mid-tech odvětví, která jsou v ČR zdaleka nejvýznamnější, disponují potenciálem pro rozvoj inovačních a VaV aktivit. Tento aspekt zohledň</w:t>
      </w:r>
      <w:r w:rsidR="00346E3A" w:rsidRPr="00DD47DF">
        <w:t>uj</w:t>
      </w:r>
      <w:r w:rsidR="008F7639" w:rsidRPr="00DD47DF">
        <w:t>e</w:t>
      </w:r>
      <w:r w:rsidRPr="00DD47DF">
        <w:t xml:space="preserve"> především </w:t>
      </w:r>
      <w:r w:rsidR="00F46C44" w:rsidRPr="00DD47DF">
        <w:rPr>
          <w:b/>
        </w:rPr>
        <w:t>Národní výzkumná a inovační strategie pro inteligentní specializaci České republiky (</w:t>
      </w:r>
      <w:r w:rsidR="00782BE3" w:rsidRPr="00DD47DF">
        <w:rPr>
          <w:b/>
        </w:rPr>
        <w:t>„</w:t>
      </w:r>
      <w:r w:rsidRPr="00DD47DF">
        <w:rPr>
          <w:b/>
        </w:rPr>
        <w:t>Národní RIS3 strategie</w:t>
      </w:r>
      <w:r w:rsidR="00782BE3" w:rsidRPr="00DD47DF">
        <w:rPr>
          <w:b/>
        </w:rPr>
        <w:t>“</w:t>
      </w:r>
      <w:r w:rsidR="00F46C44" w:rsidRPr="00DD47DF">
        <w:rPr>
          <w:b/>
        </w:rPr>
        <w:t>)</w:t>
      </w:r>
      <w:r w:rsidR="00782BE3" w:rsidRPr="00DD47DF">
        <w:t xml:space="preserve">, </w:t>
      </w:r>
      <w:r w:rsidR="004D174B" w:rsidRPr="00DD47DF">
        <w:t>strategický dokument pro zaměření národních i evropských zdrojů ve sféře výzkumu, vývoje a inovací.</w:t>
      </w:r>
      <w:r w:rsidR="00577869" w:rsidRPr="00DD47DF">
        <w:t xml:space="preserve"> </w:t>
      </w:r>
      <w:r w:rsidR="00577869" w:rsidRPr="00DD47DF">
        <w:rPr>
          <w:rFonts w:eastAsia="Calibri"/>
          <w:color w:val="000000"/>
          <w:szCs w:val="22"/>
          <w:lang w:eastAsia="en-US"/>
        </w:rPr>
        <w:t>V rámci koncepčního pojetí RIS3 jsou</w:t>
      </w:r>
      <w:r w:rsidR="00782BE3" w:rsidRPr="00DD47DF">
        <w:rPr>
          <w:rFonts w:eastAsia="Calibri"/>
          <w:color w:val="000000"/>
          <w:szCs w:val="22"/>
          <w:lang w:eastAsia="en-US"/>
        </w:rPr>
        <w:t xml:space="preserve"> pro</w:t>
      </w:r>
      <w:r w:rsidR="00577869" w:rsidRPr="00DD47DF">
        <w:rPr>
          <w:rFonts w:eastAsia="Calibri"/>
          <w:color w:val="000000"/>
          <w:szCs w:val="22"/>
          <w:lang w:eastAsia="en-US"/>
        </w:rPr>
        <w:t xml:space="preserve"> ČR navrženy </w:t>
      </w:r>
      <w:r w:rsidR="00577869" w:rsidRPr="00DD47DF">
        <w:rPr>
          <w:rFonts w:eastAsia="Calibri"/>
          <w:b/>
          <w:color w:val="000000"/>
          <w:szCs w:val="22"/>
          <w:lang w:eastAsia="en-US"/>
        </w:rPr>
        <w:t>priority dvojí povahy</w:t>
      </w:r>
      <w:r w:rsidR="00577869" w:rsidRPr="00DD47DF">
        <w:rPr>
          <w:rFonts w:eastAsia="Calibri"/>
          <w:color w:val="000000"/>
          <w:szCs w:val="22"/>
          <w:lang w:eastAsia="en-US"/>
        </w:rPr>
        <w:t>:</w:t>
      </w:r>
    </w:p>
    <w:p w14:paraId="0CEA8DC8" w14:textId="77777777" w:rsidR="00577869" w:rsidRPr="00DD47DF" w:rsidRDefault="00577869" w:rsidP="00DA3512">
      <w:pPr>
        <w:pStyle w:val="Standardntext"/>
        <w:numPr>
          <w:ilvl w:val="0"/>
          <w:numId w:val="97"/>
        </w:numPr>
        <w:rPr>
          <w:rFonts w:eastAsia="Calibri"/>
          <w:color w:val="000000"/>
          <w:szCs w:val="22"/>
          <w:lang w:eastAsia="en-US"/>
        </w:rPr>
      </w:pPr>
      <w:r w:rsidRPr="00DD47DF">
        <w:rPr>
          <w:rFonts w:eastAsia="Calibri"/>
          <w:b/>
          <w:color w:val="000000"/>
          <w:szCs w:val="22"/>
          <w:lang w:eastAsia="en-US"/>
        </w:rPr>
        <w:t>horizontální</w:t>
      </w:r>
      <w:r w:rsidRPr="00DD47DF">
        <w:rPr>
          <w:rFonts w:eastAsia="Calibri"/>
          <w:color w:val="000000"/>
          <w:szCs w:val="22"/>
          <w:lang w:eastAsia="en-US"/>
        </w:rPr>
        <w:t>: intervence podporující vytváření, případně zkvalitňování inovačního systému na národní i krajské úrovni (tj. intervence bez ohledu na oborové zaměření podporovaných aktivit)</w:t>
      </w:r>
    </w:p>
    <w:p w14:paraId="1D4DD819" w14:textId="77777777" w:rsidR="00577869" w:rsidRPr="00DD47DF" w:rsidRDefault="00577869" w:rsidP="00DA3512">
      <w:pPr>
        <w:pStyle w:val="Standardntext"/>
        <w:numPr>
          <w:ilvl w:val="0"/>
          <w:numId w:val="97"/>
        </w:numPr>
        <w:rPr>
          <w:rFonts w:eastAsia="Calibri"/>
          <w:b/>
          <w:color w:val="000000"/>
          <w:szCs w:val="22"/>
          <w:lang w:eastAsia="en-US"/>
        </w:rPr>
      </w:pPr>
      <w:r w:rsidRPr="00DD47DF">
        <w:rPr>
          <w:rFonts w:eastAsia="Calibri"/>
          <w:b/>
          <w:color w:val="000000"/>
          <w:szCs w:val="22"/>
          <w:lang w:eastAsia="en-US"/>
        </w:rPr>
        <w:t xml:space="preserve">vertikální: </w:t>
      </w:r>
      <w:r w:rsidRPr="00DD47DF">
        <w:rPr>
          <w:rFonts w:eastAsia="Calibri"/>
          <w:color w:val="000000"/>
          <w:szCs w:val="22"/>
          <w:lang w:eastAsia="en-US"/>
        </w:rPr>
        <w:t>intervence zaměřené na konkrétní konkurenceschopné, perspektivní odvětvové/pododvětvové oblasti  VaVaI se silným růstovým potenciálem</w:t>
      </w:r>
      <w:r w:rsidR="00782BE3" w:rsidRPr="00DD47DF">
        <w:rPr>
          <w:rFonts w:eastAsia="Calibri"/>
          <w:color w:val="000000"/>
          <w:szCs w:val="22"/>
          <w:lang w:eastAsia="en-US"/>
        </w:rPr>
        <w:t xml:space="preserve">, </w:t>
      </w:r>
      <w:r w:rsidRPr="00DD47DF">
        <w:rPr>
          <w:rFonts w:eastAsia="Calibri"/>
          <w:b/>
          <w:color w:val="000000"/>
          <w:szCs w:val="22"/>
          <w:lang w:eastAsia="en-US"/>
        </w:rPr>
        <w:t>tzv. domény inteligentní specializace.</w:t>
      </w:r>
    </w:p>
    <w:p w14:paraId="4E67F187" w14:textId="77777777" w:rsidR="00577869" w:rsidRPr="00DD47DF" w:rsidRDefault="00577869" w:rsidP="00577869">
      <w:pPr>
        <w:pStyle w:val="Standardntext"/>
      </w:pPr>
      <w:r w:rsidRPr="00DD47DF">
        <w:t xml:space="preserve">Návrhová část RIS3 se skládá ze šesti klíčových oblastí, v nichž ČR musí dosáhnout významných změn, aby došlo k posílení znalostní náročnost ekonomiky, rozvinutí a profilaci identifikovaných domén specializace a aby došlo k naplnění vize RIS3 „Česko podnikavé, kreativní a přitažlivé pro talenty a peníze“ v dlouhodobém horizontu. </w:t>
      </w:r>
    </w:p>
    <w:p w14:paraId="04A99599" w14:textId="77777777" w:rsidR="00577869" w:rsidRPr="00DD47DF" w:rsidRDefault="00577869" w:rsidP="00577869">
      <w:pPr>
        <w:pStyle w:val="Standardntext"/>
      </w:pPr>
      <w:r w:rsidRPr="00DD47DF">
        <w:rPr>
          <w:b/>
        </w:rPr>
        <w:t>Klíčové oblasti změn a strategické cíle Národní RIS 3 strategie, z nichž vycházejí relevantní aktivy OP PIK:</w:t>
      </w:r>
    </w:p>
    <w:p w14:paraId="78DCC1FB" w14:textId="77777777" w:rsidR="008F7639" w:rsidRPr="00DD47DF" w:rsidRDefault="008F7639" w:rsidP="00DA3512">
      <w:pPr>
        <w:pStyle w:val="Standardntext"/>
        <w:numPr>
          <w:ilvl w:val="0"/>
          <w:numId w:val="94"/>
        </w:numPr>
      </w:pPr>
      <w:r w:rsidRPr="00DD47DF">
        <w:t>v klíčové oblasti změn „A: Vyšší inovační výkonnost firem“ jde o tři strategické cíle</w:t>
      </w:r>
    </w:p>
    <w:p w14:paraId="480AAB40" w14:textId="77777777" w:rsidR="008F7639" w:rsidRPr="00DD47DF" w:rsidRDefault="008F7639" w:rsidP="00DA3512">
      <w:pPr>
        <w:pStyle w:val="Standardntext"/>
        <w:numPr>
          <w:ilvl w:val="1"/>
          <w:numId w:val="94"/>
        </w:numPr>
      </w:pPr>
      <w:r w:rsidRPr="00DD47DF">
        <w:t>A.1: Zvýšit inovační poptávku ve firmách (i ve veřejném sektoru)</w:t>
      </w:r>
    </w:p>
    <w:p w14:paraId="5C5893D6" w14:textId="77777777" w:rsidR="008F7639" w:rsidRPr="00DD47DF" w:rsidRDefault="008F7639" w:rsidP="00DA3512">
      <w:pPr>
        <w:pStyle w:val="Standardntext"/>
        <w:numPr>
          <w:ilvl w:val="1"/>
          <w:numId w:val="94"/>
        </w:numPr>
      </w:pPr>
      <w:r w:rsidRPr="00DD47DF">
        <w:t>A.2: Zvýšit míru podnikání ve společnosti s důrazem na zakládání nových rychle rostoucích firem</w:t>
      </w:r>
    </w:p>
    <w:p w14:paraId="4D2C4D8F" w14:textId="77777777" w:rsidR="008F7639" w:rsidRPr="00DD47DF" w:rsidRDefault="008F7639" w:rsidP="00DA3512">
      <w:pPr>
        <w:pStyle w:val="Standardntext"/>
        <w:numPr>
          <w:ilvl w:val="1"/>
          <w:numId w:val="94"/>
        </w:numPr>
      </w:pPr>
      <w:r w:rsidRPr="00DD47DF">
        <w:lastRenderedPageBreak/>
        <w:t>A.3: Zvýšit internacionalizaci MSP</w:t>
      </w:r>
    </w:p>
    <w:p w14:paraId="37A85877" w14:textId="77777777" w:rsidR="008F7639" w:rsidRPr="00DD47DF" w:rsidRDefault="008F7639" w:rsidP="00DA3512">
      <w:pPr>
        <w:pStyle w:val="Standardntext"/>
        <w:numPr>
          <w:ilvl w:val="0"/>
          <w:numId w:val="94"/>
        </w:numPr>
      </w:pPr>
      <w:r w:rsidRPr="00DD47DF">
        <w:t>v klíčové oblasti změn „C: Zvýšení ekonomických přínosů veřejného výzkumu“ jde o strategický cíl</w:t>
      </w:r>
    </w:p>
    <w:p w14:paraId="5056AE30" w14:textId="77777777" w:rsidR="008F7639" w:rsidRPr="00DD47DF" w:rsidRDefault="008F7639" w:rsidP="00DA3512">
      <w:pPr>
        <w:pStyle w:val="Standardntext"/>
        <w:numPr>
          <w:ilvl w:val="1"/>
          <w:numId w:val="94"/>
        </w:numPr>
      </w:pPr>
      <w:r w:rsidRPr="00DD47DF">
        <w:t>C.1: Zvýšit relevanci výzkumu</w:t>
      </w:r>
    </w:p>
    <w:p w14:paraId="286542ED" w14:textId="77777777" w:rsidR="008F7639" w:rsidRPr="00DD47DF" w:rsidRDefault="008F7639" w:rsidP="00DA3512">
      <w:pPr>
        <w:pStyle w:val="Standardntext"/>
        <w:numPr>
          <w:ilvl w:val="0"/>
          <w:numId w:val="94"/>
        </w:numPr>
      </w:pPr>
      <w:r w:rsidRPr="00DD47DF">
        <w:t>v klíčové oblasti změn „E: Rozvoj eGovernmentu a eBusinessu pro zvýšení konkurenceschopnosti (rozvoj ICT a digitální agenda)“ jde o dva strategické cíle</w:t>
      </w:r>
    </w:p>
    <w:p w14:paraId="4FC54F9E" w14:textId="77777777" w:rsidR="008F7639" w:rsidRPr="00DD47DF" w:rsidRDefault="008F7639" w:rsidP="00DA3512">
      <w:pPr>
        <w:pStyle w:val="Standardntext"/>
        <w:numPr>
          <w:ilvl w:val="1"/>
          <w:numId w:val="94"/>
        </w:numPr>
      </w:pPr>
      <w:r w:rsidRPr="00DD47DF">
        <w:t>E.2: Rozvoj eBusinessu a ICT v podnikání</w:t>
      </w:r>
    </w:p>
    <w:p w14:paraId="5F8C5237" w14:textId="77777777" w:rsidR="0012167C" w:rsidRPr="00DD47DF" w:rsidRDefault="008F7639" w:rsidP="00DA3512">
      <w:pPr>
        <w:pStyle w:val="Standardntext"/>
        <w:numPr>
          <w:ilvl w:val="1"/>
          <w:numId w:val="94"/>
        </w:numPr>
      </w:pPr>
      <w:r w:rsidRPr="00DD47DF">
        <w:t>E.3: Rozvoj Infrastruktury v</w:t>
      </w:r>
      <w:r w:rsidR="00577869" w:rsidRPr="00DD47DF">
        <w:t> </w:t>
      </w:r>
      <w:r w:rsidRPr="00DD47DF">
        <w:t>ICT</w:t>
      </w:r>
    </w:p>
    <w:p w14:paraId="253ADE73" w14:textId="77777777" w:rsidR="00577869" w:rsidRPr="00DD47DF" w:rsidRDefault="00577869" w:rsidP="00577869">
      <w:pPr>
        <w:pStyle w:val="Standardntext"/>
      </w:pPr>
      <w:r w:rsidRPr="00DD47DF">
        <w:t>OP PIK bude jedním z hlavních implementačních nástrojů, který bude přispívat k naplňování relevantních cílů RIS3. Její aplikace bude prováděna především v prioritních osách 1, 4 a částečně v prioritní ose 2. Jednotlivé vazby na specifické cíle RIS3 jsou uvedeny v oddíle 2 u relevantních specifických cílů.</w:t>
      </w:r>
    </w:p>
    <w:p w14:paraId="5E74ACC7" w14:textId="77777777" w:rsidR="00577869" w:rsidRPr="00DD47DF" w:rsidRDefault="00577869" w:rsidP="00577869">
      <w:pPr>
        <w:pStyle w:val="Titulek"/>
        <w:keepNext/>
        <w:keepLines/>
        <w:spacing w:after="240"/>
      </w:pPr>
      <w:r w:rsidRPr="00DD47DF">
        <w:t>Obrázek 2: Vazby specifických cílů OP PIK na specifické cíle Národní RIS3 strategie</w:t>
      </w:r>
    </w:p>
    <w:p w14:paraId="3D1547AD" w14:textId="77777777" w:rsidR="00577869" w:rsidRPr="00DD47DF" w:rsidRDefault="00577869" w:rsidP="00577869">
      <w:pPr>
        <w:pStyle w:val="Standardntext"/>
      </w:pPr>
      <w:r w:rsidRPr="00DD47DF">
        <w:rPr>
          <w:noProof/>
        </w:rPr>
        <w:drawing>
          <wp:inline distT="0" distB="0" distL="0" distR="0" wp14:anchorId="6A4A6C9A" wp14:editId="44354FA0">
            <wp:extent cx="5849620" cy="45040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9620" cy="4504055"/>
                    </a:xfrm>
                    <a:prstGeom prst="rect">
                      <a:avLst/>
                    </a:prstGeom>
                    <a:noFill/>
                    <a:ln>
                      <a:noFill/>
                    </a:ln>
                  </pic:spPr>
                </pic:pic>
              </a:graphicData>
            </a:graphic>
          </wp:inline>
        </w:drawing>
      </w:r>
    </w:p>
    <w:p w14:paraId="746B9B93" w14:textId="77777777" w:rsidR="00577869" w:rsidRPr="00DD47DF" w:rsidRDefault="00577869" w:rsidP="00577869">
      <w:pPr>
        <w:pStyle w:val="Standardntext"/>
      </w:pPr>
      <w:r w:rsidRPr="00DD47DF">
        <w:t>Na základě kombinace dostupných empirických dat na straně jedné (data o intenzitě exportu, intenzitě výdajů na výzkum a vývoj, vývoji obratu v čase), a na straně druhé na základě započatého entrepreneurial discovery</w:t>
      </w:r>
      <w:r w:rsidR="00782BE3" w:rsidRPr="00DD47DF">
        <w:t xml:space="preserve"> procesu</w:t>
      </w:r>
      <w:r w:rsidRPr="00DD47DF">
        <w:t xml:space="preserve">, který probíhá od roku 2013 na regionální úrovni, </w:t>
      </w:r>
      <w:r w:rsidRPr="00DD47DF">
        <w:lastRenderedPageBreak/>
        <w:t>lze identifikovat základní oblasti ekonomické specializace, kde ČR vykazuje nadprůměrný růstový potenciál. Jsou to:</w:t>
      </w:r>
    </w:p>
    <w:p w14:paraId="5F3C4D89" w14:textId="77777777" w:rsidR="00577869" w:rsidRPr="00DD47DF" w:rsidRDefault="00577869" w:rsidP="00DA3512">
      <w:pPr>
        <w:pStyle w:val="Standardntext"/>
        <w:numPr>
          <w:ilvl w:val="0"/>
          <w:numId w:val="98"/>
        </w:numPr>
      </w:pPr>
      <w:r w:rsidRPr="00DD47DF">
        <w:t>výroba dopravních prostředků,</w:t>
      </w:r>
    </w:p>
    <w:p w14:paraId="277779C8" w14:textId="77777777" w:rsidR="00577869" w:rsidRPr="00DD47DF" w:rsidRDefault="00577869" w:rsidP="00DA3512">
      <w:pPr>
        <w:pStyle w:val="Standardntext"/>
        <w:numPr>
          <w:ilvl w:val="0"/>
          <w:numId w:val="98"/>
        </w:numPr>
      </w:pPr>
      <w:r w:rsidRPr="00DD47DF">
        <w:t>strojírenství,</w:t>
      </w:r>
    </w:p>
    <w:p w14:paraId="2D87AE8C" w14:textId="77777777" w:rsidR="00577869" w:rsidRPr="00DD47DF" w:rsidRDefault="00577869" w:rsidP="00DA3512">
      <w:pPr>
        <w:pStyle w:val="Standardntext"/>
        <w:numPr>
          <w:ilvl w:val="0"/>
          <w:numId w:val="98"/>
        </w:numPr>
      </w:pPr>
      <w:r w:rsidRPr="00DD47DF">
        <w:t>elektronika a elektrotechnika,</w:t>
      </w:r>
    </w:p>
    <w:p w14:paraId="493FEFE0" w14:textId="77777777" w:rsidR="00577869" w:rsidRPr="00DD47DF" w:rsidRDefault="00577869" w:rsidP="00DA3512">
      <w:pPr>
        <w:pStyle w:val="Standardntext"/>
        <w:numPr>
          <w:ilvl w:val="0"/>
          <w:numId w:val="98"/>
        </w:numPr>
      </w:pPr>
      <w:r w:rsidRPr="00DD47DF">
        <w:t>IT služby a software,</w:t>
      </w:r>
    </w:p>
    <w:p w14:paraId="34E23500" w14:textId="77777777" w:rsidR="00577869" w:rsidRPr="00DD47DF" w:rsidRDefault="00577869" w:rsidP="00DA3512">
      <w:pPr>
        <w:pStyle w:val="Standardntext"/>
        <w:numPr>
          <w:ilvl w:val="0"/>
          <w:numId w:val="98"/>
        </w:numPr>
      </w:pPr>
      <w:r w:rsidRPr="00DD47DF">
        <w:t>výroba a distribuce elektrické energie,</w:t>
      </w:r>
    </w:p>
    <w:p w14:paraId="6518058F" w14:textId="77777777" w:rsidR="00577869" w:rsidRPr="00DD47DF" w:rsidRDefault="00577869" w:rsidP="00DA3512">
      <w:pPr>
        <w:pStyle w:val="Standardntext"/>
        <w:numPr>
          <w:ilvl w:val="0"/>
          <w:numId w:val="98"/>
        </w:numPr>
      </w:pPr>
      <w:r w:rsidRPr="00DD47DF">
        <w:t>léčiva a zdravotnické prostředky.</w:t>
      </w:r>
    </w:p>
    <w:p w14:paraId="659A2081" w14:textId="77777777" w:rsidR="00577869" w:rsidRPr="00DD47DF" w:rsidRDefault="00577869" w:rsidP="00577869">
      <w:pPr>
        <w:pStyle w:val="Standardntext"/>
      </w:pPr>
      <w:r w:rsidRPr="00DD47DF">
        <w:t>Důležité je proto uvnitř těchto odvětví identifikovat konkrétní dílčí obory, které představují hlavní konkurenční sílu ekonomiky. Právě tyto dílčí obory, resp. firmy v nich, jsou důležité pro identifikaci znalostních domén, na jejichž rozvoj bude cílit inteligentní specializace. Je nutné zdůraznit, že prakticky u všech identifikovaných aplikačních oblastí (s výjimkou IT služeb a částečně u zdravotních služeb a péče) se jedná o obory výrobní. To odráží aktuální ekonomickou specializaci ČR a v tomto ohledu je žádoucí také usměrňovat do budoucna specializaci výzkumnou. To však nesmí vést k mylnému závěru, že je vhodné podporovat výlučně průmyslovou výrobu. Naopak u všech identifikovaných výrobních odvětví je s ohledem na rostoucí globální komodifikaci výrobních činností žádoucí zvyšovat podíl souvisejících kvalifikovaných služeb (např. konstrukce, testování, design, zakázkový vývoj, poradenské služby, ale také marketingové služby) na ekonomické výkonnosti ČR.</w:t>
      </w:r>
    </w:p>
    <w:p w14:paraId="64DDE1BB" w14:textId="77777777" w:rsidR="00577869" w:rsidRPr="00DD47DF" w:rsidRDefault="00577869" w:rsidP="00577869">
      <w:pPr>
        <w:pStyle w:val="Standardntext"/>
      </w:pPr>
      <w:r w:rsidRPr="00DD47DF">
        <w:t>Vedle šesti aplikačních témat odvozených od ekonomické a inovační dynamiky příslušných aplikačních odvětví bylo dále doplněno ještě sedmé téma:</w:t>
      </w:r>
    </w:p>
    <w:p w14:paraId="2F29C037" w14:textId="77777777" w:rsidR="00577869" w:rsidRPr="00DD47DF" w:rsidRDefault="00577869" w:rsidP="00DA3512">
      <w:pPr>
        <w:pStyle w:val="Standardntext"/>
        <w:numPr>
          <w:ilvl w:val="0"/>
          <w:numId w:val="99"/>
        </w:numPr>
      </w:pPr>
      <w:r w:rsidRPr="00DD47DF">
        <w:t>přírodní zdroje, udržitelné zemědělství a potravinová bezpečnost a dostatečnost,</w:t>
      </w:r>
    </w:p>
    <w:p w14:paraId="6FBFCC6E" w14:textId="77777777" w:rsidR="00577869" w:rsidRPr="00DD47DF" w:rsidRDefault="00577869" w:rsidP="00577869">
      <w:pPr>
        <w:pStyle w:val="Standardntext"/>
      </w:pPr>
      <w:r w:rsidRPr="00DD47DF">
        <w:t>které reflektuje potřebu inovací v oblasti přírodních zdrojů a potravinové dostatečnosti. Jde o oblast, kde v tuto chvíli neexistuje bezprostřední komparativní výhoda ČR v mezinárodním měřítku, existuje zde však důvodný předpoklad, že z hlediska udržení dlouhodobé konkurenceschopnosti jde o kritickou oblast nezbytnou pro předcházení rizik, která mohou dlouhodobě ohrožovat prosperitu ekonomiky a společnosti.</w:t>
      </w:r>
    </w:p>
    <w:p w14:paraId="2C12789F" w14:textId="77777777" w:rsidR="00577869" w:rsidRPr="00DD47DF" w:rsidRDefault="00577869" w:rsidP="00577869">
      <w:pPr>
        <w:pStyle w:val="Standardntext"/>
      </w:pPr>
      <w:r w:rsidRPr="00DD47DF">
        <w:t>Tyto oblasti jsou detailně zohledněny v Národní RIS3 strategii. Výzkumné aktivity v ČR pokrývají široké spektrum směrů a v určitém rozsahu pokrývají všechny klíčové znalostní domény (resp. KETs) – materiálového výzkumu, nanotechnologií, mikro</w:t>
      </w:r>
      <w:r w:rsidR="00650A99" w:rsidRPr="00DD47DF">
        <w:t>-</w:t>
      </w:r>
      <w:r w:rsidRPr="00DD47DF">
        <w:t xml:space="preserve"> a nanoelektroniky, fotoniky, pokročilých výrobních technologií a průmyslových biotechnologií. Veškerá tato zjištění budou využita pro identifikaci nových příležitostí v rámci inovačních platforem a entrepreneurial discovery proces, který bude probíhat v interakci mezi partnery v jednotlivých inovačních platformách, v nichž jsou zastoupeni jak zástupci firemní sféry, výzkumných organizací, tak veřejného sektoru. Touto cestou bude možné zpřesnit a prioritizovat aplikační témata inteligentní specializace definovaná jako průsečík společenských výzev, základních znalostních domén a aplikačních příležitostí. Koncept inteligentní specializace a entrepreneurial discovery process tak bude dále rozvíjen v celém průběhu implementace národní strategie RIS3.</w:t>
      </w:r>
    </w:p>
    <w:p w14:paraId="5BAA2B86" w14:textId="77777777" w:rsidR="00577869" w:rsidRPr="00DD47DF" w:rsidRDefault="00577869" w:rsidP="00577869">
      <w:pPr>
        <w:pStyle w:val="Standardntext"/>
      </w:pPr>
      <w:r w:rsidRPr="00DD47DF">
        <w:t xml:space="preserve">V návrhové části strategie inteligentní specializace byly současně, ve spolupráci klíčových partnerů, identifikovány typové operace, u nichž je navrhováno, aby v implementační fázi byla zohledněna vertikální dimenze intervencí. Konkrétní forma a míra „vertikalizace“ typových </w:t>
      </w:r>
      <w:r w:rsidRPr="00DD47DF">
        <w:lastRenderedPageBreak/>
        <w:t>operací bude předmětem projednání v inovačních platformách a Řídicím výboru S3 na národní úrovni. Půjde přitom jak o typové operace implementované jako ryze vertikální (tj. budou podporovány pouze projekty naplňující některou vertikální prioritu definovanou v odpovídající národní nebo regionální inovační platformě), nebo o typové operace se stanovenou mírou vertikality, kde bude stanoven podíl prostředků či projektů, jejichž podpora bude podmíněna jasnou vazbou na naplňování vertikálních priorit ČR nebo některého regionu.</w:t>
      </w:r>
    </w:p>
    <w:p w14:paraId="2A54A3A0" w14:textId="77777777" w:rsidR="00577869" w:rsidRPr="00DD47DF" w:rsidRDefault="00577869" w:rsidP="00577869">
      <w:pPr>
        <w:pStyle w:val="Standardntext"/>
      </w:pPr>
      <w:r w:rsidRPr="00DD47DF">
        <w:t>V prvních letech implementace RIS3 budou poměrově převažovat intervence horizontálního charakteru, protože jsou podmínkou pro růst efektivity intervencí vedoucích k rozvíjení specializace. V průběhu realizace národní RIS3 se budou za účasti podnikatelů a výzkumníků navržené domény specializace postupně profilovat a investice se budou zaměřovat na jejich podporu a rozvíjení. Dá se předpokládat, že postupně tedy bude podíl vertikalizovaných intervencí navyšován a v pokročilé fázi implementace RIS3 by již měly vertikalizované intervence převažovat.</w:t>
      </w:r>
    </w:p>
    <w:p w14:paraId="0C15F2D7" w14:textId="77777777" w:rsidR="00577869" w:rsidRPr="00DD47DF" w:rsidRDefault="00577869" w:rsidP="00577869">
      <w:pPr>
        <w:pStyle w:val="Standardntext"/>
        <w:rPr>
          <w:rFonts w:eastAsia="Calibri"/>
          <w:szCs w:val="22"/>
          <w:lang w:eastAsia="en-US"/>
        </w:rPr>
      </w:pPr>
      <w:r w:rsidRPr="00DD47DF">
        <w:rPr>
          <w:rFonts w:eastAsia="Calibri"/>
          <w:szCs w:val="22"/>
          <w:lang w:eastAsia="en-US"/>
        </w:rPr>
        <w:t>Přehled vertikálních priorit – klíčových odvětví aplikací a aplikační témata jak je definuje národní RIS3 uvádí následující tabulka.</w:t>
      </w:r>
    </w:p>
    <w:p w14:paraId="4111E10C" w14:textId="77777777" w:rsidR="00577869" w:rsidRPr="00DD47DF" w:rsidRDefault="00577869" w:rsidP="00577869">
      <w:pPr>
        <w:pStyle w:val="Titulek"/>
        <w:keepNext/>
        <w:keepLines/>
        <w:spacing w:after="240"/>
      </w:pPr>
      <w:r w:rsidRPr="00DD47DF">
        <w:t>Obrázek 3: Matice inovačních a výzkumných potřeb inteligentní specializace – znalostní domény vs. aplikační odvětví</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275"/>
        <w:gridCol w:w="590"/>
        <w:gridCol w:w="472"/>
        <w:gridCol w:w="497"/>
        <w:gridCol w:w="497"/>
        <w:gridCol w:w="497"/>
        <w:gridCol w:w="497"/>
        <w:gridCol w:w="608"/>
        <w:gridCol w:w="545"/>
        <w:gridCol w:w="497"/>
        <w:gridCol w:w="497"/>
        <w:gridCol w:w="497"/>
        <w:gridCol w:w="463"/>
      </w:tblGrid>
      <w:tr w:rsidR="00577869" w:rsidRPr="00DD47DF" w14:paraId="581357CC" w14:textId="77777777" w:rsidTr="00650A99">
        <w:trPr>
          <w:jc w:val="center"/>
        </w:trPr>
        <w:tc>
          <w:tcPr>
            <w:tcW w:w="1580" w:type="pct"/>
            <w:gridSpan w:val="2"/>
            <w:vMerge w:val="restart"/>
            <w:shd w:val="clear" w:color="auto" w:fill="C6D9F1" w:themeFill="text2" w:themeFillTint="33"/>
          </w:tcPr>
          <w:p w14:paraId="65F35303" w14:textId="77777777" w:rsidR="00577869" w:rsidRPr="00DD47DF" w:rsidRDefault="00577869" w:rsidP="0040363A">
            <w:pPr>
              <w:overflowPunct/>
              <w:autoSpaceDE/>
              <w:autoSpaceDN/>
              <w:adjustRightInd/>
              <w:spacing w:line="276" w:lineRule="auto"/>
              <w:jc w:val="both"/>
              <w:textAlignment w:val="auto"/>
              <w:rPr>
                <w:rFonts w:eastAsiaTheme="minorHAnsi" w:cstheme="minorHAnsi"/>
                <w:b/>
                <w:sz w:val="18"/>
                <w:szCs w:val="18"/>
                <w:lang w:eastAsia="en-US"/>
              </w:rPr>
            </w:pPr>
          </w:p>
        </w:tc>
        <w:tc>
          <w:tcPr>
            <w:tcW w:w="2032" w:type="pct"/>
            <w:gridSpan w:val="7"/>
            <w:shd w:val="clear" w:color="auto" w:fill="C6D9F1" w:themeFill="text2" w:themeFillTint="33"/>
          </w:tcPr>
          <w:p w14:paraId="42C48922" w14:textId="77777777" w:rsidR="00577869" w:rsidRPr="00DD47DF" w:rsidRDefault="00577869" w:rsidP="0040363A">
            <w:pPr>
              <w:overflowPunct/>
              <w:autoSpaceDE/>
              <w:autoSpaceDN/>
              <w:adjustRightInd/>
              <w:jc w:val="center"/>
              <w:textAlignment w:val="auto"/>
              <w:rPr>
                <w:rFonts w:eastAsiaTheme="minorHAnsi" w:cstheme="minorHAnsi"/>
                <w:b/>
                <w:sz w:val="18"/>
                <w:szCs w:val="18"/>
                <w:lang w:eastAsia="en-US"/>
              </w:rPr>
            </w:pPr>
            <w:r w:rsidRPr="00DD47DF">
              <w:rPr>
                <w:rFonts w:eastAsiaTheme="minorHAnsi" w:cstheme="minorHAnsi"/>
                <w:b/>
                <w:sz w:val="18"/>
                <w:szCs w:val="18"/>
                <w:lang w:eastAsia="en-US"/>
              </w:rPr>
              <w:t>Klíčová odvětví aplikací a aplikační témata - národní</w:t>
            </w:r>
          </w:p>
        </w:tc>
        <w:tc>
          <w:tcPr>
            <w:tcW w:w="1388" w:type="pct"/>
            <w:gridSpan w:val="5"/>
            <w:shd w:val="clear" w:color="auto" w:fill="C6D9F1" w:themeFill="text2" w:themeFillTint="33"/>
          </w:tcPr>
          <w:p w14:paraId="08CDBE8A" w14:textId="77777777" w:rsidR="00577869" w:rsidRPr="00DD47DF" w:rsidRDefault="00577869" w:rsidP="0040363A">
            <w:pPr>
              <w:overflowPunct/>
              <w:autoSpaceDE/>
              <w:autoSpaceDN/>
              <w:adjustRightInd/>
              <w:jc w:val="center"/>
              <w:textAlignment w:val="auto"/>
              <w:rPr>
                <w:rFonts w:eastAsiaTheme="minorHAnsi" w:cstheme="minorHAnsi"/>
                <w:b/>
                <w:sz w:val="18"/>
                <w:szCs w:val="18"/>
                <w:lang w:eastAsia="en-US"/>
              </w:rPr>
            </w:pPr>
            <w:r w:rsidRPr="00DD47DF">
              <w:rPr>
                <w:rFonts w:eastAsiaTheme="minorHAnsi" w:cstheme="minorHAnsi"/>
                <w:b/>
                <w:sz w:val="18"/>
                <w:szCs w:val="18"/>
                <w:lang w:eastAsia="en-US"/>
              </w:rPr>
              <w:t>Klíčová odvětví aplikací znalostí - regionální</w:t>
            </w:r>
            <w:r w:rsidRPr="00DD47DF">
              <w:rPr>
                <w:rFonts w:eastAsiaTheme="minorHAnsi" w:cstheme="minorHAnsi"/>
                <w:b/>
                <w:sz w:val="18"/>
                <w:szCs w:val="18"/>
                <w:vertAlign w:val="superscript"/>
                <w:lang w:eastAsia="en-US"/>
              </w:rPr>
              <w:footnoteReference w:id="11"/>
            </w:r>
          </w:p>
        </w:tc>
      </w:tr>
      <w:tr w:rsidR="00577869" w:rsidRPr="00DD47DF" w14:paraId="5D1CC609" w14:textId="77777777" w:rsidTr="00650A99">
        <w:trPr>
          <w:cantSplit/>
          <w:trHeight w:val="2332"/>
          <w:jc w:val="center"/>
        </w:trPr>
        <w:tc>
          <w:tcPr>
            <w:tcW w:w="1580" w:type="pct"/>
            <w:gridSpan w:val="2"/>
            <w:vMerge/>
            <w:shd w:val="clear" w:color="auto" w:fill="C6D9F1" w:themeFill="text2" w:themeFillTint="33"/>
          </w:tcPr>
          <w:p w14:paraId="791C18A1" w14:textId="77777777" w:rsidR="00577869" w:rsidRPr="00DD47DF" w:rsidRDefault="00577869" w:rsidP="0040363A">
            <w:pPr>
              <w:overflowPunct/>
              <w:autoSpaceDE/>
              <w:autoSpaceDN/>
              <w:adjustRightInd/>
              <w:spacing w:line="276" w:lineRule="auto"/>
              <w:jc w:val="both"/>
              <w:textAlignment w:val="auto"/>
              <w:rPr>
                <w:rFonts w:eastAsiaTheme="minorHAnsi" w:cstheme="minorHAnsi"/>
                <w:b/>
                <w:sz w:val="18"/>
                <w:szCs w:val="18"/>
                <w:lang w:eastAsia="en-US"/>
              </w:rPr>
            </w:pPr>
          </w:p>
        </w:tc>
        <w:tc>
          <w:tcPr>
            <w:tcW w:w="328" w:type="pct"/>
            <w:shd w:val="clear" w:color="auto" w:fill="C6D9F1" w:themeFill="text2" w:themeFillTint="33"/>
            <w:textDirection w:val="tbRl"/>
            <w:vAlign w:val="center"/>
          </w:tcPr>
          <w:p w14:paraId="45E9CB6E"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Výroba dopravních prostředků, udržitelnost a bezpečnost dopravy</w:t>
            </w:r>
          </w:p>
        </w:tc>
        <w:tc>
          <w:tcPr>
            <w:tcW w:w="262" w:type="pct"/>
            <w:shd w:val="clear" w:color="auto" w:fill="C6D9F1" w:themeFill="text2" w:themeFillTint="33"/>
            <w:textDirection w:val="tbRl"/>
            <w:vAlign w:val="center"/>
          </w:tcPr>
          <w:p w14:paraId="352E0704"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Pokročilé a úsporné strojírenství a automatizace </w:t>
            </w:r>
          </w:p>
        </w:tc>
        <w:tc>
          <w:tcPr>
            <w:tcW w:w="276" w:type="pct"/>
            <w:shd w:val="clear" w:color="auto" w:fill="C6D9F1" w:themeFill="text2" w:themeFillTint="33"/>
            <w:textDirection w:val="tbRl"/>
            <w:vAlign w:val="center"/>
          </w:tcPr>
          <w:p w14:paraId="41CFE5F1"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Úsporná řešení v elektronice a elektrotechnice</w:t>
            </w:r>
          </w:p>
        </w:tc>
        <w:tc>
          <w:tcPr>
            <w:tcW w:w="276" w:type="pct"/>
            <w:shd w:val="clear" w:color="auto" w:fill="C6D9F1" w:themeFill="text2" w:themeFillTint="33"/>
            <w:textDirection w:val="tbRl"/>
            <w:vAlign w:val="center"/>
          </w:tcPr>
          <w:p w14:paraId="5FB51EF2"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IT služby, software a IT bezpečnost </w:t>
            </w:r>
          </w:p>
        </w:tc>
        <w:tc>
          <w:tcPr>
            <w:tcW w:w="276" w:type="pct"/>
            <w:shd w:val="clear" w:color="auto" w:fill="C6D9F1" w:themeFill="text2" w:themeFillTint="33"/>
            <w:textDirection w:val="tbRl"/>
            <w:vAlign w:val="center"/>
          </w:tcPr>
          <w:p w14:paraId="4271264C"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Udržitelná  a bezpečná výroba a distribuce el. energie  </w:t>
            </w:r>
          </w:p>
        </w:tc>
        <w:tc>
          <w:tcPr>
            <w:tcW w:w="276" w:type="pct"/>
            <w:shd w:val="clear" w:color="auto" w:fill="C6D9F1" w:themeFill="text2" w:themeFillTint="33"/>
            <w:textDirection w:val="tbRl"/>
            <w:vAlign w:val="center"/>
          </w:tcPr>
          <w:p w14:paraId="09D6F92B"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Léčiva a zdravotnické prostředky a metody pro zdravé stárnutí</w:t>
            </w:r>
          </w:p>
        </w:tc>
        <w:tc>
          <w:tcPr>
            <w:tcW w:w="337" w:type="pct"/>
            <w:shd w:val="clear" w:color="auto" w:fill="C6D9F1" w:themeFill="text2" w:themeFillTint="33"/>
            <w:textDirection w:val="tbRl"/>
            <w:vAlign w:val="center"/>
          </w:tcPr>
          <w:p w14:paraId="1721AC02"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Přírodní zdroje, udržitelné zemědělství a potravinová bezpečnost a dostatečnost </w:t>
            </w:r>
          </w:p>
        </w:tc>
        <w:tc>
          <w:tcPr>
            <w:tcW w:w="303" w:type="pct"/>
            <w:shd w:val="clear" w:color="auto" w:fill="C6D9F1" w:themeFill="text2" w:themeFillTint="33"/>
            <w:textDirection w:val="tbRl"/>
            <w:vAlign w:val="center"/>
          </w:tcPr>
          <w:p w14:paraId="01D083D9"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Chemie a chemický průmysl</w:t>
            </w:r>
          </w:p>
        </w:tc>
        <w:tc>
          <w:tcPr>
            <w:tcW w:w="276" w:type="pct"/>
            <w:shd w:val="clear" w:color="auto" w:fill="C6D9F1" w:themeFill="text2" w:themeFillTint="33"/>
            <w:textDirection w:val="tbRl"/>
            <w:vAlign w:val="center"/>
          </w:tcPr>
          <w:p w14:paraId="375EDB5F"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Sklářství, keramika</w:t>
            </w:r>
          </w:p>
        </w:tc>
        <w:tc>
          <w:tcPr>
            <w:tcW w:w="276" w:type="pct"/>
            <w:shd w:val="clear" w:color="auto" w:fill="C6D9F1" w:themeFill="text2" w:themeFillTint="33"/>
            <w:textDirection w:val="tbRl"/>
            <w:vAlign w:val="center"/>
          </w:tcPr>
          <w:p w14:paraId="4D12A68D"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Gumárenství, plastikářství</w:t>
            </w:r>
          </w:p>
        </w:tc>
        <w:tc>
          <w:tcPr>
            <w:tcW w:w="276" w:type="pct"/>
            <w:shd w:val="clear" w:color="auto" w:fill="C6D9F1" w:themeFill="text2" w:themeFillTint="33"/>
            <w:textDirection w:val="tbRl"/>
            <w:vAlign w:val="center"/>
          </w:tcPr>
          <w:p w14:paraId="5F8C544D"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Média</w:t>
            </w:r>
          </w:p>
        </w:tc>
        <w:tc>
          <w:tcPr>
            <w:tcW w:w="257" w:type="pct"/>
            <w:shd w:val="clear" w:color="auto" w:fill="C6D9F1" w:themeFill="text2" w:themeFillTint="33"/>
            <w:textDirection w:val="tbRl"/>
            <w:vAlign w:val="center"/>
          </w:tcPr>
          <w:p w14:paraId="258AE916"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Textil</w:t>
            </w:r>
          </w:p>
        </w:tc>
      </w:tr>
      <w:tr w:rsidR="00577869" w:rsidRPr="00DD47DF" w14:paraId="313E2F6C" w14:textId="77777777" w:rsidTr="00650A99">
        <w:trPr>
          <w:jc w:val="center"/>
        </w:trPr>
        <w:tc>
          <w:tcPr>
            <w:tcW w:w="316"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33E62754" w14:textId="77777777" w:rsidR="00577869" w:rsidRPr="00DD47DF" w:rsidRDefault="00577869" w:rsidP="0040363A">
            <w:pPr>
              <w:overflowPunct/>
              <w:autoSpaceDE/>
              <w:autoSpaceDN/>
              <w:adjustRightInd/>
              <w:ind w:left="113" w:right="113"/>
              <w:jc w:val="center"/>
              <w:textAlignment w:val="auto"/>
              <w:rPr>
                <w:rFonts w:eastAsiaTheme="minorHAnsi" w:cstheme="minorHAnsi"/>
                <w:b/>
                <w:sz w:val="18"/>
                <w:szCs w:val="18"/>
                <w:lang w:eastAsia="en-US"/>
              </w:rPr>
            </w:pPr>
            <w:r w:rsidRPr="00DD47DF">
              <w:rPr>
                <w:rFonts w:eastAsiaTheme="minorHAnsi" w:cstheme="minorHAnsi"/>
                <w:b/>
                <w:sz w:val="18"/>
                <w:szCs w:val="18"/>
                <w:lang w:eastAsia="en-US"/>
              </w:rPr>
              <w:t>Generické znalostní domény (KETs + netechnologické domény)</w:t>
            </w:r>
          </w:p>
        </w:tc>
        <w:tc>
          <w:tcPr>
            <w:tcW w:w="1264" w:type="pct"/>
            <w:tcBorders>
              <w:left w:val="single" w:sz="4" w:space="0" w:color="auto"/>
            </w:tcBorders>
          </w:tcPr>
          <w:p w14:paraId="1F7F961D"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Pokročilé materiály</w:t>
            </w:r>
          </w:p>
        </w:tc>
        <w:tc>
          <w:tcPr>
            <w:tcW w:w="328" w:type="pct"/>
            <w:vAlign w:val="center"/>
          </w:tcPr>
          <w:p w14:paraId="7CAE8CC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4F5BC1F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E2D6E4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FEBBD0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1BFBAB2"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369E99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11336F7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7D49179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81B5F2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D1F922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F3784D0"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1FEF0FC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4E22C2A6"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39AE170E"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66B73F3D"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Nanotechnologie</w:t>
            </w:r>
          </w:p>
        </w:tc>
        <w:tc>
          <w:tcPr>
            <w:tcW w:w="328" w:type="pct"/>
            <w:vAlign w:val="center"/>
          </w:tcPr>
          <w:p w14:paraId="1F01E81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2732A26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C8C817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55063D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813EBC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F48161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4B854FE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5457CE1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78A8C3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93212D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1099B6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689C457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54D15477"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26923160"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517CE5E6"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Mikro a nanoelektronika </w:t>
            </w:r>
          </w:p>
        </w:tc>
        <w:tc>
          <w:tcPr>
            <w:tcW w:w="328" w:type="pct"/>
            <w:vAlign w:val="center"/>
          </w:tcPr>
          <w:p w14:paraId="3F8C80F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0C3C90D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A8CA34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05FBBB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3B16A2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841E14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226C912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3A0A352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4A5EFC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CECCAF5"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3330A2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581911E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416C87D1"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7DA23FE1"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54799518"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Pokročilé výrobní technologie</w:t>
            </w:r>
          </w:p>
        </w:tc>
        <w:tc>
          <w:tcPr>
            <w:tcW w:w="328" w:type="pct"/>
            <w:vAlign w:val="center"/>
          </w:tcPr>
          <w:p w14:paraId="5759AB62"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2610BD7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B42846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1DD75DF" w14:textId="77777777" w:rsidR="00577869" w:rsidRPr="00DD47DF" w:rsidRDefault="00577869" w:rsidP="0040363A">
            <w:pPr>
              <w:overflowPunct/>
              <w:autoSpaceDE/>
              <w:autoSpaceDN/>
              <w:adjustRightInd/>
              <w:textAlignment w:val="auto"/>
              <w:rPr>
                <w:rFonts w:eastAsiaTheme="minorHAnsi" w:cstheme="minorHAnsi"/>
                <w:sz w:val="16"/>
                <w:szCs w:val="18"/>
                <w:lang w:eastAsia="en-US"/>
              </w:rPr>
            </w:pPr>
          </w:p>
        </w:tc>
        <w:tc>
          <w:tcPr>
            <w:tcW w:w="276" w:type="pct"/>
            <w:vAlign w:val="center"/>
          </w:tcPr>
          <w:p w14:paraId="57FFD6E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CE5707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591805F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09AA40F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38BAC02"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052A5D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DB1E0A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2C0470E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71FD47F2"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7BA32959"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3D764606"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Fotonika</w:t>
            </w:r>
          </w:p>
        </w:tc>
        <w:tc>
          <w:tcPr>
            <w:tcW w:w="328" w:type="pct"/>
            <w:vAlign w:val="center"/>
          </w:tcPr>
          <w:p w14:paraId="7D69366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4859390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1ECB3B5"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0B6E02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2C1F0E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543218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2B6B56C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4FECAC1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592D71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D52FE1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3EAF65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47FA8CE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4F92F830"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1CBE05AE"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40EC93F1"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Průmyslové biotechnologie </w:t>
            </w:r>
          </w:p>
        </w:tc>
        <w:tc>
          <w:tcPr>
            <w:tcW w:w="328" w:type="pct"/>
            <w:vAlign w:val="center"/>
          </w:tcPr>
          <w:p w14:paraId="4EF4531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0E23E78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27607E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519E4E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D70919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28F50B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0F1828B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2CDDC83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356F5D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A222FB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C8D6DE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78BEECE5"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4E26F43C"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544831F6"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70B1931D"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Znalosti pro digitální ekonomiku</w:t>
            </w:r>
            <w:r w:rsidRPr="00DD47DF">
              <w:rPr>
                <w:rFonts w:eastAsiaTheme="minorHAnsi" w:cstheme="minorHAnsi"/>
                <w:sz w:val="18"/>
                <w:szCs w:val="18"/>
                <w:vertAlign w:val="superscript"/>
                <w:lang w:eastAsia="en-US"/>
              </w:rPr>
              <w:footnoteReference w:id="12"/>
            </w:r>
            <w:r w:rsidRPr="00DD47DF">
              <w:rPr>
                <w:rFonts w:eastAsiaTheme="minorHAnsi" w:cstheme="minorHAnsi"/>
                <w:sz w:val="18"/>
                <w:szCs w:val="18"/>
                <w:lang w:eastAsia="en-US"/>
              </w:rPr>
              <w:t>, kulturní a kreativní průmysl</w:t>
            </w:r>
            <w:r w:rsidRPr="00DD47DF">
              <w:rPr>
                <w:rFonts w:eastAsiaTheme="minorHAnsi" w:cstheme="minorHAnsi"/>
                <w:sz w:val="18"/>
                <w:szCs w:val="18"/>
                <w:vertAlign w:val="superscript"/>
                <w:lang w:eastAsia="en-US"/>
              </w:rPr>
              <w:footnoteReference w:id="13"/>
            </w:r>
          </w:p>
        </w:tc>
        <w:tc>
          <w:tcPr>
            <w:tcW w:w="328" w:type="pct"/>
            <w:vAlign w:val="center"/>
          </w:tcPr>
          <w:p w14:paraId="6765BD30"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4517CBC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CF270D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BE0654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A9A98A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7DF378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19620F5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61F403A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93DFA15"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9AFE99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CA150A0"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139ECCE4"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56EAE952"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47747E7C"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5B2528F9"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Společenskovědní znalosti pro netechnické inovace</w:t>
            </w:r>
          </w:p>
        </w:tc>
        <w:tc>
          <w:tcPr>
            <w:tcW w:w="328" w:type="pct"/>
            <w:vAlign w:val="center"/>
          </w:tcPr>
          <w:p w14:paraId="3BA1AEB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44B7E57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DEBCBC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9F60D5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F6B110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97949D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7D132A40"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6348D554"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C2CEFE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2FD2CF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5B2DFD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5A42FCD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bl>
    <w:p w14:paraId="0D05DC7D" w14:textId="77777777" w:rsidR="00577869" w:rsidRPr="00DD47DF" w:rsidRDefault="00577869" w:rsidP="00577869">
      <w:pPr>
        <w:pStyle w:val="Standardntext"/>
        <w:spacing w:before="120"/>
      </w:pPr>
      <w:r w:rsidRPr="00DD47DF">
        <w:lastRenderedPageBreak/>
        <w:t>Pro tyto vertikální priority představuje OP PIK jeden z hlavních implementačních nástrojů. Na uvedená aplikační témata bude brán zvláštní zřetel při tvorbě program</w:t>
      </w:r>
      <w:r w:rsidR="00782BE3" w:rsidRPr="00DD47DF">
        <w:t>ů podpory</w:t>
      </w:r>
      <w:r w:rsidRPr="00DD47DF">
        <w:t xml:space="preserve">, ve výzvách a při hodnocení projektů a bude k přihlédnuto k tomu, zda předmětná intervence k těmto prioritám přispívá. Synergické nastavení RIS3 a OP PIK podporuje také skutečnost, že předmětná odvětví byla identifikována také v rámci analytické části přípravy OP PIK. </w:t>
      </w:r>
    </w:p>
    <w:p w14:paraId="34E857E4" w14:textId="77777777" w:rsidR="00577869" w:rsidRPr="00DD47DF" w:rsidRDefault="00577869" w:rsidP="00577869">
      <w:pPr>
        <w:pStyle w:val="Standardntext"/>
      </w:pPr>
      <w:r w:rsidRPr="00DD47DF">
        <w:t>Naplňování cílů a vertikálních priorit definovaných v Národní RIS3 strategii bude průběžně sledováno a vyhodnocováno externím nezávislým subjektem ve spolupráci s dotčenými realizátory intervencí za využití speciálních datových šetření a dopadových a dalších srovnávacích analýz a evaluací.</w:t>
      </w:r>
    </w:p>
    <w:p w14:paraId="50808D4F" w14:textId="77777777" w:rsidR="00E46D79" w:rsidRPr="00DD47DF" w:rsidRDefault="00E46D79" w:rsidP="000B0FE7">
      <w:pPr>
        <w:pStyle w:val="Standardntext"/>
        <w:keepNext/>
        <w:keepLines/>
        <w:rPr>
          <w:b/>
        </w:rPr>
      </w:pPr>
      <w:r w:rsidRPr="00DD47DF">
        <w:rPr>
          <w:b/>
        </w:rPr>
        <w:t>SWOT analýza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tblGrid>
      <w:tr w:rsidR="00D603D5" w:rsidRPr="00DD47DF" w14:paraId="5B563043" w14:textId="77777777" w:rsidTr="007D02F2">
        <w:trPr>
          <w:trHeight w:val="552"/>
        </w:trPr>
        <w:tc>
          <w:tcPr>
            <w:tcW w:w="2500" w:type="pct"/>
            <w:shd w:val="clear" w:color="auto" w:fill="B8CCE4" w:themeFill="accent1" w:themeFillTint="66"/>
            <w:vAlign w:val="center"/>
          </w:tcPr>
          <w:p w14:paraId="6EB9F47A" w14:textId="77777777" w:rsidR="00D603D5" w:rsidRPr="00DD47DF" w:rsidRDefault="00D603D5" w:rsidP="000B0FE7">
            <w:pPr>
              <w:pStyle w:val="Tabulka"/>
              <w:keepNext/>
              <w:keepLines/>
              <w:rPr>
                <w:b/>
              </w:rPr>
            </w:pPr>
            <w:r w:rsidRPr="00DD47DF">
              <w:rPr>
                <w:b/>
              </w:rPr>
              <w:t>Silné stránky</w:t>
            </w:r>
          </w:p>
        </w:tc>
        <w:tc>
          <w:tcPr>
            <w:tcW w:w="2500" w:type="pct"/>
            <w:shd w:val="clear" w:color="auto" w:fill="B8CCE4" w:themeFill="accent1" w:themeFillTint="66"/>
            <w:vAlign w:val="center"/>
          </w:tcPr>
          <w:p w14:paraId="6EE4D1EC" w14:textId="77777777" w:rsidR="00D603D5" w:rsidRPr="00DD47DF" w:rsidRDefault="00D603D5" w:rsidP="000B0FE7">
            <w:pPr>
              <w:pStyle w:val="Tabulka"/>
              <w:keepNext/>
              <w:keepLines/>
              <w:rPr>
                <w:b/>
              </w:rPr>
            </w:pPr>
            <w:r w:rsidRPr="00DD47DF">
              <w:rPr>
                <w:b/>
              </w:rPr>
              <w:t>Slabé stránky</w:t>
            </w:r>
          </w:p>
        </w:tc>
      </w:tr>
      <w:tr w:rsidR="00D603D5" w:rsidRPr="00DD47DF" w14:paraId="194BEC80" w14:textId="77777777" w:rsidTr="007D02F2">
        <w:tc>
          <w:tcPr>
            <w:tcW w:w="2500" w:type="pct"/>
            <w:shd w:val="clear" w:color="auto" w:fill="auto"/>
          </w:tcPr>
          <w:p w14:paraId="148658FA" w14:textId="77777777" w:rsidR="00D603D5" w:rsidRPr="00DD47DF" w:rsidRDefault="00D603D5" w:rsidP="00DA3512">
            <w:pPr>
              <w:pStyle w:val="Tabulka"/>
              <w:keepNext/>
              <w:keepLines/>
              <w:numPr>
                <w:ilvl w:val="0"/>
                <w:numId w:val="93"/>
              </w:numPr>
              <w:ind w:left="426"/>
              <w:jc w:val="left"/>
            </w:pPr>
            <w:r w:rsidRPr="00DD47DF">
              <w:t>Schopnost podniků vyvíjet a zavádět nové produkty, technologické postupy, změny v organizaci práce či nové způsoby prodeje výrobků a služeb;</w:t>
            </w:r>
          </w:p>
          <w:p w14:paraId="0110321C" w14:textId="77777777" w:rsidR="00D603D5" w:rsidRPr="00DD47DF" w:rsidRDefault="00D603D5" w:rsidP="00DA3512">
            <w:pPr>
              <w:pStyle w:val="Tabulka"/>
              <w:keepNext/>
              <w:keepLines/>
              <w:numPr>
                <w:ilvl w:val="0"/>
                <w:numId w:val="93"/>
              </w:numPr>
              <w:ind w:left="426"/>
              <w:jc w:val="left"/>
            </w:pPr>
            <w:r w:rsidRPr="00DD47DF">
              <w:t>Zlepšení v oblasti technologické i vědecko-výzkumné infrastruktury;</w:t>
            </w:r>
          </w:p>
          <w:p w14:paraId="655F13FE" w14:textId="77777777" w:rsidR="00D603D5" w:rsidRPr="00DD47DF" w:rsidRDefault="00D603D5" w:rsidP="00DA3512">
            <w:pPr>
              <w:pStyle w:val="Tabulka"/>
              <w:keepNext/>
              <w:keepLines/>
              <w:numPr>
                <w:ilvl w:val="0"/>
                <w:numId w:val="93"/>
              </w:numPr>
              <w:ind w:left="426"/>
              <w:jc w:val="left"/>
            </w:pPr>
            <w:r w:rsidRPr="00DD47DF">
              <w:t>Pozitivní trend ve vývoji výdajů na VaV;</w:t>
            </w:r>
          </w:p>
          <w:p w14:paraId="0B8EDD7B" w14:textId="77777777" w:rsidR="00D603D5" w:rsidRPr="00DD47DF" w:rsidRDefault="00D603D5" w:rsidP="00DA3512">
            <w:pPr>
              <w:pStyle w:val="Tabulka"/>
              <w:keepNext/>
              <w:keepLines/>
              <w:numPr>
                <w:ilvl w:val="0"/>
                <w:numId w:val="93"/>
              </w:numPr>
              <w:ind w:left="426"/>
              <w:jc w:val="left"/>
            </w:pPr>
            <w:r w:rsidRPr="00DD47DF">
              <w:t>Trend růstu počtu vývojových center ve firmách (růst počtu subjektů realizujících aktivity výzkumu a vývoje);</w:t>
            </w:r>
          </w:p>
          <w:p w14:paraId="02D36D56" w14:textId="77777777" w:rsidR="00D603D5" w:rsidRPr="00DD47DF" w:rsidRDefault="00D603D5" w:rsidP="00DA3512">
            <w:pPr>
              <w:pStyle w:val="Tabulka"/>
              <w:keepNext/>
              <w:keepLines/>
              <w:numPr>
                <w:ilvl w:val="0"/>
                <w:numId w:val="93"/>
              </w:numPr>
              <w:ind w:left="426"/>
              <w:jc w:val="left"/>
            </w:pPr>
            <w:r w:rsidRPr="00DD47DF">
              <w:t>Kvantitativní posílení inovační infrastruktury – zvýšení počtu zařízení / organizací na podporu inovačního podnikání a technologického transferu;</w:t>
            </w:r>
          </w:p>
          <w:p w14:paraId="041631D2" w14:textId="77777777" w:rsidR="00D603D5" w:rsidRPr="00DD47DF" w:rsidRDefault="00D603D5" w:rsidP="00DA3512">
            <w:pPr>
              <w:pStyle w:val="Tabulka"/>
              <w:keepNext/>
              <w:keepLines/>
              <w:numPr>
                <w:ilvl w:val="0"/>
                <w:numId w:val="93"/>
              </w:numPr>
              <w:ind w:left="426"/>
              <w:jc w:val="left"/>
            </w:pPr>
            <w:r w:rsidRPr="00DD47DF">
              <w:t>Kvalitní technické kompetence a tradice průmyslového know-how.</w:t>
            </w:r>
          </w:p>
        </w:tc>
        <w:tc>
          <w:tcPr>
            <w:tcW w:w="2500" w:type="pct"/>
            <w:shd w:val="clear" w:color="auto" w:fill="auto"/>
          </w:tcPr>
          <w:p w14:paraId="6281F3E5" w14:textId="77777777" w:rsidR="00D603D5" w:rsidRPr="00DD47DF" w:rsidRDefault="00D603D5" w:rsidP="00DA3512">
            <w:pPr>
              <w:pStyle w:val="Tabulka"/>
              <w:keepNext/>
              <w:keepLines/>
              <w:numPr>
                <w:ilvl w:val="0"/>
                <w:numId w:val="93"/>
              </w:numPr>
              <w:ind w:left="459"/>
              <w:jc w:val="left"/>
            </w:pPr>
            <w:r w:rsidRPr="00DD47DF">
              <w:rPr>
                <w:rFonts w:cs="Calibri"/>
                <w:bCs/>
              </w:rPr>
              <w:t>ČR zaostává v oblasti využití výsledků VaVaI;</w:t>
            </w:r>
          </w:p>
          <w:p w14:paraId="2E768847" w14:textId="77777777" w:rsidR="00D603D5" w:rsidRPr="00DD47DF" w:rsidRDefault="00D603D5" w:rsidP="00DA3512">
            <w:pPr>
              <w:pStyle w:val="Tabulka"/>
              <w:keepNext/>
              <w:keepLines/>
              <w:numPr>
                <w:ilvl w:val="0"/>
                <w:numId w:val="93"/>
              </w:numPr>
              <w:ind w:left="459"/>
              <w:jc w:val="left"/>
            </w:pPr>
            <w:r w:rsidRPr="00DD47DF">
              <w:rPr>
                <w:rFonts w:cs="Calibri"/>
                <w:bCs/>
              </w:rPr>
              <w:t>Nízké výdaje podnikatelského sektoru na provádění VaV ve vládním a vysokoškolském sektoru;</w:t>
            </w:r>
          </w:p>
          <w:p w14:paraId="1456CC29" w14:textId="77777777" w:rsidR="00D603D5" w:rsidRPr="00DD47DF" w:rsidRDefault="00D603D5" w:rsidP="00DA3512">
            <w:pPr>
              <w:pStyle w:val="Tabulka"/>
              <w:keepNext/>
              <w:keepLines/>
              <w:numPr>
                <w:ilvl w:val="0"/>
                <w:numId w:val="93"/>
              </w:numPr>
              <w:ind w:left="459"/>
              <w:jc w:val="left"/>
            </w:pPr>
            <w:r w:rsidRPr="00DD47DF">
              <w:t>Podrozvinutost znalostních kapacit některých regionů;</w:t>
            </w:r>
          </w:p>
          <w:p w14:paraId="60E2F57E" w14:textId="77777777" w:rsidR="00D603D5" w:rsidRPr="00DD47DF" w:rsidRDefault="00D603D5" w:rsidP="00DA3512">
            <w:pPr>
              <w:pStyle w:val="Tabulka"/>
              <w:keepNext/>
              <w:keepLines/>
              <w:numPr>
                <w:ilvl w:val="0"/>
                <w:numId w:val="93"/>
              </w:numPr>
              <w:ind w:left="459"/>
              <w:jc w:val="left"/>
            </w:pPr>
            <w:r w:rsidRPr="00DD47DF">
              <w:rPr>
                <w:rFonts w:cs="Calibri"/>
                <w:bCs/>
              </w:rPr>
              <w:t>Nízká inovační poptávka českých podniků, p</w:t>
            </w:r>
            <w:r w:rsidRPr="00DD47DF">
              <w:t>řevaha výroby s malou přidanou hodnotou</w:t>
            </w:r>
            <w:r w:rsidRPr="00DD47DF">
              <w:rPr>
                <w:rFonts w:cs="Calibri"/>
                <w:bCs/>
              </w:rPr>
              <w:t>;</w:t>
            </w:r>
          </w:p>
          <w:p w14:paraId="7DF0D03D" w14:textId="77777777" w:rsidR="00D603D5" w:rsidRPr="00DD47DF" w:rsidRDefault="00D603D5" w:rsidP="00DA3512">
            <w:pPr>
              <w:pStyle w:val="Tabulka"/>
              <w:keepNext/>
              <w:keepLines/>
              <w:numPr>
                <w:ilvl w:val="0"/>
                <w:numId w:val="93"/>
              </w:numPr>
              <w:ind w:left="459"/>
              <w:jc w:val="left"/>
              <w:rPr>
                <w:rFonts w:cs="Calibri"/>
                <w:bCs/>
              </w:rPr>
            </w:pPr>
            <w:r w:rsidRPr="00DD47DF">
              <w:rPr>
                <w:rFonts w:cs="Calibri"/>
                <w:bCs/>
              </w:rPr>
              <w:t>Nedostatečné povědomí a využití ochrany práv duševního vlastnictví, nízký počet patentových přihlášek u Evropského patentového úřadu;</w:t>
            </w:r>
          </w:p>
          <w:p w14:paraId="1A71C2D4" w14:textId="77777777" w:rsidR="00D603D5" w:rsidRPr="00DD47DF" w:rsidRDefault="00D603D5" w:rsidP="00DA3512">
            <w:pPr>
              <w:pStyle w:val="Tabulka"/>
              <w:keepNext/>
              <w:keepLines/>
              <w:numPr>
                <w:ilvl w:val="0"/>
                <w:numId w:val="93"/>
              </w:numPr>
              <w:ind w:left="459"/>
              <w:jc w:val="left"/>
            </w:pPr>
            <w:r w:rsidRPr="00DD47DF">
              <w:t>Spoléhání se pouze na vlastní kompetence a nedůvěra v přínosy ze spolupráce, ať už mezi podniky či s výzkumnými institucemi.</w:t>
            </w:r>
          </w:p>
        </w:tc>
      </w:tr>
      <w:tr w:rsidR="00D603D5" w:rsidRPr="00DD47DF" w14:paraId="681C57D6" w14:textId="77777777" w:rsidTr="007D02F2">
        <w:trPr>
          <w:trHeight w:val="553"/>
        </w:trPr>
        <w:tc>
          <w:tcPr>
            <w:tcW w:w="2500" w:type="pct"/>
            <w:shd w:val="clear" w:color="auto" w:fill="B8CCE4" w:themeFill="accent1" w:themeFillTint="66"/>
            <w:vAlign w:val="center"/>
          </w:tcPr>
          <w:p w14:paraId="10BCA7CB" w14:textId="77777777" w:rsidR="00D603D5" w:rsidRPr="00DD47DF" w:rsidRDefault="00D603D5" w:rsidP="007D02F2">
            <w:pPr>
              <w:pStyle w:val="Tabulka"/>
              <w:rPr>
                <w:b/>
                <w:sz w:val="24"/>
              </w:rPr>
            </w:pPr>
            <w:r w:rsidRPr="00DD47DF">
              <w:rPr>
                <w:b/>
              </w:rPr>
              <w:t>Příležitosti</w:t>
            </w:r>
          </w:p>
        </w:tc>
        <w:tc>
          <w:tcPr>
            <w:tcW w:w="2500" w:type="pct"/>
            <w:shd w:val="clear" w:color="auto" w:fill="B8CCE4" w:themeFill="accent1" w:themeFillTint="66"/>
            <w:vAlign w:val="center"/>
          </w:tcPr>
          <w:p w14:paraId="307DE08D" w14:textId="77777777" w:rsidR="00D603D5" w:rsidRPr="00DD47DF" w:rsidRDefault="00D603D5" w:rsidP="007D02F2">
            <w:pPr>
              <w:pStyle w:val="Tabulka"/>
              <w:rPr>
                <w:b/>
                <w:sz w:val="24"/>
              </w:rPr>
            </w:pPr>
            <w:r w:rsidRPr="00DD47DF">
              <w:rPr>
                <w:b/>
              </w:rPr>
              <w:t>Hrozby</w:t>
            </w:r>
          </w:p>
        </w:tc>
      </w:tr>
      <w:tr w:rsidR="00D603D5" w:rsidRPr="00DD47DF" w14:paraId="71A5D884" w14:textId="77777777" w:rsidTr="007D02F2">
        <w:tc>
          <w:tcPr>
            <w:tcW w:w="2500" w:type="pct"/>
            <w:shd w:val="clear" w:color="auto" w:fill="auto"/>
          </w:tcPr>
          <w:p w14:paraId="2262AC0C" w14:textId="77777777" w:rsidR="00D603D5" w:rsidRPr="00DD47DF" w:rsidRDefault="00D603D5" w:rsidP="00DA3512">
            <w:pPr>
              <w:pStyle w:val="Tabulka"/>
              <w:numPr>
                <w:ilvl w:val="0"/>
                <w:numId w:val="93"/>
              </w:numPr>
              <w:ind w:left="426"/>
              <w:jc w:val="left"/>
            </w:pPr>
            <w:r w:rsidRPr="00DD47DF">
              <w:t>Rozvoj výzkumně-vývojových aktivit v oblastech řazených mezi tzv. „key enabling technologies“ (tzv. klíčových technologií);</w:t>
            </w:r>
          </w:p>
          <w:p w14:paraId="3E6F1323" w14:textId="77777777" w:rsidR="00D603D5" w:rsidRPr="00DD47DF" w:rsidRDefault="00D603D5" w:rsidP="00DA3512">
            <w:pPr>
              <w:pStyle w:val="Tabulka"/>
              <w:numPr>
                <w:ilvl w:val="0"/>
                <w:numId w:val="93"/>
              </w:numPr>
              <w:ind w:left="426"/>
              <w:jc w:val="left"/>
            </w:pPr>
            <w:r w:rsidRPr="00DD47DF">
              <w:t>Využít potenciál inovací v aplikační sféře;</w:t>
            </w:r>
          </w:p>
          <w:p w14:paraId="463E0A32" w14:textId="77777777" w:rsidR="00D603D5" w:rsidRPr="00DD47DF" w:rsidRDefault="00D603D5" w:rsidP="00DA3512">
            <w:pPr>
              <w:pStyle w:val="Tabulka"/>
              <w:numPr>
                <w:ilvl w:val="0"/>
                <w:numId w:val="93"/>
              </w:numPr>
              <w:ind w:left="426"/>
              <w:jc w:val="left"/>
            </w:pPr>
            <w:r w:rsidRPr="00DD47DF">
              <w:t>Reforma financování vědy a výzkumu – posílení podpory kvality na úkor kvantity a nové impulsy pro intenzivnější spolupráci průmyslového a akademického sektoru;</w:t>
            </w:r>
          </w:p>
          <w:p w14:paraId="5519E9E4" w14:textId="77777777" w:rsidR="00D603D5" w:rsidRPr="00DD47DF" w:rsidRDefault="00D603D5" w:rsidP="00DA3512">
            <w:pPr>
              <w:pStyle w:val="Tabulka"/>
              <w:numPr>
                <w:ilvl w:val="0"/>
                <w:numId w:val="93"/>
              </w:numPr>
              <w:ind w:left="426"/>
              <w:jc w:val="left"/>
            </w:pPr>
            <w:r w:rsidRPr="00DD47DF">
              <w:t>Zlepšení institucionálního prostředí jako signál pro zahraniční investice do aktivit s vysokou přidanou hodnotou;</w:t>
            </w:r>
          </w:p>
          <w:p w14:paraId="5E2EC5D7" w14:textId="77777777" w:rsidR="00D603D5" w:rsidRPr="00DD47DF" w:rsidRDefault="00D603D5" w:rsidP="00DA3512">
            <w:pPr>
              <w:pStyle w:val="Tabulka"/>
              <w:numPr>
                <w:ilvl w:val="0"/>
                <w:numId w:val="93"/>
              </w:numPr>
              <w:ind w:left="426"/>
              <w:jc w:val="left"/>
            </w:pPr>
            <w:r w:rsidRPr="00DD47DF">
              <w:t>Benefity vyplývající ze síťování podniků (klastry) včetně navázání spolupráce se zahraničními obchodními partnery a výzkumnými organizacemi;</w:t>
            </w:r>
          </w:p>
          <w:p w14:paraId="4368A62B" w14:textId="77777777" w:rsidR="00D603D5" w:rsidRPr="00DD47DF" w:rsidRDefault="00D603D5" w:rsidP="00DA3512">
            <w:pPr>
              <w:pStyle w:val="Tabulka"/>
              <w:numPr>
                <w:ilvl w:val="0"/>
                <w:numId w:val="93"/>
              </w:numPr>
              <w:ind w:left="426"/>
              <w:jc w:val="left"/>
            </w:pPr>
            <w:r w:rsidRPr="00DD47DF">
              <w:t xml:space="preserve">Maximální využití vybudované VaVaI </w:t>
            </w:r>
            <w:r w:rsidRPr="00DD47DF">
              <w:lastRenderedPageBreak/>
              <w:t>infrastruktury.</w:t>
            </w:r>
          </w:p>
        </w:tc>
        <w:tc>
          <w:tcPr>
            <w:tcW w:w="2500" w:type="pct"/>
            <w:shd w:val="clear" w:color="auto" w:fill="auto"/>
          </w:tcPr>
          <w:p w14:paraId="20BB8A07" w14:textId="77777777" w:rsidR="00D603D5" w:rsidRPr="00DD47DF" w:rsidRDefault="00D603D5" w:rsidP="00DA3512">
            <w:pPr>
              <w:pStyle w:val="Tabulka"/>
              <w:numPr>
                <w:ilvl w:val="0"/>
                <w:numId w:val="93"/>
              </w:numPr>
              <w:ind w:left="459"/>
              <w:jc w:val="left"/>
            </w:pPr>
            <w:r w:rsidRPr="00DD47DF">
              <w:lastRenderedPageBreak/>
              <w:t>Silná koncentrace aktivit VaV do několika málo oborů, subjektů a především do podniků pod zahraniční kontrolou;</w:t>
            </w:r>
          </w:p>
          <w:p w14:paraId="55AAF02E" w14:textId="77777777" w:rsidR="00D603D5" w:rsidRPr="00DD47DF" w:rsidRDefault="00D603D5" w:rsidP="00DA3512">
            <w:pPr>
              <w:pStyle w:val="Tabulka"/>
              <w:numPr>
                <w:ilvl w:val="0"/>
                <w:numId w:val="93"/>
              </w:numPr>
              <w:ind w:left="459"/>
              <w:jc w:val="left"/>
            </w:pPr>
            <w:r w:rsidRPr="00DD47DF">
              <w:t xml:space="preserve">Velká vzdálenost domácích firem od koncových trhů / zákazníků </w:t>
            </w:r>
            <w:r w:rsidRPr="00DD47DF">
              <w:sym w:font="Symbol" w:char="F0AE"/>
            </w:r>
            <w:r w:rsidRPr="00DD47DF">
              <w:t xml:space="preserve"> omezené impulsy pro inovace;</w:t>
            </w:r>
          </w:p>
          <w:p w14:paraId="19CCF30C" w14:textId="77777777" w:rsidR="00D603D5" w:rsidRPr="00DD47DF" w:rsidRDefault="00D603D5" w:rsidP="00DA3512">
            <w:pPr>
              <w:pStyle w:val="Tabulka"/>
              <w:numPr>
                <w:ilvl w:val="0"/>
                <w:numId w:val="93"/>
              </w:numPr>
              <w:ind w:left="459"/>
              <w:jc w:val="left"/>
            </w:pPr>
            <w:r w:rsidRPr="00DD47DF">
              <w:t>Postupná ztráta dosavadních komparativních výhod českých podniků – kombinace dobrých technických kompetencí a ceny již není dostatečná;</w:t>
            </w:r>
          </w:p>
          <w:p w14:paraId="6694E122" w14:textId="77777777" w:rsidR="00D603D5" w:rsidRPr="00DD47DF" w:rsidRDefault="00D603D5" w:rsidP="00DA3512">
            <w:pPr>
              <w:pStyle w:val="Tabulka"/>
              <w:numPr>
                <w:ilvl w:val="0"/>
                <w:numId w:val="93"/>
              </w:numPr>
              <w:ind w:left="459"/>
              <w:jc w:val="left"/>
            </w:pPr>
            <w:r w:rsidRPr="00DD47DF">
              <w:t>Neočekávané působení faktorů ekonomické krize (pokles domácí a zahraniční poptávky apod.) a s tím spojené riziko propadu investic do výzkumu, vývoje a inovací;</w:t>
            </w:r>
          </w:p>
          <w:p w14:paraId="788DC404" w14:textId="77777777" w:rsidR="00D603D5" w:rsidRPr="00DD47DF" w:rsidRDefault="00D603D5" w:rsidP="00DA3512">
            <w:pPr>
              <w:pStyle w:val="Tabulka"/>
              <w:numPr>
                <w:ilvl w:val="0"/>
                <w:numId w:val="93"/>
              </w:numPr>
              <w:ind w:left="459"/>
              <w:jc w:val="left"/>
            </w:pPr>
            <w:r w:rsidRPr="00DD47DF">
              <w:t xml:space="preserve">Nedostatečný počet kvalifikovaných lidských zdrojů v odvětvích náročných na znalosti </w:t>
            </w:r>
            <w:r w:rsidRPr="00DD47DF">
              <w:lastRenderedPageBreak/>
              <w:t>související s odchodem kvalifikovaných, zejména mladých vědeckých a odborných pracovníků pracujících ve firmách do jiných zemí</w:t>
            </w:r>
            <w:r w:rsidR="002F7F4F" w:rsidRPr="00DD47DF">
              <w:t>.</w:t>
            </w:r>
          </w:p>
        </w:tc>
      </w:tr>
    </w:tbl>
    <w:p w14:paraId="027044F4" w14:textId="77777777" w:rsidR="00706A57" w:rsidRPr="00DD47DF" w:rsidRDefault="00782BE3" w:rsidP="00706A57">
      <w:pPr>
        <w:pStyle w:val="Standardntext"/>
        <w:spacing w:before="240"/>
      </w:pPr>
      <w:r w:rsidRPr="00DD47DF">
        <w:lastRenderedPageBreak/>
        <w:t>V rámci problémové oblasti „Konkurenceschopnost ekonomiky“, resp. hlavního pilíře „Efektivní výzkumný a inovační systém“ jsou z pohledu OP PIK, jmenovitě prioritní osy 1, nejzásadnější tyto potřeby rozvoje: využití</w:t>
      </w:r>
      <w:r w:rsidRPr="00DD47DF">
        <w:rPr>
          <w:bCs/>
        </w:rPr>
        <w:t xml:space="preserve"> VaV kapacity podniků a výzkumných organizací s cílem zavedení nových aplikací na trhu v technologicky náročnějších oblastech, zvýšení kvality a intenzity spolupráce veřejného a soukromého sektoru v oblasti VaVaI, rozšíření kapacit průmyslového VaV v podnicích, vývoj a zavádění procesních a produktových inovací</w:t>
      </w:r>
      <w:r w:rsidRPr="00DD47DF">
        <w:t>. Prioritní osa 1 reprezentuje příspěvek programu ke zvýšení kvality výzkumného a inovačního systému ČR.</w:t>
      </w:r>
    </w:p>
    <w:p w14:paraId="28120801" w14:textId="77777777" w:rsidR="00F260AA" w:rsidRPr="00DD47DF" w:rsidRDefault="00F260AA" w:rsidP="001652D9">
      <w:pPr>
        <w:pStyle w:val="Modrnadpis"/>
      </w:pPr>
      <w:r w:rsidRPr="00DD47DF">
        <w:t>Konkurenceschopné podniky</w:t>
      </w:r>
    </w:p>
    <w:p w14:paraId="56C9CD28" w14:textId="77777777" w:rsidR="00F260AA" w:rsidRPr="00DD47DF" w:rsidRDefault="00F260AA" w:rsidP="00F260AA">
      <w:pPr>
        <w:pStyle w:val="Standardntext"/>
      </w:pPr>
      <w:r w:rsidRPr="00DD47DF">
        <w:t xml:space="preserve">V mezinárodním kontextu zaujímá průmysl v ČR stále významnou roli. V posledních letech však díky pokračujícímu procesu specializace dochází k nárůstu podílu služeb a tím klesá závislost české ekonomiky na poptávce v zahraničí. Oblast služeb je tak méně náchylná na externí faktory, které významně ovlivňují zejména průmyslové podniky. Mezi roky 2006 a 2010 tak docházelo ve většině krajů ČR ke snižování podílu průmyslu na úkor sektoru služeb. K regionům s významným podílem služeb patří tradičně kromě Prahy Jihomoravský kraj. </w:t>
      </w:r>
    </w:p>
    <w:p w14:paraId="16D04A41" w14:textId="77777777" w:rsidR="00782BE3" w:rsidRPr="00DD47DF" w:rsidRDefault="00782BE3" w:rsidP="00782BE3">
      <w:pPr>
        <w:pStyle w:val="Standardntext"/>
      </w:pPr>
      <w:r w:rsidRPr="00DD47DF">
        <w:t>Podnikatelé vnímají potřebu kontinuálního rozvoje vlastních znalostních kapacit pro budování konkurenční výhody, tak za hlavní výzvu považují obchod, obsazení nových trhů a vyhledání nových příležitostí pro uplatnění technických kompetencí svých firem. V této souvislosti upozorňují, že největším problémem dalšího růstu a rozvoje inovací je oblast netechnických kompetencí souvisejících se strategickým řízením, obchodem, práce se zákazníky a vyhledáváním nových příležitostí (např. mimo dosavadní hlavní zaměření). V roce 2012 vytvořily MSP celkem 1 326 147 mil. Kč přidané hodnoty, oproti roku 2011 došlo ke snížení o 18 434 mil. Kč. Podíl přidané hodnoty MSP na celku ČR tvořil 53,81 % (tj. snížení o 0,21 % oproti roku 2011). Podíl zaměstnanců MSP na celkovém počtu zaměstnanců podnikatelské sféry v ČR v roce 2012 činil 59,43 %.</w:t>
      </w:r>
    </w:p>
    <w:p w14:paraId="4FBD6778" w14:textId="77777777" w:rsidR="00F260AA" w:rsidRPr="00DD47DF" w:rsidRDefault="00782BE3" w:rsidP="00782BE3">
      <w:pPr>
        <w:pStyle w:val="Standardntext"/>
      </w:pPr>
      <w:r w:rsidRPr="00DD47DF">
        <w:t>Nedostatečně rozvinutý trh podnikatelských služeb představuje bariéru rozvoje domácího podnikatelského sektoru. Ačkoliv většina typických služeb v rozvinutých ekonomikách na trhu existuje, jejich kvalita je nízká a cena obdobných zahraničních služeb vysoká. To podporuje spoléhání se pouze na vlastní kompetence. Ty však nikdy nemohou mít potřebnou kvalitu ve všech potřebných oblastech. Zkušenosti s nízkou kvalitou místních služeb vytváří atmosféru nedůvěry v tento typ služeb, včetně případné nabídky zprostředkování těchto služeb veřejným sektorem.</w:t>
      </w:r>
    </w:p>
    <w:p w14:paraId="303747DA" w14:textId="77777777" w:rsidR="00F260AA" w:rsidRPr="00DD47DF" w:rsidRDefault="00782BE3" w:rsidP="00F260AA">
      <w:pPr>
        <w:pStyle w:val="Standardntext"/>
      </w:pPr>
      <w:r w:rsidRPr="00DD47DF">
        <w:t xml:space="preserve">Rozvinutost technických kompetencí firem výrazně převyšuje jejich kompetence v oblasti marketingu, inovačního managementu, obchodu a dalších netechnických podnikových funkcí. Posílení a rozvoj netechnických kompetencí podnikatelů a pracovníků zejména domácích firem, a v návaznosti na ně také rozvoj strategických služeb pro podnikání jsou přitom jednou z důležitých průřezových oblastí, protože bez tohoto druhu intervencí budou účinnost a efektivita intervencí nízké a dosahování cílů obtížné. Rozvoj služeb pro (inovační) podnikání je skutečnou výzvou, neboť slabá inovační poptávka a převažující defenzivní / reaktivní strategie firem endogenního sektoru efektivně brání rozvoji kvalitní nabídky služeb na trhu. </w:t>
      </w:r>
      <w:r w:rsidRPr="00DD47DF">
        <w:lastRenderedPageBreak/>
        <w:t>Motivaci domácích firem pro budování konkurenční výhody založené na znalostech je v tomto segmentu možné označit za nízkou, což je dáno i současným postavením podnikatelů v globálních hodnotových řetězcích.</w:t>
      </w:r>
    </w:p>
    <w:p w14:paraId="53CC4731" w14:textId="77777777" w:rsidR="00F260AA" w:rsidRPr="00DD47DF" w:rsidRDefault="00F260AA" w:rsidP="00F260AA">
      <w:pPr>
        <w:pStyle w:val="Standardntext"/>
      </w:pPr>
      <w:r w:rsidRPr="00DD47DF">
        <w:t>Vývozní teritoria MSP jsou značně omezena a soustředí se především na blízké země a členské státy EU, což má nepříznivý vliv na obchodní politiku ČR. V zájmu rozložení rizik a vzhledem k tomu, že se ekonomická situace v Evropě dlouhodobě nepříznivě vyvíjí, je pro MSP prioritou diverzifikovat svůj vývoz a proniknout na nové a perspektivní zahraniční trhy. Kvalitní služby a zvýšená asistence při obsazování nových exportních oblastí je tedy zcela zásadní pro budoucí prosperitu MSP, protože malá marketingová připravenost firem a nedostatečná konkurenceschopnost jejich produktů přímo zabraňují jejich dalšímu rozvoji a znemožňují maximální využití jejich potenciálu. Podíl MSP na vývozu v roce 2012 byl 53,51%. Pokud celkový vývoz MSP vztáhneme k celkovým výkonům MSP, hodnota se pohybuje na úrovni kolem 39,4 %. Nedostatečná nabídka a dostupnost kvalitních služeb je častou příčinou pomalého pronikání MSP na vzdálenější a exotičtější trhy. Další překážkou je i nedostatek finančních prostředků na straně MSP, protože uvedení produktu na nové trhy je velice nákladný proces.</w:t>
      </w:r>
    </w:p>
    <w:p w14:paraId="5ED40A33" w14:textId="77777777" w:rsidR="00782BE3" w:rsidRPr="00DD47DF" w:rsidRDefault="00782BE3" w:rsidP="00782BE3">
      <w:pPr>
        <w:pStyle w:val="Standardntext"/>
      </w:pPr>
      <w:r w:rsidRPr="00DD47DF">
        <w:t>Dalším problémem pro rozvoj především early stage podniků je dostupnost soukromých prostředků. Vývoj počtu a celkové výše investic rizikového kapitálu zaznamenal v ČR vzestupný trend po přijetí zákona č. 189/2004 Sb., o kolektivním investování, a to zejména od roku 2007. Finanční krize však rozvíjející se trh rychle oslabila. Podíl rizikového kapitálu na celkových investicích do private equity (veřejně neobchodované společnosti) v ČR byl v průměru let 2007-2010 pouze 3,2 %, což je hluboko pod evropskou úrovní cca. 12 %.</w:t>
      </w:r>
    </w:p>
    <w:p w14:paraId="079839D9" w14:textId="77777777" w:rsidR="00F260AA" w:rsidRPr="00DD47DF" w:rsidRDefault="00782BE3" w:rsidP="00782BE3">
      <w:pPr>
        <w:pStyle w:val="Standardntext"/>
      </w:pPr>
      <w:r w:rsidRPr="00DD47DF">
        <w:t>Složitá je situace ve financování počátečních fází podnikání (tzv. seed a start-up). V letech 2008 - 2012 se investice fondů rizikového kapitálu do těchto fází objevují jen sporadicky, spíše jsou v této oblasti aktivní jen business angels, privátně operující tzv. high net-worth individuals, fyzické osoby nabízející financování v řádu max. několika milionů korun výměnou za obchodní podíl. Fondy rizikového kapitálu oproti tomu v ČR obvykle investují do pozdějších fází rozvoje firem v průměru 50 - 100 mil. Kč. Vzniká tak tzv. equity gap, mezera na finančním trhu, kde není trh schopen efektivně alokovat zdroje ve prospěch začínajících inovativně orientovaných společností. Z hlediska dostupnosti finančních prostředků pro rozvoj a zakládání inovačních podniků tak existuje v ČR nedostatečná hloubka finančního zprostředkování, která celkově negativně ovlivňuje míru investic a budoucí vybavenost ekonomiky ČR kapitálem. Souhrnná hodnota všech akciových společností obchodovaných na českých kapitálových trzích ve vztahu k HDP je v porovnání se zahraničím velmi nízká. Podniky tradičně prostředky na svůj rozvoj získávají především prostřednictvím bankovních úvěrů. Český finanční sektor je sice v současnosti ziskový a dobře kapitalizovaný a ustál prakticky bez potíží finanční a ekonomickou krizi, ale nelze od něho ve větším rozsahu očekávat ochotu financovat rizikové projekty zakládání a rozvoje firem s vysokým inovačním potenciálem. V oblasti úvěrů a záruk se to týká především projektů založení nových firem nebo i projektů rozvoje stávajících MSP. Investoři jsou tak málo ochotní přistoupit na riziko v podobě investice v řádech desítek milionů korun do začínajících inovativních společností bez historie, často s nezkušeným týmem. Investoři mají připraven dostatek kapitálu na investice, ale nenalézají dostatek investičních příležitostí, které splňují jejich požadavky. Oproti tomu začínající inovativní MSP se většinou příliš orientují na technologii a opomíjejí obchodní stránku podnikání, často nemají kvalitně zpracovaný business plán, čímž se snižuje jejich atraktivita pro potenciální investory.</w:t>
      </w:r>
    </w:p>
    <w:p w14:paraId="75EFDBD9" w14:textId="77777777" w:rsidR="00F260AA" w:rsidRPr="00DD47DF" w:rsidRDefault="00F260AA" w:rsidP="00F260AA">
      <w:pPr>
        <w:pStyle w:val="Standardntext"/>
      </w:pPr>
      <w:r w:rsidRPr="00DD47DF">
        <w:lastRenderedPageBreak/>
        <w:t>V </w:t>
      </w:r>
      <w:r w:rsidR="00782BE3" w:rsidRPr="00DD47DF">
        <w:t>ČR</w:t>
      </w:r>
      <w:r w:rsidRPr="00DD47DF">
        <w:t xml:space="preserve"> však v oblasti rizikového kapitálu dochází k významnému selhání trhu, když v rámci early stage podniků (ca. do 2 let po založení – fáze start-up a seed) nedochází dle oficiálních statistik vůbec k jejich zainvestování ze strany private equity/venture capital fondů. Dle statistik Eurostatu patří ČR v tomto ohledu mezi nejhorší ze všech zemí EHP a Švýcarska zahrnutých do sledování. Tyto závěry jsou rovněž potvrzeny výstupy indikátorů scoreboardu týkající se oblasti zejména venture kapitálu a tvorby nových firem.</w:t>
      </w:r>
    </w:p>
    <w:p w14:paraId="0DD1FF82" w14:textId="77777777" w:rsidR="00782BE3" w:rsidRPr="00DD47DF" w:rsidRDefault="00782BE3" w:rsidP="00782BE3">
      <w:pPr>
        <w:pStyle w:val="Standardntext"/>
      </w:pPr>
      <w:r w:rsidRPr="00DD47DF">
        <w:t>Nízký podíl inovativní výroby spojený s budoucí vyšší přidanou hodnotou do značné míry ovlivňuje zastaralá podnikatelská infrastruktura a s ní spojené vysoké režijní náklady, které znemožňují investice právě do VaV a inovací, a naopak nutí podnikatele k vysokým výdajům na udržení stávající výkonnosti. V ČR existuje množství nevyužívaných průmyslových budov, především jako důsledek restrukturalizace české ekonomiky z přelomu 90. let. Motivace podnikatelů ke generálním rekonstrukcím výrobních prostor je tak z hlediska jejich finanční náročnosti minimální, neboť s sebou nese velkou míru existenčního rizika. Výsledky Národní databáze brownfieldů ukazují, že do března roku 2014 bylo regenerováno zatím kolem 258 tis. m</w:t>
      </w:r>
      <w:r w:rsidRPr="00DD47DF">
        <w:rPr>
          <w:vertAlign w:val="superscript"/>
        </w:rPr>
        <w:t>2</w:t>
      </w:r>
      <w:r w:rsidRPr="00DD47DF">
        <w:t>.</w:t>
      </w:r>
    </w:p>
    <w:p w14:paraId="4C43D273" w14:textId="77777777" w:rsidR="00F260AA" w:rsidRPr="00DD47DF" w:rsidRDefault="00782BE3" w:rsidP="00782BE3">
      <w:pPr>
        <w:pStyle w:val="Standardntext"/>
      </w:pPr>
      <w:r w:rsidRPr="00DD47DF">
        <w:t>V poslední době se podnikatelé potýkají s nedostatkem kvalifikované pracovní síly pro vlastní výrobu i inovační proces. To má negativní vliv na konkurenceschopnost českých podniků. V rámci náboru nových zaměstnanců - nových absolventů SŠ, VŠ často zaměstnavatelé narážejí na jejich převážně teoretické znalosti, které jsou pro praxi nedostatečné. Zaměstnavatelé pak pro jejich zaškolení musí vynaložit nezanedbatelné náklady a noví zaměstnanci- noví absolventi pro ně v rámci prvních 3 měsíců - půl roku nemají téměř žádný produktivní dopad. S rozvíjejícími se novými technologiemi, procesy a novou legislativou souvisí nutnost zaměstnavatelů se s těmito změnami seznámit a proškolit své zaměstnance v této oblasti a také pořídit nová zařízení. Rychlé změny - technologický vývoj jde kupředu, nepružnost vzdělávacího systému při tvorbě vzdělávacích obsahů, nová legislativa nabývá účinnost - to s sebou přináší nedostatečnou materiální a personální kapacitu podniků pro zajištění produktivní činnosti nových absolventů, nedostatečné aktuální znalosti a dovednosti zaměstnanců. Dle šetření ČSÚ v období 2008-2010 je za nejpodstatnější omezující faktor ze  skupiny znalostních faktorů omezujících inovační  považován nedostatek kvalifikovaných lidských zdrojů (uvedlo 10,8 % technicky inovujících podniků). Podíl účastníků kurzů dalšího odborného vzdělávání na celkovém počtu zaměstnaných osob se u malých podniků pohybuje zhruba na úrovni 46 %, u středních podniků se pak jedná asi o 60 %</w:t>
      </w:r>
      <w:r w:rsidR="005A383F" w:rsidRPr="00DD47DF">
        <w:t>.</w:t>
      </w:r>
    </w:p>
    <w:p w14:paraId="60ED76C4" w14:textId="77777777" w:rsidR="00DE5407" w:rsidRPr="00DD47DF" w:rsidRDefault="00DE5407" w:rsidP="00DE5407">
      <w:pPr>
        <w:pStyle w:val="Modrnadpis"/>
      </w:pPr>
      <w:r w:rsidRPr="00DD47DF">
        <w:t>SWOT analýza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tblGrid>
      <w:tr w:rsidR="00D603D5" w:rsidRPr="00DD47DF" w14:paraId="5FDA5857" w14:textId="77777777" w:rsidTr="007D02F2">
        <w:trPr>
          <w:trHeight w:val="552"/>
        </w:trPr>
        <w:tc>
          <w:tcPr>
            <w:tcW w:w="2500" w:type="pct"/>
            <w:shd w:val="clear" w:color="auto" w:fill="B8CCE4" w:themeFill="accent1" w:themeFillTint="66"/>
            <w:vAlign w:val="center"/>
          </w:tcPr>
          <w:p w14:paraId="10F23A1D" w14:textId="77777777" w:rsidR="00D603D5" w:rsidRPr="00DD47DF" w:rsidRDefault="00D603D5" w:rsidP="007D02F2">
            <w:pPr>
              <w:pStyle w:val="Tabulka"/>
              <w:rPr>
                <w:b/>
              </w:rPr>
            </w:pPr>
            <w:r w:rsidRPr="00DD47DF">
              <w:rPr>
                <w:b/>
              </w:rPr>
              <w:t>Silné stránky</w:t>
            </w:r>
          </w:p>
        </w:tc>
        <w:tc>
          <w:tcPr>
            <w:tcW w:w="2500" w:type="pct"/>
            <w:shd w:val="clear" w:color="auto" w:fill="B8CCE4" w:themeFill="accent1" w:themeFillTint="66"/>
            <w:vAlign w:val="center"/>
          </w:tcPr>
          <w:p w14:paraId="37AC1625" w14:textId="77777777" w:rsidR="00D603D5" w:rsidRPr="00DD47DF" w:rsidRDefault="00D603D5" w:rsidP="007D02F2">
            <w:pPr>
              <w:pStyle w:val="Tabulka"/>
              <w:rPr>
                <w:b/>
              </w:rPr>
            </w:pPr>
            <w:r w:rsidRPr="00DD47DF">
              <w:rPr>
                <w:b/>
              </w:rPr>
              <w:t>Slabé stránky</w:t>
            </w:r>
          </w:p>
        </w:tc>
      </w:tr>
      <w:tr w:rsidR="00D603D5" w:rsidRPr="00DD47DF" w14:paraId="0E1197D5" w14:textId="77777777" w:rsidTr="007D02F2">
        <w:tc>
          <w:tcPr>
            <w:tcW w:w="2500" w:type="pct"/>
            <w:shd w:val="clear" w:color="auto" w:fill="auto"/>
          </w:tcPr>
          <w:p w14:paraId="567BE5B5" w14:textId="77777777" w:rsidR="00D603D5" w:rsidRPr="00DD47DF" w:rsidRDefault="00D603D5" w:rsidP="00DA3512">
            <w:pPr>
              <w:pStyle w:val="Tabulka"/>
              <w:numPr>
                <w:ilvl w:val="0"/>
                <w:numId w:val="93"/>
              </w:numPr>
              <w:ind w:left="426"/>
              <w:jc w:val="left"/>
            </w:pPr>
            <w:r w:rsidRPr="00DD47DF">
              <w:t>Silná exportní schopnost ekonomiky, především zpracovatelský průmysl;</w:t>
            </w:r>
          </w:p>
          <w:p w14:paraId="6A28445E" w14:textId="77777777" w:rsidR="00D603D5" w:rsidRPr="00DD47DF" w:rsidRDefault="00D603D5" w:rsidP="00DA3512">
            <w:pPr>
              <w:pStyle w:val="Tabulka"/>
              <w:numPr>
                <w:ilvl w:val="0"/>
                <w:numId w:val="93"/>
              </w:numPr>
              <w:ind w:left="426"/>
              <w:jc w:val="left"/>
            </w:pPr>
            <w:r w:rsidRPr="00DD47DF">
              <w:t>Pružnost reakce na vývoj na trhu, znalost lokálních trhů či potřeb zákazníků;</w:t>
            </w:r>
          </w:p>
          <w:p w14:paraId="25D3AE68" w14:textId="77777777" w:rsidR="00D603D5" w:rsidRPr="00DD47DF" w:rsidRDefault="00D603D5" w:rsidP="00DA3512">
            <w:pPr>
              <w:pStyle w:val="Tabulka"/>
              <w:numPr>
                <w:ilvl w:val="0"/>
                <w:numId w:val="93"/>
              </w:numPr>
              <w:ind w:left="426"/>
              <w:jc w:val="left"/>
            </w:pPr>
            <w:r w:rsidRPr="00DD47DF">
              <w:t>MSP generují rozhodující počet nových pracovních míst;</w:t>
            </w:r>
          </w:p>
          <w:p w14:paraId="44D6809B" w14:textId="77777777" w:rsidR="00D603D5" w:rsidRPr="00DD47DF" w:rsidRDefault="00D603D5" w:rsidP="00DA3512">
            <w:pPr>
              <w:pStyle w:val="Tabulka"/>
              <w:numPr>
                <w:ilvl w:val="0"/>
                <w:numId w:val="93"/>
              </w:numPr>
              <w:ind w:left="426"/>
              <w:jc w:val="left"/>
            </w:pPr>
            <w:r w:rsidRPr="00DD47DF">
              <w:t>Schopnost MSP vyplnit mezeru ve struktuře obchodních vztahů mezi velkými podniky (role subdodavatele);</w:t>
            </w:r>
          </w:p>
          <w:p w14:paraId="74109651" w14:textId="77777777" w:rsidR="00D603D5" w:rsidRPr="00DD47DF" w:rsidRDefault="00D603D5" w:rsidP="00DA3512">
            <w:pPr>
              <w:pStyle w:val="Tabulka"/>
              <w:numPr>
                <w:ilvl w:val="0"/>
                <w:numId w:val="93"/>
              </w:numPr>
              <w:ind w:left="426"/>
              <w:jc w:val="left"/>
            </w:pPr>
            <w:r w:rsidRPr="00DD47DF">
              <w:t xml:space="preserve">Rozvinutost technických kompetencí </w:t>
            </w:r>
            <w:r w:rsidRPr="00DD47DF">
              <w:lastRenderedPageBreak/>
              <w:t>některých firem v technických oblastech jako jsou výroba, konstrukce, design, vývoj apod.</w:t>
            </w:r>
          </w:p>
        </w:tc>
        <w:tc>
          <w:tcPr>
            <w:tcW w:w="2500" w:type="pct"/>
            <w:shd w:val="clear" w:color="auto" w:fill="auto"/>
          </w:tcPr>
          <w:p w14:paraId="3B63A3BA" w14:textId="77777777" w:rsidR="00D603D5" w:rsidRPr="00DD47DF" w:rsidRDefault="00D603D5" w:rsidP="00DA3512">
            <w:pPr>
              <w:pStyle w:val="Tabulka"/>
              <w:numPr>
                <w:ilvl w:val="0"/>
                <w:numId w:val="93"/>
              </w:numPr>
              <w:ind w:left="459"/>
              <w:jc w:val="left"/>
            </w:pPr>
            <w:r w:rsidRPr="00DD47DF">
              <w:lastRenderedPageBreak/>
              <w:t xml:space="preserve">Nedostatečná kapitálová vybavenost, zejména malých a drobných podnikatelů a samostatně podnikajících fyzických osob; </w:t>
            </w:r>
          </w:p>
          <w:p w14:paraId="788CEB9C" w14:textId="77777777" w:rsidR="00D603D5" w:rsidRPr="00DD47DF" w:rsidRDefault="00D603D5" w:rsidP="00DA3512">
            <w:pPr>
              <w:pStyle w:val="Tabulka"/>
              <w:numPr>
                <w:ilvl w:val="0"/>
                <w:numId w:val="93"/>
              </w:numPr>
              <w:ind w:left="459"/>
              <w:jc w:val="left"/>
            </w:pPr>
            <w:r w:rsidRPr="00DD47DF">
              <w:t>Omezená schopnost nacházet a vstupovat na nové trhy;</w:t>
            </w:r>
          </w:p>
          <w:p w14:paraId="5137C618" w14:textId="77777777" w:rsidR="00D603D5" w:rsidRPr="00DD47DF" w:rsidRDefault="00D603D5" w:rsidP="00DA3512">
            <w:pPr>
              <w:pStyle w:val="Tabulka"/>
              <w:numPr>
                <w:ilvl w:val="0"/>
                <w:numId w:val="93"/>
              </w:numPr>
              <w:ind w:left="459"/>
              <w:jc w:val="left"/>
            </w:pPr>
            <w:r w:rsidRPr="00DD47DF">
              <w:t>Menší schopnost eliminovat důsledky výkyvů vnějších vlivů v počátečním stadiu svého vývoje (startu);</w:t>
            </w:r>
          </w:p>
          <w:p w14:paraId="63B75B76" w14:textId="77777777" w:rsidR="00D603D5" w:rsidRPr="00DD47DF" w:rsidRDefault="00D603D5" w:rsidP="00DA3512">
            <w:pPr>
              <w:pStyle w:val="Tabulka"/>
              <w:numPr>
                <w:ilvl w:val="0"/>
                <w:numId w:val="93"/>
              </w:numPr>
              <w:ind w:left="459"/>
              <w:jc w:val="left"/>
            </w:pPr>
            <w:r w:rsidRPr="00DD47DF">
              <w:rPr>
                <w:szCs w:val="24"/>
              </w:rPr>
              <w:t xml:space="preserve">Omezená dostupnost zárodečného a rozvojového kapitálu pro začínající a </w:t>
            </w:r>
            <w:r w:rsidRPr="00DD47DF">
              <w:rPr>
                <w:szCs w:val="24"/>
              </w:rPr>
              <w:lastRenderedPageBreak/>
              <w:t>rozvojové firmy;</w:t>
            </w:r>
          </w:p>
          <w:p w14:paraId="0C3CA86B" w14:textId="77777777" w:rsidR="00D603D5" w:rsidRPr="00DD47DF" w:rsidRDefault="00D603D5" w:rsidP="00DA3512">
            <w:pPr>
              <w:pStyle w:val="Tabulka"/>
              <w:numPr>
                <w:ilvl w:val="0"/>
                <w:numId w:val="93"/>
              </w:numPr>
              <w:ind w:left="459"/>
              <w:jc w:val="left"/>
            </w:pPr>
            <w:r w:rsidRPr="00DD47DF">
              <w:rPr>
                <w:szCs w:val="24"/>
              </w:rPr>
              <w:t>Obtížná dostupnost kvalitních specializovaných poradenských služeb pro začínající a rozvojové MSP;</w:t>
            </w:r>
          </w:p>
          <w:p w14:paraId="0E15CF97" w14:textId="77777777" w:rsidR="00D603D5" w:rsidRPr="00DD47DF" w:rsidRDefault="00D603D5" w:rsidP="00DA3512">
            <w:pPr>
              <w:pStyle w:val="Tabulka"/>
              <w:numPr>
                <w:ilvl w:val="0"/>
                <w:numId w:val="93"/>
              </w:numPr>
              <w:ind w:left="459"/>
              <w:jc w:val="left"/>
            </w:pPr>
            <w:r w:rsidRPr="00DD47DF">
              <w:t>Nedostatečné manažerské dovednosti a netechnické kompetence;</w:t>
            </w:r>
          </w:p>
          <w:p w14:paraId="75C9889A" w14:textId="77777777" w:rsidR="00D603D5" w:rsidRPr="00DD47DF" w:rsidRDefault="00D603D5" w:rsidP="00DA3512">
            <w:pPr>
              <w:pStyle w:val="Tabulka"/>
              <w:numPr>
                <w:ilvl w:val="0"/>
                <w:numId w:val="93"/>
              </w:numPr>
              <w:ind w:left="459"/>
              <w:jc w:val="left"/>
            </w:pPr>
            <w:r w:rsidRPr="00DD47DF">
              <w:rPr>
                <w:szCs w:val="24"/>
              </w:rPr>
              <w:t>Nedostatek kvalifikované pracovní síly pro vlastní výrobu i inovační proces</w:t>
            </w:r>
            <w:r w:rsidRPr="00DD47DF">
              <w:t>;</w:t>
            </w:r>
          </w:p>
          <w:p w14:paraId="4F8A775A" w14:textId="77777777" w:rsidR="00D603D5" w:rsidRPr="00DD47DF" w:rsidRDefault="00D626B0" w:rsidP="00DA3512">
            <w:pPr>
              <w:pStyle w:val="Tabulka"/>
              <w:numPr>
                <w:ilvl w:val="0"/>
                <w:numId w:val="93"/>
              </w:numPr>
              <w:ind w:left="459"/>
              <w:jc w:val="left"/>
            </w:pPr>
            <w:r w:rsidRPr="00DD47DF">
              <w:rPr>
                <w:szCs w:val="24"/>
              </w:rPr>
              <w:t>Zastaralá podnikatelská infrastruktura nevyhovující potřebám MSP</w:t>
            </w:r>
            <w:r w:rsidR="00D603D5" w:rsidRPr="00DD47DF">
              <w:rPr>
                <w:szCs w:val="24"/>
              </w:rPr>
              <w:t>.</w:t>
            </w:r>
          </w:p>
        </w:tc>
      </w:tr>
      <w:tr w:rsidR="00D603D5" w:rsidRPr="00DD47DF" w14:paraId="4B2D6C4F" w14:textId="77777777" w:rsidTr="007D02F2">
        <w:trPr>
          <w:trHeight w:val="553"/>
        </w:trPr>
        <w:tc>
          <w:tcPr>
            <w:tcW w:w="2500" w:type="pct"/>
            <w:shd w:val="clear" w:color="auto" w:fill="B8CCE4" w:themeFill="accent1" w:themeFillTint="66"/>
            <w:vAlign w:val="center"/>
          </w:tcPr>
          <w:p w14:paraId="53FA7B94" w14:textId="77777777" w:rsidR="00D603D5" w:rsidRPr="00DD47DF" w:rsidRDefault="00D603D5" w:rsidP="007D02F2">
            <w:pPr>
              <w:pStyle w:val="Tabulka"/>
              <w:rPr>
                <w:b/>
                <w:sz w:val="24"/>
              </w:rPr>
            </w:pPr>
            <w:r w:rsidRPr="00DD47DF">
              <w:rPr>
                <w:b/>
              </w:rPr>
              <w:lastRenderedPageBreak/>
              <w:t>Příležitosti</w:t>
            </w:r>
          </w:p>
        </w:tc>
        <w:tc>
          <w:tcPr>
            <w:tcW w:w="2500" w:type="pct"/>
            <w:shd w:val="clear" w:color="auto" w:fill="B8CCE4" w:themeFill="accent1" w:themeFillTint="66"/>
            <w:vAlign w:val="center"/>
          </w:tcPr>
          <w:p w14:paraId="4B63B541" w14:textId="77777777" w:rsidR="00D603D5" w:rsidRPr="00DD47DF" w:rsidRDefault="00D603D5" w:rsidP="007D02F2">
            <w:pPr>
              <w:pStyle w:val="Tabulka"/>
              <w:rPr>
                <w:b/>
                <w:sz w:val="24"/>
              </w:rPr>
            </w:pPr>
            <w:r w:rsidRPr="00DD47DF">
              <w:rPr>
                <w:b/>
              </w:rPr>
              <w:t>Hrozby</w:t>
            </w:r>
          </w:p>
        </w:tc>
      </w:tr>
      <w:tr w:rsidR="00D603D5" w:rsidRPr="00DD47DF" w14:paraId="211E5680" w14:textId="77777777" w:rsidTr="007D02F2">
        <w:tc>
          <w:tcPr>
            <w:tcW w:w="2500" w:type="pct"/>
            <w:shd w:val="clear" w:color="auto" w:fill="auto"/>
          </w:tcPr>
          <w:p w14:paraId="28A0E98B" w14:textId="77777777" w:rsidR="00D603D5" w:rsidRPr="00DD47DF" w:rsidRDefault="00D603D5" w:rsidP="00DA3512">
            <w:pPr>
              <w:pStyle w:val="Tabulka"/>
              <w:numPr>
                <w:ilvl w:val="0"/>
                <w:numId w:val="93"/>
              </w:numPr>
              <w:ind w:left="426"/>
              <w:jc w:val="left"/>
            </w:pPr>
            <w:r w:rsidRPr="00DD47DF">
              <w:t>Odstraňování nejrůznějších překážek institucionálního a právního charakteru při vstupu do podnikání a vytvoření stabilního daňového a regulačního rámce podnikání;</w:t>
            </w:r>
          </w:p>
          <w:p w14:paraId="402C40FA" w14:textId="77777777" w:rsidR="00D603D5" w:rsidRPr="00DD47DF" w:rsidRDefault="00D603D5" w:rsidP="00DA3512">
            <w:pPr>
              <w:pStyle w:val="Tabulka"/>
              <w:numPr>
                <w:ilvl w:val="0"/>
                <w:numId w:val="93"/>
              </w:numPr>
              <w:ind w:left="426"/>
              <w:jc w:val="left"/>
            </w:pPr>
            <w:r w:rsidRPr="00DD47DF">
              <w:t>Skutečné oživení světové ekonomiky, převážně rozvíjejících se trhů – nové impulsy pro zahraniční obchod;</w:t>
            </w:r>
          </w:p>
          <w:p w14:paraId="7CC59B98" w14:textId="77777777" w:rsidR="00D603D5" w:rsidRPr="00DD47DF" w:rsidRDefault="00D603D5" w:rsidP="00DA3512">
            <w:pPr>
              <w:pStyle w:val="Tabulka"/>
              <w:numPr>
                <w:ilvl w:val="0"/>
                <w:numId w:val="93"/>
              </w:numPr>
              <w:ind w:left="426"/>
              <w:jc w:val="left"/>
            </w:pPr>
            <w:r w:rsidRPr="00DD47DF">
              <w:t>Tvorba a zajištění nových mechanismů financování inovativních MSP s velkým růstovým potenciálem (trh rizikového kapitálu apod.);</w:t>
            </w:r>
          </w:p>
          <w:p w14:paraId="43EF222F" w14:textId="77777777" w:rsidR="00D603D5" w:rsidRPr="00DD47DF" w:rsidRDefault="00D603D5" w:rsidP="00DA3512">
            <w:pPr>
              <w:pStyle w:val="Tabulka"/>
              <w:numPr>
                <w:ilvl w:val="0"/>
                <w:numId w:val="93"/>
              </w:numPr>
              <w:ind w:left="426"/>
              <w:jc w:val="left"/>
            </w:pPr>
            <w:r w:rsidRPr="00DD47DF">
              <w:t xml:space="preserve">Využití foresightu, tvorba podnikových strategií na základě tzv. evidence-based policy (poznání, znalosti, zkušenosti); </w:t>
            </w:r>
          </w:p>
          <w:p w14:paraId="47FF4A9A" w14:textId="77777777" w:rsidR="00D603D5" w:rsidRPr="00DD47DF" w:rsidRDefault="00D603D5" w:rsidP="00DA3512">
            <w:pPr>
              <w:pStyle w:val="Tabulka"/>
              <w:numPr>
                <w:ilvl w:val="0"/>
                <w:numId w:val="93"/>
              </w:numPr>
              <w:ind w:left="426"/>
              <w:jc w:val="left"/>
              <w:rPr>
                <w:sz w:val="24"/>
              </w:rPr>
            </w:pPr>
            <w:r w:rsidRPr="00DD47DF">
              <w:t>Zvýšení funkční i estetické hodnoty brownfields jejich využitím pro podnikatelské účely.</w:t>
            </w:r>
          </w:p>
        </w:tc>
        <w:tc>
          <w:tcPr>
            <w:tcW w:w="2500" w:type="pct"/>
            <w:shd w:val="clear" w:color="auto" w:fill="auto"/>
          </w:tcPr>
          <w:p w14:paraId="27DDD482" w14:textId="77777777" w:rsidR="00D603D5" w:rsidRPr="00DD47DF" w:rsidRDefault="00D603D5" w:rsidP="00DA3512">
            <w:pPr>
              <w:pStyle w:val="Tabulka"/>
              <w:numPr>
                <w:ilvl w:val="0"/>
                <w:numId w:val="93"/>
              </w:numPr>
              <w:ind w:left="459"/>
              <w:jc w:val="left"/>
            </w:pPr>
            <w:r w:rsidRPr="00DD47DF">
              <w:t>Postupná ztráta dosavadních komparativních výhod českých podniků – kombinace dobrých technických kompetencí a ceny již není dostatečná;</w:t>
            </w:r>
          </w:p>
          <w:p w14:paraId="042E3B8C" w14:textId="77777777" w:rsidR="00D603D5" w:rsidRPr="00DD47DF" w:rsidRDefault="00D603D5" w:rsidP="00DA3512">
            <w:pPr>
              <w:pStyle w:val="Tabulka"/>
              <w:numPr>
                <w:ilvl w:val="0"/>
                <w:numId w:val="93"/>
              </w:numPr>
              <w:ind w:left="459"/>
              <w:jc w:val="left"/>
            </w:pPr>
            <w:r w:rsidRPr="00DD47DF">
              <w:t>Administrativní zátěž podnikání v ČR;</w:t>
            </w:r>
          </w:p>
          <w:p w14:paraId="7CAF25CC" w14:textId="77777777" w:rsidR="00D603D5" w:rsidRPr="00DD47DF" w:rsidRDefault="00D603D5" w:rsidP="00DA3512">
            <w:pPr>
              <w:pStyle w:val="Tabulka"/>
              <w:numPr>
                <w:ilvl w:val="0"/>
                <w:numId w:val="93"/>
              </w:numPr>
              <w:ind w:left="459"/>
              <w:jc w:val="left"/>
              <w:rPr>
                <w:sz w:val="24"/>
              </w:rPr>
            </w:pPr>
            <w:r w:rsidRPr="00DD47DF">
              <w:t>Konkurenceschopnost producentů může být oslabena zejména vůči rozvíjejícím se trhům v důsledku nerovných tržních podmínek ve vztahu k producentům a zákazníkům ze třetích zemí (včetně překážek vstupu na jejich trhy pro producenty z EU);</w:t>
            </w:r>
          </w:p>
          <w:p w14:paraId="664A0F4C" w14:textId="77777777" w:rsidR="00D603D5" w:rsidRPr="00DD47DF" w:rsidRDefault="00D603D5" w:rsidP="00DA3512">
            <w:pPr>
              <w:pStyle w:val="Tabulka"/>
              <w:numPr>
                <w:ilvl w:val="0"/>
                <w:numId w:val="93"/>
              </w:numPr>
              <w:ind w:left="459"/>
              <w:jc w:val="left"/>
            </w:pPr>
            <w:r w:rsidRPr="00DD47DF">
              <w:t>Nestabilní politická situace v cílových zemích pro české exportéry;</w:t>
            </w:r>
          </w:p>
          <w:p w14:paraId="4239D11E" w14:textId="77777777" w:rsidR="00D603D5" w:rsidRPr="00DD47DF" w:rsidRDefault="00D603D5" w:rsidP="00DA3512">
            <w:pPr>
              <w:pStyle w:val="Tabulka"/>
              <w:numPr>
                <w:ilvl w:val="0"/>
                <w:numId w:val="93"/>
              </w:numPr>
              <w:ind w:left="459"/>
              <w:jc w:val="left"/>
            </w:pPr>
            <w:r w:rsidRPr="00DD47DF">
              <w:t>Nedostatečné ambice významné části majitelů původem místních MSP dále svůj podnik rozvíjet;</w:t>
            </w:r>
          </w:p>
          <w:p w14:paraId="3F184510" w14:textId="77777777" w:rsidR="00D603D5" w:rsidRPr="00DD47DF" w:rsidRDefault="00D603D5" w:rsidP="00DA3512">
            <w:pPr>
              <w:pStyle w:val="Tabulka"/>
              <w:numPr>
                <w:ilvl w:val="0"/>
                <w:numId w:val="93"/>
              </w:numPr>
              <w:ind w:left="459"/>
              <w:jc w:val="left"/>
            </w:pPr>
            <w:r w:rsidRPr="00DD47DF">
              <w:t>Nezájem studentů o technické obory.</w:t>
            </w:r>
          </w:p>
        </w:tc>
      </w:tr>
    </w:tbl>
    <w:p w14:paraId="23E91E41" w14:textId="77777777" w:rsidR="00706A57" w:rsidRPr="00DD47DF" w:rsidRDefault="00706A57" w:rsidP="008E4EE8">
      <w:pPr>
        <w:pStyle w:val="Standardntext"/>
        <w:spacing w:before="240"/>
      </w:pPr>
      <w:r w:rsidRPr="00DD47DF">
        <w:t xml:space="preserve">Mezi potřeby rozvoje v rámci problémové oblasti „Konkurenceschopnost ekonomiky“, resp. hlavního pilíře „Konkurenceschopné podniky“ patří: zvýšení schopnosti MSP samostatně se prosazovat na náročných a vzdálených zahraničních trzích, zvýšení dostupnosti vnějšího financování pro začínající podnikatele a inovační podniky, včetně rizikového kapitálu, zajištění kvalitních služeb pro začínající podnikatele a v neposlední řadě rozvoj infrastruktury a služeb podporující potřeby rozvoje podniků. Reakce OP PIK na Dohodou takto akcentované potřeby rozvoje ČR je vtělena do prioritní osy 2, která prostřednictvím svých specifických cílů představuje příspěvek OP PIK ke zvýšení konkurenceschopnosti </w:t>
      </w:r>
      <w:r w:rsidR="00782BE3" w:rsidRPr="00DD47DF">
        <w:t>MSP</w:t>
      </w:r>
      <w:r w:rsidRPr="00DD47DF">
        <w:t>.</w:t>
      </w:r>
    </w:p>
    <w:p w14:paraId="413A6E78" w14:textId="77777777" w:rsidR="00F260AA" w:rsidRPr="00DD47DF" w:rsidRDefault="00F260AA" w:rsidP="001652D9">
      <w:pPr>
        <w:pStyle w:val="Modrnadpis"/>
      </w:pPr>
      <w:r w:rsidRPr="00DD47DF">
        <w:t xml:space="preserve">Energetická infrastruktura </w:t>
      </w:r>
    </w:p>
    <w:p w14:paraId="79ACB6AD" w14:textId="77777777" w:rsidR="00F260AA" w:rsidRPr="00DD47DF" w:rsidRDefault="00F260AA" w:rsidP="00F260AA">
      <w:pPr>
        <w:pStyle w:val="Standardntext"/>
      </w:pPr>
      <w:r w:rsidRPr="00DD47DF">
        <w:t xml:space="preserve">Energetika je klíčovým odvětvím ekonomiky každé vyspělé země a představuje jednu z významných podmínek ekonomického rozvoje a konkurenceschopnosti. Nakládání energií se dotýká všech sektorů (podnikatelského, veřejného a samozřejmě i domácností) a jejich fungování je bez zajištění dostatku, kvality a cenové dostupnosti energie nemyslitelné. Energie se jako jeden ze základních výrobních vstupů podílí na produktivitě firem a současně firemní sektor spoluurčuje potřeby v oblasti energetiky. </w:t>
      </w:r>
    </w:p>
    <w:p w14:paraId="71E8F6D1" w14:textId="77777777" w:rsidR="00782BE3" w:rsidRPr="00DD47DF" w:rsidRDefault="00782BE3" w:rsidP="00782BE3">
      <w:pPr>
        <w:pStyle w:val="Standardntext"/>
      </w:pPr>
      <w:r w:rsidRPr="00DD47DF">
        <w:lastRenderedPageBreak/>
        <w:t xml:space="preserve">Dle Státní energetické koncepce ČR je současná energetická spotřeba ČR pokryta z více než 50 % domácími zdroji primární energie. Avšak s ohledem na pokles využívání nejvýznamnějšího domácího zdroje energie (hnědé a černé uhlí) je potřeba v příštích desetiletích počítat s nárůstem dovozní energetické závislosti až do výše 65 % do roku 2030 a 70 % do roku 2040. Pro zajištění maximálně možné nezávislosti ČR na cizích energetických zdrojích je proto třeba podporovat optimální využití konvenčních i obnovitelných zdrojů energie na území ČR. Cílová hodnota pro EU vyplývající ze strategie Evropa 2020 činí 20 % podílu energie z obnovitelných zdrojů v roce 2020. Pro ČR byl EK stanoven i s ohledem na omezené možnosti vzhledem ke geografickým podmínkám nižší, minimálně 13 % podíl energie z obnovitelných zdrojů na hrubé konečné spotřebě energie v roce 2020. Podíl energie z OZE od roku 2005 v ČR díky přijaté podpoře setrvale a výrazně stoupal, až dosáhl v roce 2012 11,2 % hrubé domácí konečné spotřeby energie. Cílem ČR je další zvýšení podílu energie z OZE, avšak při přehodnocení formy podpory a minimalizace finančních dopadů OZE na ekonomiku a obyvatelstvo. </w:t>
      </w:r>
    </w:p>
    <w:p w14:paraId="1151A664" w14:textId="77777777" w:rsidR="00F260AA" w:rsidRPr="00DD47DF" w:rsidRDefault="00782BE3" w:rsidP="00782BE3">
      <w:pPr>
        <w:pStyle w:val="Standardntext"/>
      </w:pPr>
      <w:r w:rsidRPr="00DD47DF">
        <w:t>V případě biomasy existuje v ČR dle analýzy MPO</w:t>
      </w:r>
      <w:r w:rsidRPr="00DD47DF">
        <w:rPr>
          <w:rStyle w:val="Znakapoznpodarou"/>
        </w:rPr>
        <w:footnoteReference w:id="14"/>
      </w:r>
      <w:r w:rsidRPr="00DD47DF">
        <w:t xml:space="preserve"> celkem 166 bioplynových stanic (54 %) o celkovém tepelném výkonu 108 MWth, které jsou s určitou až vysokou pravděpodobností vhodné k vyvedení kogenerační jednotky do blízkého okolí (max. 4 km). Realizací tohoto opatření by mohlo být dosaženo úspor tepla ve výši 2 221 TJ/rok. Jak je patrné z tabulky níže, nejvíce možností využití tepla v okolí bioplynových stanic najdeme v Královéhradeckém, Jihočeském, Pardubickém a Středočeském kraji. V Královéhradeckém kraji to je celých 70 % zařízení. Na druhé straně například na Vysočině, která se pyšní nejvyšším počtem bioplynových stanic, by bylo teplo možné využít pouze v okolí 30 % instalací. Nejvyšší procento možnosti využití tepla nalezneme v Ústeckém kraji, kde existuje teoretická možnost využití tepla nebo vzdálené kogenerace u všech instalací.</w:t>
      </w:r>
    </w:p>
    <w:p w14:paraId="0469048D" w14:textId="77777777" w:rsidR="00F260AA" w:rsidRPr="00DD47DF" w:rsidRDefault="00F260AA" w:rsidP="00F260AA">
      <w:pPr>
        <w:pStyle w:val="Titulek"/>
        <w:keepNext/>
      </w:pPr>
      <w:r w:rsidRPr="00DD47DF">
        <w:lastRenderedPageBreak/>
        <w:t xml:space="preserve">Obrázek </w:t>
      </w:r>
      <w:r w:rsidR="00A10251" w:rsidRPr="00DD47DF">
        <w:t>4</w:t>
      </w:r>
      <w:r w:rsidRPr="00DD47DF">
        <w:t>: Možnosti využití tepla / vzdálené kogenerace na stávajících bioplynových stanicích z hlediska jednotlivých krajů ČR</w:t>
      </w:r>
    </w:p>
    <w:tbl>
      <w:tblPr>
        <w:tblStyle w:val="Stednstnovn2zvraznn11"/>
        <w:tblW w:w="0" w:type="auto"/>
        <w:tblLook w:val="04A0" w:firstRow="1" w:lastRow="0" w:firstColumn="1" w:lastColumn="0" w:noHBand="0" w:noVBand="1"/>
      </w:tblPr>
      <w:tblGrid>
        <w:gridCol w:w="1879"/>
        <w:gridCol w:w="1523"/>
        <w:gridCol w:w="1312"/>
        <w:gridCol w:w="858"/>
        <w:gridCol w:w="1087"/>
        <w:gridCol w:w="1325"/>
        <w:gridCol w:w="1325"/>
      </w:tblGrid>
      <w:tr w:rsidR="00F260AA" w:rsidRPr="00DD47DF" w14:paraId="1A0CFBBA" w14:textId="77777777" w:rsidTr="00835118">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1879" w:type="dxa"/>
            <w:vAlign w:val="center"/>
          </w:tcPr>
          <w:p w14:paraId="4BE04DDE" w14:textId="77777777" w:rsidR="00F260AA" w:rsidRPr="00DD47DF" w:rsidRDefault="00F260AA" w:rsidP="00F260AA">
            <w:pPr>
              <w:keepNext/>
              <w:keepLines/>
              <w:jc w:val="center"/>
              <w:rPr>
                <w:rFonts w:asciiTheme="minorHAnsi" w:hAnsiTheme="minorHAnsi" w:cstheme="minorHAnsi"/>
                <w:szCs w:val="22"/>
              </w:rPr>
            </w:pPr>
            <w:r w:rsidRPr="00DD47DF">
              <w:rPr>
                <w:rFonts w:asciiTheme="minorHAnsi" w:hAnsiTheme="minorHAnsi" w:cstheme="minorHAnsi"/>
                <w:szCs w:val="22"/>
              </w:rPr>
              <w:t>Kraj</w:t>
            </w:r>
          </w:p>
        </w:tc>
        <w:tc>
          <w:tcPr>
            <w:tcW w:w="1523" w:type="dxa"/>
            <w:vAlign w:val="center"/>
          </w:tcPr>
          <w:p w14:paraId="771823C6"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Počet bioplynových stanic</w:t>
            </w:r>
          </w:p>
        </w:tc>
        <w:tc>
          <w:tcPr>
            <w:tcW w:w="1312" w:type="dxa"/>
            <w:vAlign w:val="center"/>
          </w:tcPr>
          <w:p w14:paraId="742152DF"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Celkový instalovaný tepelný výkon (MW)</w:t>
            </w:r>
          </w:p>
        </w:tc>
        <w:tc>
          <w:tcPr>
            <w:tcW w:w="858" w:type="dxa"/>
            <w:vAlign w:val="center"/>
          </w:tcPr>
          <w:p w14:paraId="3D751D3D"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„Ano“</w:t>
            </w:r>
            <w:r w:rsidRPr="00DD47DF">
              <w:rPr>
                <w:rStyle w:val="Znakapoznpodarou"/>
                <w:rFonts w:asciiTheme="minorHAnsi" w:hAnsiTheme="minorHAnsi" w:cstheme="minorHAnsi"/>
                <w:szCs w:val="22"/>
              </w:rPr>
              <w:footnoteReference w:id="15"/>
            </w:r>
          </w:p>
        </w:tc>
        <w:tc>
          <w:tcPr>
            <w:tcW w:w="1087" w:type="dxa"/>
            <w:vAlign w:val="center"/>
          </w:tcPr>
          <w:p w14:paraId="50EF7A1C"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„Ano“ + „Možná“</w:t>
            </w:r>
          </w:p>
        </w:tc>
        <w:tc>
          <w:tcPr>
            <w:tcW w:w="1325" w:type="dxa"/>
            <w:vAlign w:val="center"/>
          </w:tcPr>
          <w:p w14:paraId="0E2C72EB"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Instalovaný tepelný výkon „ano“ (MW)</w:t>
            </w:r>
          </w:p>
        </w:tc>
        <w:tc>
          <w:tcPr>
            <w:tcW w:w="1325" w:type="dxa"/>
            <w:vAlign w:val="center"/>
          </w:tcPr>
          <w:p w14:paraId="5A4166AE"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Instalovaný tepelný výkon „ano“ + „možná“ (MW)</w:t>
            </w:r>
          </w:p>
        </w:tc>
      </w:tr>
      <w:tr w:rsidR="00F260AA" w:rsidRPr="00DD47DF" w14:paraId="78E3A37B"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7F21D23A"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Královéhradecký</w:t>
            </w:r>
          </w:p>
        </w:tc>
        <w:tc>
          <w:tcPr>
            <w:tcW w:w="1523" w:type="dxa"/>
          </w:tcPr>
          <w:p w14:paraId="4F8AFC19"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27</w:t>
            </w:r>
          </w:p>
        </w:tc>
        <w:tc>
          <w:tcPr>
            <w:tcW w:w="1312" w:type="dxa"/>
          </w:tcPr>
          <w:p w14:paraId="21F61CD5"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22,6</w:t>
            </w:r>
          </w:p>
        </w:tc>
        <w:tc>
          <w:tcPr>
            <w:tcW w:w="858" w:type="dxa"/>
          </w:tcPr>
          <w:p w14:paraId="79BCD15F"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w:t>
            </w:r>
          </w:p>
        </w:tc>
        <w:tc>
          <w:tcPr>
            <w:tcW w:w="1087" w:type="dxa"/>
          </w:tcPr>
          <w:p w14:paraId="5BB919FA"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67267E62"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11,4</w:t>
            </w:r>
          </w:p>
        </w:tc>
        <w:tc>
          <w:tcPr>
            <w:tcW w:w="1325" w:type="dxa"/>
          </w:tcPr>
          <w:p w14:paraId="4ACB6B63"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17,0</w:t>
            </w:r>
          </w:p>
        </w:tc>
      </w:tr>
      <w:tr w:rsidR="00F260AA" w:rsidRPr="00DD47DF" w14:paraId="4794A4A3"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5003A2D0"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Jihočeský</w:t>
            </w:r>
          </w:p>
        </w:tc>
        <w:tc>
          <w:tcPr>
            <w:tcW w:w="1523" w:type="dxa"/>
          </w:tcPr>
          <w:p w14:paraId="3689EC97"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39</w:t>
            </w:r>
          </w:p>
        </w:tc>
        <w:tc>
          <w:tcPr>
            <w:tcW w:w="1312" w:type="dxa"/>
          </w:tcPr>
          <w:p w14:paraId="64462D5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26,9</w:t>
            </w:r>
          </w:p>
        </w:tc>
        <w:tc>
          <w:tcPr>
            <w:tcW w:w="858" w:type="dxa"/>
          </w:tcPr>
          <w:p w14:paraId="7345CC80"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8</w:t>
            </w:r>
          </w:p>
        </w:tc>
        <w:tc>
          <w:tcPr>
            <w:tcW w:w="1087" w:type="dxa"/>
          </w:tcPr>
          <w:p w14:paraId="57C3344C"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76BA33BA"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5,9</w:t>
            </w:r>
          </w:p>
        </w:tc>
        <w:tc>
          <w:tcPr>
            <w:tcW w:w="1325" w:type="dxa"/>
          </w:tcPr>
          <w:p w14:paraId="605F6AE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13,8</w:t>
            </w:r>
          </w:p>
        </w:tc>
      </w:tr>
      <w:tr w:rsidR="00F260AA" w:rsidRPr="00DD47DF" w14:paraId="5EFA1D4D"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2C7CEC10"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Jihomoravský</w:t>
            </w:r>
          </w:p>
        </w:tc>
        <w:tc>
          <w:tcPr>
            <w:tcW w:w="1523" w:type="dxa"/>
          </w:tcPr>
          <w:p w14:paraId="4F78FC66"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28</w:t>
            </w:r>
          </w:p>
        </w:tc>
        <w:tc>
          <w:tcPr>
            <w:tcW w:w="1312" w:type="dxa"/>
          </w:tcPr>
          <w:p w14:paraId="6F77C60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23,4</w:t>
            </w:r>
          </w:p>
        </w:tc>
        <w:tc>
          <w:tcPr>
            <w:tcW w:w="858" w:type="dxa"/>
          </w:tcPr>
          <w:p w14:paraId="60F590E6"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w:t>
            </w:r>
          </w:p>
        </w:tc>
        <w:tc>
          <w:tcPr>
            <w:tcW w:w="1087" w:type="dxa"/>
          </w:tcPr>
          <w:p w14:paraId="47C4BFF7"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14</w:t>
            </w:r>
          </w:p>
        </w:tc>
        <w:tc>
          <w:tcPr>
            <w:tcW w:w="1325" w:type="dxa"/>
          </w:tcPr>
          <w:p w14:paraId="62053C99"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3,8</w:t>
            </w:r>
          </w:p>
        </w:tc>
        <w:tc>
          <w:tcPr>
            <w:tcW w:w="1325" w:type="dxa"/>
          </w:tcPr>
          <w:p w14:paraId="7DF29990"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11,6</w:t>
            </w:r>
          </w:p>
        </w:tc>
      </w:tr>
      <w:tr w:rsidR="00F260AA" w:rsidRPr="00DD47DF" w14:paraId="1C5780DC"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3C42F3B5"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Karlovarský</w:t>
            </w:r>
          </w:p>
        </w:tc>
        <w:tc>
          <w:tcPr>
            <w:tcW w:w="1523" w:type="dxa"/>
          </w:tcPr>
          <w:p w14:paraId="6F8C2D5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w:t>
            </w:r>
          </w:p>
        </w:tc>
        <w:tc>
          <w:tcPr>
            <w:tcW w:w="1312" w:type="dxa"/>
          </w:tcPr>
          <w:p w14:paraId="6FB41A20"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4,5</w:t>
            </w:r>
          </w:p>
        </w:tc>
        <w:tc>
          <w:tcPr>
            <w:tcW w:w="858" w:type="dxa"/>
          </w:tcPr>
          <w:p w14:paraId="6B5B2E6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w:t>
            </w:r>
          </w:p>
        </w:tc>
        <w:tc>
          <w:tcPr>
            <w:tcW w:w="1087" w:type="dxa"/>
          </w:tcPr>
          <w:p w14:paraId="240F9A68"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w:t>
            </w:r>
          </w:p>
        </w:tc>
        <w:tc>
          <w:tcPr>
            <w:tcW w:w="1325" w:type="dxa"/>
          </w:tcPr>
          <w:p w14:paraId="05A346CD"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63DFD0BB"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4,0</w:t>
            </w:r>
          </w:p>
        </w:tc>
      </w:tr>
      <w:tr w:rsidR="00F260AA" w:rsidRPr="00DD47DF" w14:paraId="0FE9C9DB"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63F7331D"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Liberecký</w:t>
            </w:r>
          </w:p>
        </w:tc>
        <w:tc>
          <w:tcPr>
            <w:tcW w:w="1523" w:type="dxa"/>
          </w:tcPr>
          <w:p w14:paraId="1D70CC69"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w:t>
            </w:r>
          </w:p>
        </w:tc>
        <w:tc>
          <w:tcPr>
            <w:tcW w:w="1312" w:type="dxa"/>
          </w:tcPr>
          <w:p w14:paraId="0B5E88B4"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2,4</w:t>
            </w:r>
          </w:p>
        </w:tc>
        <w:tc>
          <w:tcPr>
            <w:tcW w:w="858" w:type="dxa"/>
          </w:tcPr>
          <w:p w14:paraId="44AF097A"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w:t>
            </w:r>
          </w:p>
        </w:tc>
        <w:tc>
          <w:tcPr>
            <w:tcW w:w="1087" w:type="dxa"/>
          </w:tcPr>
          <w:p w14:paraId="0A0B6DF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w:t>
            </w:r>
          </w:p>
        </w:tc>
        <w:tc>
          <w:tcPr>
            <w:tcW w:w="1325" w:type="dxa"/>
          </w:tcPr>
          <w:p w14:paraId="7386F5C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1,0</w:t>
            </w:r>
          </w:p>
        </w:tc>
        <w:tc>
          <w:tcPr>
            <w:tcW w:w="1325" w:type="dxa"/>
          </w:tcPr>
          <w:p w14:paraId="1B90751E"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1,5</w:t>
            </w:r>
          </w:p>
        </w:tc>
      </w:tr>
      <w:tr w:rsidR="00F260AA" w:rsidRPr="00DD47DF" w14:paraId="2BE72F5A"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16F194C0"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Moravskoslezský</w:t>
            </w:r>
          </w:p>
        </w:tc>
        <w:tc>
          <w:tcPr>
            <w:tcW w:w="1523" w:type="dxa"/>
          </w:tcPr>
          <w:p w14:paraId="4CE45A73"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14</w:t>
            </w:r>
          </w:p>
        </w:tc>
        <w:tc>
          <w:tcPr>
            <w:tcW w:w="1312" w:type="dxa"/>
          </w:tcPr>
          <w:p w14:paraId="6F6EB94D"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13,8</w:t>
            </w:r>
          </w:p>
        </w:tc>
        <w:tc>
          <w:tcPr>
            <w:tcW w:w="858" w:type="dxa"/>
          </w:tcPr>
          <w:p w14:paraId="05C7C2C7"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10</w:t>
            </w:r>
          </w:p>
        </w:tc>
        <w:tc>
          <w:tcPr>
            <w:tcW w:w="1087" w:type="dxa"/>
          </w:tcPr>
          <w:p w14:paraId="5B87ECE3"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12</w:t>
            </w:r>
          </w:p>
        </w:tc>
        <w:tc>
          <w:tcPr>
            <w:tcW w:w="1325" w:type="dxa"/>
          </w:tcPr>
          <w:p w14:paraId="08979AD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9,8</w:t>
            </w:r>
          </w:p>
        </w:tc>
        <w:tc>
          <w:tcPr>
            <w:tcW w:w="1325" w:type="dxa"/>
          </w:tcPr>
          <w:p w14:paraId="3B1B931A"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11,9</w:t>
            </w:r>
          </w:p>
        </w:tc>
      </w:tr>
      <w:tr w:rsidR="00F260AA" w:rsidRPr="00DD47DF" w14:paraId="3D010DE0"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5F10608B"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Olomoucký</w:t>
            </w:r>
          </w:p>
        </w:tc>
        <w:tc>
          <w:tcPr>
            <w:tcW w:w="1523" w:type="dxa"/>
          </w:tcPr>
          <w:p w14:paraId="12548DF7"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20</w:t>
            </w:r>
          </w:p>
        </w:tc>
        <w:tc>
          <w:tcPr>
            <w:tcW w:w="1312" w:type="dxa"/>
          </w:tcPr>
          <w:p w14:paraId="50D6EB8F"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16,9</w:t>
            </w:r>
          </w:p>
        </w:tc>
        <w:tc>
          <w:tcPr>
            <w:tcW w:w="858" w:type="dxa"/>
          </w:tcPr>
          <w:p w14:paraId="6017BAF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9</w:t>
            </w:r>
          </w:p>
        </w:tc>
        <w:tc>
          <w:tcPr>
            <w:tcW w:w="1087" w:type="dxa"/>
          </w:tcPr>
          <w:p w14:paraId="096BA245"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13</w:t>
            </w:r>
          </w:p>
        </w:tc>
        <w:tc>
          <w:tcPr>
            <w:tcW w:w="1325" w:type="dxa"/>
          </w:tcPr>
          <w:p w14:paraId="013CE81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6,9</w:t>
            </w:r>
          </w:p>
        </w:tc>
        <w:tc>
          <w:tcPr>
            <w:tcW w:w="1325" w:type="dxa"/>
          </w:tcPr>
          <w:p w14:paraId="189F9418"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11,2</w:t>
            </w:r>
          </w:p>
        </w:tc>
      </w:tr>
      <w:tr w:rsidR="00F260AA" w:rsidRPr="00DD47DF" w14:paraId="7DBF65B8"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6C7E0F58"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Pardubický</w:t>
            </w:r>
          </w:p>
        </w:tc>
        <w:tc>
          <w:tcPr>
            <w:tcW w:w="1523" w:type="dxa"/>
          </w:tcPr>
          <w:p w14:paraId="3B1F97B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34</w:t>
            </w:r>
          </w:p>
        </w:tc>
        <w:tc>
          <w:tcPr>
            <w:tcW w:w="1312" w:type="dxa"/>
          </w:tcPr>
          <w:p w14:paraId="460BD498"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29,4</w:t>
            </w:r>
          </w:p>
        </w:tc>
        <w:tc>
          <w:tcPr>
            <w:tcW w:w="858" w:type="dxa"/>
          </w:tcPr>
          <w:p w14:paraId="4EE79CE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w:t>
            </w:r>
          </w:p>
        </w:tc>
        <w:tc>
          <w:tcPr>
            <w:tcW w:w="1087" w:type="dxa"/>
          </w:tcPr>
          <w:p w14:paraId="267AB038"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4BC72292"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10,5</w:t>
            </w:r>
          </w:p>
        </w:tc>
        <w:tc>
          <w:tcPr>
            <w:tcW w:w="1325" w:type="dxa"/>
          </w:tcPr>
          <w:p w14:paraId="318606CB"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17,2</w:t>
            </w:r>
          </w:p>
        </w:tc>
      </w:tr>
      <w:tr w:rsidR="00F260AA" w:rsidRPr="00DD47DF" w14:paraId="4611B551"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32AE4B17"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Plzeňský</w:t>
            </w:r>
          </w:p>
        </w:tc>
        <w:tc>
          <w:tcPr>
            <w:tcW w:w="1523" w:type="dxa"/>
          </w:tcPr>
          <w:p w14:paraId="638385F3"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31</w:t>
            </w:r>
          </w:p>
        </w:tc>
        <w:tc>
          <w:tcPr>
            <w:tcW w:w="1312" w:type="dxa"/>
          </w:tcPr>
          <w:p w14:paraId="47B697E3"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23,5</w:t>
            </w:r>
          </w:p>
        </w:tc>
        <w:tc>
          <w:tcPr>
            <w:tcW w:w="858" w:type="dxa"/>
          </w:tcPr>
          <w:p w14:paraId="42EDCCC9"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w:t>
            </w:r>
          </w:p>
        </w:tc>
        <w:tc>
          <w:tcPr>
            <w:tcW w:w="1087" w:type="dxa"/>
          </w:tcPr>
          <w:p w14:paraId="37D61562"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14</w:t>
            </w:r>
          </w:p>
        </w:tc>
        <w:tc>
          <w:tcPr>
            <w:tcW w:w="1325" w:type="dxa"/>
          </w:tcPr>
          <w:p w14:paraId="2AFF2CB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5,4</w:t>
            </w:r>
          </w:p>
        </w:tc>
        <w:tc>
          <w:tcPr>
            <w:tcW w:w="1325" w:type="dxa"/>
          </w:tcPr>
          <w:p w14:paraId="1A623ED8"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10,7</w:t>
            </w:r>
          </w:p>
        </w:tc>
      </w:tr>
      <w:tr w:rsidR="00F260AA" w:rsidRPr="00DD47DF" w14:paraId="46B1645E"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3065BDE4"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Středočeský</w:t>
            </w:r>
          </w:p>
        </w:tc>
        <w:tc>
          <w:tcPr>
            <w:tcW w:w="1523" w:type="dxa"/>
          </w:tcPr>
          <w:p w14:paraId="4A32A90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41</w:t>
            </w:r>
          </w:p>
        </w:tc>
        <w:tc>
          <w:tcPr>
            <w:tcW w:w="1312" w:type="dxa"/>
          </w:tcPr>
          <w:p w14:paraId="148B12D0"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31,1</w:t>
            </w:r>
          </w:p>
        </w:tc>
        <w:tc>
          <w:tcPr>
            <w:tcW w:w="858" w:type="dxa"/>
          </w:tcPr>
          <w:p w14:paraId="365D81EA"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8</w:t>
            </w:r>
          </w:p>
        </w:tc>
        <w:tc>
          <w:tcPr>
            <w:tcW w:w="1087" w:type="dxa"/>
          </w:tcPr>
          <w:p w14:paraId="3C4DCB5E"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0F7FBB6E"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7,3</w:t>
            </w:r>
          </w:p>
        </w:tc>
        <w:tc>
          <w:tcPr>
            <w:tcW w:w="1325" w:type="dxa"/>
          </w:tcPr>
          <w:p w14:paraId="32461C1D"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16,5</w:t>
            </w:r>
          </w:p>
        </w:tc>
      </w:tr>
      <w:tr w:rsidR="00F260AA" w:rsidRPr="00DD47DF" w14:paraId="179FEEA1"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1E645034"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Ústecký</w:t>
            </w:r>
          </w:p>
        </w:tc>
        <w:tc>
          <w:tcPr>
            <w:tcW w:w="1523" w:type="dxa"/>
          </w:tcPr>
          <w:p w14:paraId="09659D8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8</w:t>
            </w:r>
          </w:p>
        </w:tc>
        <w:tc>
          <w:tcPr>
            <w:tcW w:w="1312" w:type="dxa"/>
          </w:tcPr>
          <w:p w14:paraId="1A5823B3"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5,3</w:t>
            </w:r>
          </w:p>
        </w:tc>
        <w:tc>
          <w:tcPr>
            <w:tcW w:w="858" w:type="dxa"/>
          </w:tcPr>
          <w:p w14:paraId="425E4898"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w:t>
            </w:r>
          </w:p>
        </w:tc>
        <w:tc>
          <w:tcPr>
            <w:tcW w:w="1087" w:type="dxa"/>
          </w:tcPr>
          <w:p w14:paraId="3613BC65"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8</w:t>
            </w:r>
          </w:p>
        </w:tc>
        <w:tc>
          <w:tcPr>
            <w:tcW w:w="1325" w:type="dxa"/>
          </w:tcPr>
          <w:p w14:paraId="2E2F4BF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2,2</w:t>
            </w:r>
          </w:p>
        </w:tc>
        <w:tc>
          <w:tcPr>
            <w:tcW w:w="1325" w:type="dxa"/>
          </w:tcPr>
          <w:p w14:paraId="6782952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5,3</w:t>
            </w:r>
          </w:p>
        </w:tc>
      </w:tr>
      <w:tr w:rsidR="00F260AA" w:rsidRPr="00DD47DF" w14:paraId="4C4163E2"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6D924F95"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Vysočina</w:t>
            </w:r>
          </w:p>
        </w:tc>
        <w:tc>
          <w:tcPr>
            <w:tcW w:w="1523" w:type="dxa"/>
          </w:tcPr>
          <w:p w14:paraId="2103F0B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52</w:t>
            </w:r>
          </w:p>
        </w:tc>
        <w:tc>
          <w:tcPr>
            <w:tcW w:w="1312" w:type="dxa"/>
          </w:tcPr>
          <w:p w14:paraId="2F3600AF"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36,9</w:t>
            </w:r>
          </w:p>
        </w:tc>
        <w:tc>
          <w:tcPr>
            <w:tcW w:w="858" w:type="dxa"/>
          </w:tcPr>
          <w:p w14:paraId="45C50481"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9</w:t>
            </w:r>
          </w:p>
        </w:tc>
        <w:tc>
          <w:tcPr>
            <w:tcW w:w="1087" w:type="dxa"/>
          </w:tcPr>
          <w:p w14:paraId="324A94EB"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17</w:t>
            </w:r>
          </w:p>
        </w:tc>
        <w:tc>
          <w:tcPr>
            <w:tcW w:w="1325" w:type="dxa"/>
          </w:tcPr>
          <w:p w14:paraId="723FBCDB"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6,0</w:t>
            </w:r>
          </w:p>
        </w:tc>
        <w:tc>
          <w:tcPr>
            <w:tcW w:w="1325" w:type="dxa"/>
          </w:tcPr>
          <w:p w14:paraId="123D1453"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12,2</w:t>
            </w:r>
          </w:p>
        </w:tc>
      </w:tr>
      <w:tr w:rsidR="00F260AA" w:rsidRPr="00DD47DF" w14:paraId="63B29586"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Borders>
              <w:bottom w:val="thickThinSmallGap" w:sz="12" w:space="0" w:color="auto"/>
            </w:tcBorders>
            <w:shd w:val="clear" w:color="auto" w:fill="C6D9F1" w:themeFill="text2" w:themeFillTint="33"/>
          </w:tcPr>
          <w:p w14:paraId="03A1A3A1"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Zlínský</w:t>
            </w:r>
          </w:p>
        </w:tc>
        <w:tc>
          <w:tcPr>
            <w:tcW w:w="1523" w:type="dxa"/>
            <w:tcBorders>
              <w:bottom w:val="thickThinSmallGap" w:sz="12" w:space="0" w:color="auto"/>
            </w:tcBorders>
          </w:tcPr>
          <w:p w14:paraId="6B0F18C0"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w:t>
            </w:r>
          </w:p>
        </w:tc>
        <w:tc>
          <w:tcPr>
            <w:tcW w:w="1312" w:type="dxa"/>
            <w:tcBorders>
              <w:bottom w:val="thickThinSmallGap" w:sz="12" w:space="0" w:color="auto"/>
            </w:tcBorders>
          </w:tcPr>
          <w:p w14:paraId="3D355F9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5,2</w:t>
            </w:r>
          </w:p>
        </w:tc>
        <w:tc>
          <w:tcPr>
            <w:tcW w:w="858" w:type="dxa"/>
            <w:tcBorders>
              <w:bottom w:val="thickThinSmallGap" w:sz="12" w:space="0" w:color="auto"/>
            </w:tcBorders>
          </w:tcPr>
          <w:p w14:paraId="43A19FD7"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6</w:t>
            </w:r>
          </w:p>
        </w:tc>
        <w:tc>
          <w:tcPr>
            <w:tcW w:w="1087" w:type="dxa"/>
            <w:tcBorders>
              <w:bottom w:val="thickThinSmallGap" w:sz="12" w:space="0" w:color="auto"/>
            </w:tcBorders>
          </w:tcPr>
          <w:p w14:paraId="2A7DCF7A"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6</w:t>
            </w:r>
          </w:p>
        </w:tc>
        <w:tc>
          <w:tcPr>
            <w:tcW w:w="1325" w:type="dxa"/>
            <w:tcBorders>
              <w:bottom w:val="thickThinSmallGap" w:sz="12" w:space="0" w:color="auto"/>
            </w:tcBorders>
          </w:tcPr>
          <w:p w14:paraId="378D4307"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4,2</w:t>
            </w:r>
          </w:p>
        </w:tc>
        <w:tc>
          <w:tcPr>
            <w:tcW w:w="1325" w:type="dxa"/>
            <w:tcBorders>
              <w:bottom w:val="thickThinSmallGap" w:sz="12" w:space="0" w:color="auto"/>
            </w:tcBorders>
          </w:tcPr>
          <w:p w14:paraId="415136DD"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4,2</w:t>
            </w:r>
          </w:p>
        </w:tc>
      </w:tr>
      <w:tr w:rsidR="00F260AA" w:rsidRPr="00DD47DF" w14:paraId="0FD1BA43" w14:textId="77777777" w:rsidTr="00835118">
        <w:tc>
          <w:tcPr>
            <w:cnfStyle w:val="001000000000" w:firstRow="0" w:lastRow="0" w:firstColumn="1" w:lastColumn="0" w:oddVBand="0" w:evenVBand="0" w:oddHBand="0" w:evenHBand="0" w:firstRowFirstColumn="0" w:firstRowLastColumn="0" w:lastRowFirstColumn="0" w:lastRowLastColumn="0"/>
            <w:tcW w:w="1879" w:type="dxa"/>
            <w:tcBorders>
              <w:top w:val="thickThinSmallGap" w:sz="12" w:space="0" w:color="auto"/>
            </w:tcBorders>
            <w:shd w:val="clear" w:color="auto" w:fill="8DB3E2" w:themeFill="text2" w:themeFillTint="66"/>
          </w:tcPr>
          <w:p w14:paraId="551F1C55" w14:textId="77777777" w:rsidR="00F260AA" w:rsidRPr="00DD47DF" w:rsidRDefault="00F260AA" w:rsidP="00F260AA">
            <w:pPr>
              <w:keepNext/>
              <w:keepLines/>
              <w:rPr>
                <w:rFonts w:asciiTheme="minorHAnsi" w:hAnsiTheme="minorHAnsi" w:cstheme="minorHAnsi"/>
                <w:sz w:val="22"/>
                <w:szCs w:val="22"/>
              </w:rPr>
            </w:pPr>
            <w:r w:rsidRPr="00DD47DF">
              <w:rPr>
                <w:rFonts w:asciiTheme="minorHAnsi" w:hAnsiTheme="minorHAnsi" w:cstheme="minorHAnsi"/>
                <w:color w:val="auto"/>
                <w:sz w:val="22"/>
                <w:szCs w:val="22"/>
              </w:rPr>
              <w:t>Česká republika</w:t>
            </w:r>
          </w:p>
        </w:tc>
        <w:tc>
          <w:tcPr>
            <w:tcW w:w="1523" w:type="dxa"/>
            <w:tcBorders>
              <w:top w:val="thickThinSmallGap" w:sz="12" w:space="0" w:color="auto"/>
            </w:tcBorders>
            <w:shd w:val="clear" w:color="auto" w:fill="8DB3E2" w:themeFill="text2" w:themeFillTint="66"/>
          </w:tcPr>
          <w:p w14:paraId="258EBCE0"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310</w:t>
            </w:r>
          </w:p>
        </w:tc>
        <w:tc>
          <w:tcPr>
            <w:tcW w:w="1312" w:type="dxa"/>
            <w:tcBorders>
              <w:top w:val="thickThinSmallGap" w:sz="12" w:space="0" w:color="auto"/>
            </w:tcBorders>
            <w:shd w:val="clear" w:color="auto" w:fill="8DB3E2" w:themeFill="text2" w:themeFillTint="66"/>
          </w:tcPr>
          <w:p w14:paraId="6FF0A89A"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242</w:t>
            </w:r>
          </w:p>
        </w:tc>
        <w:tc>
          <w:tcPr>
            <w:tcW w:w="858" w:type="dxa"/>
            <w:tcBorders>
              <w:top w:val="thickThinSmallGap" w:sz="12" w:space="0" w:color="auto"/>
            </w:tcBorders>
            <w:shd w:val="clear" w:color="auto" w:fill="8DB3E2" w:themeFill="text2" w:themeFillTint="66"/>
          </w:tcPr>
          <w:p w14:paraId="7E8103DE"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93</w:t>
            </w:r>
          </w:p>
        </w:tc>
        <w:tc>
          <w:tcPr>
            <w:tcW w:w="1087" w:type="dxa"/>
            <w:tcBorders>
              <w:top w:val="thickThinSmallGap" w:sz="12" w:space="0" w:color="auto"/>
            </w:tcBorders>
            <w:shd w:val="clear" w:color="auto" w:fill="8DB3E2" w:themeFill="text2" w:themeFillTint="66"/>
          </w:tcPr>
          <w:p w14:paraId="367E597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166</w:t>
            </w:r>
          </w:p>
        </w:tc>
        <w:tc>
          <w:tcPr>
            <w:tcW w:w="1325" w:type="dxa"/>
            <w:tcBorders>
              <w:top w:val="thickThinSmallGap" w:sz="12" w:space="0" w:color="auto"/>
            </w:tcBorders>
            <w:shd w:val="clear" w:color="auto" w:fill="8DB3E2" w:themeFill="text2" w:themeFillTint="66"/>
          </w:tcPr>
          <w:p w14:paraId="283A901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76</w:t>
            </w:r>
          </w:p>
        </w:tc>
        <w:tc>
          <w:tcPr>
            <w:tcW w:w="1325" w:type="dxa"/>
            <w:tcBorders>
              <w:top w:val="thickThinSmallGap" w:sz="12" w:space="0" w:color="auto"/>
            </w:tcBorders>
            <w:shd w:val="clear" w:color="auto" w:fill="8DB3E2" w:themeFill="text2" w:themeFillTint="66"/>
          </w:tcPr>
          <w:p w14:paraId="69B64068"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137</w:t>
            </w:r>
          </w:p>
        </w:tc>
      </w:tr>
    </w:tbl>
    <w:p w14:paraId="7BE36611" w14:textId="77777777" w:rsidR="00F260AA" w:rsidRPr="00DD47DF" w:rsidRDefault="00A041AE" w:rsidP="00F260AA">
      <w:pPr>
        <w:pStyle w:val="Standardntext"/>
        <w:spacing w:after="240"/>
      </w:pPr>
      <w:r w:rsidRPr="00DD47DF">
        <w:t>Zdroj: Možnosti využití tepla/ vzdálené kogenerace na zemědělských BPS v České republice, zpracovatel NovaEnergo s.r.o., květen 2013</w:t>
      </w:r>
    </w:p>
    <w:p w14:paraId="5DCF9030" w14:textId="77777777" w:rsidR="00F260AA" w:rsidRPr="00DD47DF" w:rsidRDefault="00F260AA" w:rsidP="00F260AA">
      <w:pPr>
        <w:pStyle w:val="Standardntext"/>
      </w:pPr>
      <w:r w:rsidRPr="00DD47DF">
        <w:t>Dalším identifikovaným problémem je vysoká úroveň energetické náročnosti ekonomiky. Jak vyplývá z grafu níže, z hlediska energetické náročnosti se ČR v současnosti nachází výrazně nad průměrem EU-27. Pokud jde o konečnou spotřebu energie, spotřebovala ČR v sektoru průmyslu a služeb v roce 2012 zhruba 434 PJ. Důvodem vyšší energetické náročnosti je jak vysoký podíl průmyslu na tvorbě HDP a vysoký podíl průmyslových odvětví s vysokou energetickou náročností, tak i vnitřní dluh podniků spočívající v nízké energetické efektivnosti průmyslových procesů a vysoké energetické náročnosti budov. Návratnost investic do energetické efektivnosti je obvykle o něco delší než investice do vlastní produkce a tempo zvyšování energetické účinnosti je při rozpočtových omezeních firem pomalé. Ceny energií pak představují kritický faktor konkurenceschopnosti firem. Z hlediska spotřeby energie na obyvatele i z hlediska spotřeby elektřiny na obyvatele se ČR nachází zhruba v průměru zemí EU. Nadále však existuje poměrně vysoký potenciál úspor ovlivněný nedostatkem finančních prostředků pro investice do úsporných projektů a nedostatek znalostí v oblasti efektivního využívání energie. Úspory energie budou mít pozitivní vliv jak na kvalitu ovzduší, tak i na snížení produkce CO</w:t>
      </w:r>
      <w:r w:rsidRPr="00DD47DF">
        <w:rPr>
          <w:vertAlign w:val="subscript"/>
        </w:rPr>
        <w:t>2</w:t>
      </w:r>
      <w:r w:rsidRPr="00DD47DF">
        <w:t xml:space="preserve"> (zde jednoznačná vazba na problémovou oblast </w:t>
      </w:r>
      <w:r w:rsidR="008E4EE8" w:rsidRPr="00DD47DF">
        <w:t>„</w:t>
      </w:r>
      <w:r w:rsidRPr="00DD47DF">
        <w:t>Životní prostředí</w:t>
      </w:r>
      <w:r w:rsidR="008E4EE8" w:rsidRPr="00DD47DF">
        <w:t>“</w:t>
      </w:r>
      <w:r w:rsidRPr="00DD47DF">
        <w:t>).</w:t>
      </w:r>
    </w:p>
    <w:p w14:paraId="7EDB5E92" w14:textId="77777777" w:rsidR="00F260AA" w:rsidRPr="00DD47DF" w:rsidRDefault="00F260AA" w:rsidP="00F260AA">
      <w:pPr>
        <w:pStyle w:val="Titulek"/>
        <w:keepNext/>
        <w:rPr>
          <w:rFonts w:cs="Calibri"/>
        </w:rPr>
      </w:pPr>
      <w:r w:rsidRPr="00DD47DF">
        <w:rPr>
          <w:rFonts w:cs="Calibri"/>
        </w:rPr>
        <w:lastRenderedPageBreak/>
        <w:t xml:space="preserve">Obrázek </w:t>
      </w:r>
      <w:r w:rsidR="00A10251" w:rsidRPr="00DD47DF">
        <w:rPr>
          <w:rFonts w:cs="Calibri"/>
        </w:rPr>
        <w:t>5</w:t>
      </w:r>
      <w:r w:rsidRPr="00DD47DF">
        <w:rPr>
          <w:rFonts w:cs="Calibri"/>
        </w:rPr>
        <w:t>: Energetická náročnost jednotlivých zemí EU-28 (v kilogramu ropného ekvivalentu na 1000 EUR), 2012</w:t>
      </w:r>
    </w:p>
    <w:p w14:paraId="40C7FEC6" w14:textId="77777777" w:rsidR="00F260AA" w:rsidRPr="00DD47DF" w:rsidRDefault="00F260AA" w:rsidP="00F260AA">
      <w:pPr>
        <w:contextualSpacing/>
        <w:jc w:val="both"/>
        <w:rPr>
          <w:rFonts w:ascii="Calibri" w:hAnsi="Calibri" w:cs="Calibri"/>
        </w:rPr>
      </w:pPr>
      <w:r w:rsidRPr="00DD47DF">
        <w:rPr>
          <w:noProof/>
        </w:rPr>
        <w:drawing>
          <wp:inline distT="0" distB="0" distL="0" distR="0" wp14:anchorId="4C3C7462" wp14:editId="4649A37A">
            <wp:extent cx="5838190" cy="3409315"/>
            <wp:effectExtent l="0" t="0" r="10160" b="19685"/>
            <wp:docPr id="35" name="Graf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85D5F5" w14:textId="77777777" w:rsidR="00F260AA" w:rsidRPr="00DD47DF" w:rsidRDefault="00A041AE" w:rsidP="00F260AA">
      <w:pPr>
        <w:pStyle w:val="Standardntext"/>
        <w:spacing w:after="240"/>
      </w:pPr>
      <w:r w:rsidRPr="00DD47DF">
        <w:t>Zdroj</w:t>
      </w:r>
      <w:r w:rsidR="00835118" w:rsidRPr="00DD47DF">
        <w:t>:</w:t>
      </w:r>
      <w:r w:rsidR="00F260AA" w:rsidRPr="00DD47DF">
        <w:t xml:space="preserve"> Eurostat</w:t>
      </w:r>
    </w:p>
    <w:p w14:paraId="506E04A6" w14:textId="77777777" w:rsidR="00F260AA" w:rsidRPr="00DD47DF" w:rsidRDefault="00F260AA" w:rsidP="00F260AA">
      <w:pPr>
        <w:pStyle w:val="Standardntext"/>
      </w:pPr>
      <w:r w:rsidRPr="00DD47DF">
        <w:t>Díky pozvolnému nárůstu spotřeby elektrické energie, ale i z důvodu vzniku nových zdrojů rozptýlené výroby včetně intermitentních (OZE), vzniká potřeba zvýšení transformačního výkonu přenosové soustavy a distribuční soustavy. Bez rozvoje a modernizace elektrizační soustavy nelze v budoucnu dostatečně uspokojit požadavky rozvíjejících se regionů. Posílení vnitřní i přeshraniční kapacity přenosových vedení elektrické energie je důležité rovněž z pohledu integrace vnitřního evropského trhu s energií. Kvalitní napojení energetických sítí na evropské struktury je významné z hlediska energetické bezpečnosti a zajištění stálosti dodávek při exportu i importu energie. Z hlediska narůstající zátěže pro distribuci a přenos elektrické energie, která zapříčiňuje vysokou ztrátovost, jsou problémovými oblastmi především klíčové uzly soustav a téměř nulové využití inteligentních sítí jako regulačního prvku. V případě distribuční soustavy je přetížením ohroženo zejména vedení a další prvky (např. trafostanice) hlavně v koncových sítích (vn a nn) a v okrajových oblastech. Úroveň kvality v distribučních soustavách je určena ukazateli nepřetržitosti distribuce elektřiny podle § 21 vyhlášky č. 540/2005 Sb., o kvalitě dodávek elektřiny a souvisejících služeb v elektroenergetice. Vyhláškou jsou definovány následující ukazatele nepřetržitosti: (1) průměrný počet přerušení distribuce elektřiny u zákazníků v hodnoceném období (SAIFI) a (2) průměrná souhrnná doba trvání přerušení distribuce elektřiny u zákazníků v hodnoceném období (SAIDI). V roce 2013 dosáhl ukazatel SAIFI počtu 2,755 přerušení za rok a ukazatel SAIDI délky přerušení 394,33 min. za rok. Jak vyplývá z grafů níže, hodnoty obou ukazatelů v posledních 3 letech mírně rostou, což potvrzuje narůstající zátěž pro distribuci vedoucí ke snížení bezpečnosti dodávek.</w:t>
      </w:r>
    </w:p>
    <w:p w14:paraId="27B53CAE" w14:textId="77777777" w:rsidR="00F260AA" w:rsidRPr="00DD47DF" w:rsidRDefault="00F260AA" w:rsidP="00F260AA">
      <w:pPr>
        <w:pStyle w:val="Titulek"/>
        <w:keepNext/>
        <w:rPr>
          <w:rFonts w:cs="Calibri"/>
        </w:rPr>
      </w:pPr>
      <w:r w:rsidRPr="00DD47DF">
        <w:rPr>
          <w:rFonts w:cs="Calibri"/>
        </w:rPr>
        <w:lastRenderedPageBreak/>
        <w:t xml:space="preserve">Obrázek </w:t>
      </w:r>
      <w:r w:rsidR="00A10251" w:rsidRPr="00DD47DF">
        <w:rPr>
          <w:rFonts w:cs="Calibri"/>
        </w:rPr>
        <w:t>6</w:t>
      </w:r>
      <w:r w:rsidRPr="00DD47DF">
        <w:rPr>
          <w:rFonts w:cs="Calibri"/>
        </w:rPr>
        <w:t>: Dosažené hodnoty ukazatelů nepřetržitosti distribuce elektřiny (SAIFI, SAIDI) napájené z hladiny nízkého napětí v posledních 3 letech</w:t>
      </w:r>
    </w:p>
    <w:p w14:paraId="6EE5BA06" w14:textId="77777777" w:rsidR="00F260AA" w:rsidRPr="00DD47DF" w:rsidRDefault="00F260AA" w:rsidP="00DA3512">
      <w:pPr>
        <w:pStyle w:val="Titulek"/>
        <w:keepNext/>
        <w:numPr>
          <w:ilvl w:val="0"/>
          <w:numId w:val="77"/>
        </w:numPr>
        <w:spacing w:before="120"/>
        <w:rPr>
          <w:rFonts w:cs="Calibri"/>
        </w:rPr>
      </w:pPr>
      <w:r w:rsidRPr="00DD47DF">
        <w:rPr>
          <w:rFonts w:cs="Calibri"/>
        </w:rPr>
        <w:t>Průměrný počet přerušení distribuce elektřiny u zákazníků v hodnoceném období (SAIFI)</w:t>
      </w:r>
    </w:p>
    <w:p w14:paraId="7E1E57B6" w14:textId="77777777" w:rsidR="00F260AA" w:rsidRPr="00DD47DF" w:rsidRDefault="00F260AA" w:rsidP="00F260AA">
      <w:pPr>
        <w:pStyle w:val="Standardntext"/>
        <w:jc w:val="center"/>
      </w:pPr>
      <w:r w:rsidRPr="00DD47DF">
        <w:rPr>
          <w:noProof/>
        </w:rPr>
        <w:drawing>
          <wp:inline distT="0" distB="0" distL="0" distR="0" wp14:anchorId="12114AED" wp14:editId="3C742424">
            <wp:extent cx="5455920" cy="4126230"/>
            <wp:effectExtent l="0" t="0" r="11430" b="26670"/>
            <wp:docPr id="36" name="Graf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17D1BB" w14:textId="77777777" w:rsidR="00F260AA" w:rsidRPr="00DD47DF" w:rsidRDefault="00F260AA" w:rsidP="00DA3512">
      <w:pPr>
        <w:pStyle w:val="Titulek"/>
        <w:keepNext/>
        <w:numPr>
          <w:ilvl w:val="0"/>
          <w:numId w:val="77"/>
        </w:numPr>
        <w:spacing w:before="120"/>
        <w:rPr>
          <w:rFonts w:cs="Calibri"/>
        </w:rPr>
      </w:pPr>
      <w:r w:rsidRPr="00DD47DF">
        <w:rPr>
          <w:rFonts w:cs="Calibri"/>
        </w:rPr>
        <w:lastRenderedPageBreak/>
        <w:t>Průměrná souhrnná doba trvání přerušení distribuce elektřiny u zákazníků v hodnoceném období (SAIDI)</w:t>
      </w:r>
    </w:p>
    <w:p w14:paraId="45D5F370" w14:textId="77777777" w:rsidR="00F260AA" w:rsidRPr="00DD47DF" w:rsidRDefault="00F260AA" w:rsidP="00F260AA">
      <w:pPr>
        <w:pStyle w:val="Standardntext"/>
        <w:jc w:val="center"/>
      </w:pPr>
      <w:r w:rsidRPr="00DD47DF">
        <w:rPr>
          <w:noProof/>
        </w:rPr>
        <w:drawing>
          <wp:inline distT="0" distB="0" distL="0" distR="0" wp14:anchorId="4E9B3BD7" wp14:editId="34537AE0">
            <wp:extent cx="5449570" cy="4154170"/>
            <wp:effectExtent l="0" t="0" r="17780" b="17780"/>
            <wp:docPr id="37" name="Graf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E8D6F2" w14:textId="77777777" w:rsidR="00F260AA" w:rsidRPr="00DD47DF" w:rsidRDefault="00F260AA" w:rsidP="00F260AA">
      <w:pPr>
        <w:pStyle w:val="Standardntext"/>
        <w:spacing w:after="240"/>
      </w:pPr>
      <w:r w:rsidRPr="00DD47DF">
        <w:t>Zdroj: Energetický regulační úřad ČR, Zpráva o dosažené úrovni nepřetržitosti přenosu nebo distribuce elektřiny za rok 2012; ČEZ Distribuce, a. s., Souhrnná zpráva za rok 2013</w:t>
      </w:r>
      <w:r w:rsidRPr="00DD47DF">
        <w:rPr>
          <w:rStyle w:val="Znakapoznpodarou"/>
        </w:rPr>
        <w:footnoteReference w:id="16"/>
      </w:r>
    </w:p>
    <w:p w14:paraId="6E8AD1C9" w14:textId="77777777" w:rsidR="00F260AA" w:rsidRPr="00DD47DF" w:rsidRDefault="00F260AA" w:rsidP="00F260AA">
      <w:pPr>
        <w:pStyle w:val="Standardntext"/>
        <w:spacing w:after="240"/>
      </w:pPr>
      <w:r w:rsidRPr="00DD47DF">
        <w:t>Parametry přenosové soustavy v současné době již neodpovídají rychle se měnící situaci v elektroenergetice. Vedení a uzly v rámci přenosové soustavy jsou ohrožené přetížením v důsledku neplánovaných toků elektřiny z okolních států. Dalším problémem přenosové soustavy je zvyšující se spotřeba elektrické energie v lokalitách bez dostatečných výrobních kapacit, což koresponduje s očekávaným trendem ve všech vyspělých zemích. Posilováním transformací ve stávajících uzlech přenosové soustavy je možno dosáhnout navýšení transformačního výkonu, který v roce 2013 činil 21 680 MVA (mega voltampér).</w:t>
      </w:r>
    </w:p>
    <w:p w14:paraId="5E9EFDFC" w14:textId="77777777" w:rsidR="00F260AA" w:rsidRPr="00DD47DF" w:rsidRDefault="00F260AA" w:rsidP="00F260AA">
      <w:pPr>
        <w:pStyle w:val="Standardntext"/>
      </w:pPr>
      <w:r w:rsidRPr="00DD47DF">
        <w:t>Slabinou inovačního prostředí pro oblast energetiky, která je jednou ze základních podmínek energetické konkurenceschopnosti v ČR, je nedostatečné využívání nízkouhlíkových technologií</w:t>
      </w:r>
      <w:r w:rsidR="00056DBD" w:rsidRPr="00DD47DF">
        <w:rPr>
          <w:rStyle w:val="Znakapoznpodarou"/>
        </w:rPr>
        <w:footnoteReference w:id="17"/>
      </w:r>
      <w:r w:rsidRPr="00DD47DF">
        <w:t xml:space="preserve">. Vyšší míra zavádění inovativních nízkouhlíkových technologií v ČR nemá dostatečnou prioritu a z pohledu firem jsou investice do těchto technologií příliš nákladné a rizikové oproti klasickým investicím do prosté obnovy či rozšíření výrobní produkce, která přináší z ekonomického hlediska krátkodoběji lepší výsledky. Při současném a očekávaném </w:t>
      </w:r>
      <w:r w:rsidRPr="00DD47DF">
        <w:lastRenderedPageBreak/>
        <w:t>růstu cen energií a surovin bude však tento prvek vnitropodnikové strategie přirozeně nabývat na významu a stane se významným prvkem tržní soutěže, neboť nízkouhlíkové technologie snižují energetické a materiálové nároky na jednotku produkce, snižují případné poplatky za emise či odpady a otevírají nové příležitosti pro podnikání.</w:t>
      </w:r>
    </w:p>
    <w:p w14:paraId="14829107" w14:textId="77777777" w:rsidR="00F260AA" w:rsidRPr="00DD47DF" w:rsidRDefault="00F260AA" w:rsidP="00F260AA">
      <w:pPr>
        <w:pStyle w:val="Standardntext"/>
      </w:pPr>
      <w:r w:rsidRPr="00DD47DF">
        <w:t>Výše uvedené platí i pro oblast využívání druhotných energetických zdrojů. Průmysl druhotných surovin</w:t>
      </w:r>
      <w:r w:rsidRPr="00DD47DF">
        <w:rPr>
          <w:rStyle w:val="Znakapoznpodarou"/>
        </w:rPr>
        <w:footnoteReference w:id="18"/>
      </w:r>
      <w:r w:rsidRPr="00DD47DF">
        <w:t xml:space="preserve"> patří v Č</w:t>
      </w:r>
      <w:r w:rsidR="00782BE3" w:rsidRPr="00DD47DF">
        <w:t>R</w:t>
      </w:r>
      <w:r w:rsidRPr="00DD47DF">
        <w:t xml:space="preserve"> historicky mezi tradiční obory hospodářství. Vzhledem k nedostatečné surovinové základně ČR tvoří druhotné suroviny významnou část surovinové základny pro všechna odvětví průmyslové výroby v ČR. Druhotné suroviny šetří zdroje primárních surovin, které rovnocenně nahrazují, a zároveň usnadňují technologické procesy. Významným přínosem druhotných surovin je snížení energetické a materiálové náročnosti ve všech výrobních odvětvích. Jejich potřeba stále vzrůstá úměrně se zvyšujícími se environmentálními požadavky na průmysl. Druhotné suroviny také snižují emise z průmyslové činnosti a tím následně i imise. Produkce druhotných surovin byla v roce 2012 v ČR ve výši 20,8 mil. tun. </w:t>
      </w:r>
    </w:p>
    <w:p w14:paraId="70028345" w14:textId="77777777" w:rsidR="00F260AA" w:rsidRPr="00DD47DF" w:rsidRDefault="00F260AA" w:rsidP="00F260AA">
      <w:pPr>
        <w:pStyle w:val="Titulek"/>
        <w:keepNext/>
        <w:keepLines/>
        <w:rPr>
          <w:rFonts w:cs="Calibri"/>
        </w:rPr>
      </w:pPr>
      <w:r w:rsidRPr="00DD47DF">
        <w:rPr>
          <w:rFonts w:cs="Calibri"/>
        </w:rPr>
        <w:t xml:space="preserve">Obrázek </w:t>
      </w:r>
      <w:r w:rsidR="00A10251" w:rsidRPr="00DD47DF">
        <w:rPr>
          <w:rFonts w:cs="Calibri"/>
        </w:rPr>
        <w:t>7</w:t>
      </w:r>
      <w:r w:rsidRPr="00DD47DF">
        <w:rPr>
          <w:rFonts w:cs="Calibri"/>
        </w:rPr>
        <w:t>: Produkce druhotných surovin v ČR (v tis. t), 2012</w:t>
      </w:r>
    </w:p>
    <w:p w14:paraId="2B72E414" w14:textId="77777777" w:rsidR="00F260AA" w:rsidRPr="00DD47DF" w:rsidRDefault="00F260AA" w:rsidP="00F260AA">
      <w:pPr>
        <w:pStyle w:val="Standardntext"/>
      </w:pPr>
      <w:r w:rsidRPr="00DD47DF">
        <w:rPr>
          <w:noProof/>
        </w:rPr>
        <w:drawing>
          <wp:inline distT="0" distB="0" distL="0" distR="0" wp14:anchorId="019DC011" wp14:editId="1BDDF3BE">
            <wp:extent cx="5593715" cy="3335020"/>
            <wp:effectExtent l="19050" t="19050" r="26035" b="17780"/>
            <wp:docPr id="3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3715" cy="3335020"/>
                    </a:xfrm>
                    <a:prstGeom prst="rect">
                      <a:avLst/>
                    </a:prstGeom>
                    <a:noFill/>
                    <a:ln w="9525" cmpd="sng">
                      <a:solidFill>
                        <a:srgbClr val="000000"/>
                      </a:solidFill>
                      <a:miter lim="800000"/>
                      <a:headEnd/>
                      <a:tailEnd/>
                    </a:ln>
                    <a:effectLst/>
                  </pic:spPr>
                </pic:pic>
              </a:graphicData>
            </a:graphic>
          </wp:inline>
        </w:drawing>
      </w:r>
    </w:p>
    <w:p w14:paraId="71A4B066" w14:textId="77777777" w:rsidR="00F260AA" w:rsidRPr="00DD47DF" w:rsidRDefault="00F260AA" w:rsidP="00F260AA">
      <w:pPr>
        <w:pStyle w:val="Standardntext"/>
        <w:spacing w:after="240"/>
      </w:pPr>
      <w:r w:rsidRPr="00DD47DF">
        <w:t>Zdroj: ČSÚ</w:t>
      </w:r>
    </w:p>
    <w:p w14:paraId="561030CA" w14:textId="77777777" w:rsidR="00F260AA" w:rsidRPr="00DD47DF" w:rsidRDefault="00782BE3" w:rsidP="00F260AA">
      <w:pPr>
        <w:pStyle w:val="Standardntext"/>
        <w:spacing w:after="240"/>
      </w:pPr>
      <w:r w:rsidRPr="00DD47DF">
        <w:t xml:space="preserve">Jak potvrzuje </w:t>
      </w:r>
      <w:r w:rsidR="00F260AA" w:rsidRPr="00DD47DF">
        <w:t>graf výše, množstevně nejvýznamnější komoditou jsou vedlejší energetické produkty, kovy a hmoty ze stavebnictví. Z jiných výrobků po ukončení životnosti (např. odpadní elektrická a elektronická zařízení, odpadní baterie a akumulátory), jejichž produkované množství nebo roční materiálový potenciál je nižší, se však získávají velmi cenné suroviny</w:t>
      </w:r>
      <w:r w:rsidR="00822956" w:rsidRPr="00DD47DF">
        <w:t>,</w:t>
      </w:r>
      <w:r w:rsidR="00F260AA" w:rsidRPr="00DD47DF">
        <w:t xml:space="preserve"> tj. </w:t>
      </w:r>
      <w:r w:rsidR="00F260AA" w:rsidRPr="00DD47DF">
        <w:lastRenderedPageBreak/>
        <w:t xml:space="preserve">kovy, z nichž některé byly označeny </w:t>
      </w:r>
      <w:r w:rsidRPr="00DD47DF">
        <w:t>EK</w:t>
      </w:r>
      <w:r w:rsidR="00F260AA" w:rsidRPr="00DD47DF">
        <w:t xml:space="preserve"> za kritické (tzn., že jejich dostupnost klesá). Význam komodity druhotné suroviny tak určuje nejen produkované množství, ale též obsah látek v nich obsažených. Nízké využití druhotných surovin jako vstupní suroviny pro další výrobu vykazují zejména komodity plasty (15 %), stavební hmoty (11 %) a produkty z energetických procesů (4 %). </w:t>
      </w:r>
    </w:p>
    <w:p w14:paraId="462C9969" w14:textId="77777777" w:rsidR="00F260AA" w:rsidRPr="00DD47DF" w:rsidRDefault="00782BE3" w:rsidP="00F260AA">
      <w:pPr>
        <w:pStyle w:val="Standardntext"/>
      </w:pPr>
      <w:r w:rsidRPr="00DD47DF">
        <w:t>ČR</w:t>
      </w:r>
      <w:r w:rsidR="00F260AA" w:rsidRPr="00DD47DF">
        <w:t xml:space="preserve"> má rozvinutý sektor teplárenství, nicméně soustavy zásobování teplem byly budovány od 40. let 20. století převážně do konce 80. let 20. století. Parametry těchto soustav odpovídaly vnějším potřebám, které se po roce 1989 změnily. Rozvody dálkového vytápění jsou realizovány ze 45,3 % jako teplovodní, z 33,3 % jako horkovodní a z 21,4 % jako parní sítě. Parní sítě jsou historicky umístěny v oblastech s dodávkou technologické páry pro průmyslové podniky. Velký počet průmyslových podniků v rámci restrukturalizace průmyslu v 90. letech však zanikl a s tím i potřeba dodávek páry. V případech, kdy došlo k omezení či zrušení odběru technologické páry se tyto sítě mj. z provozně-technických důvodů rekonstruují na horkovodní či teplovodní systémy (včetně navazujících energetických zařízení) z důvodu snížení ztrát a zlepšení provozních parametrů soustavy. Obvyklé ztráty v parních rozvodech jsou indikovány Rozhodnutím ERÚ</w:t>
      </w:r>
      <w:r w:rsidR="00F260AA" w:rsidRPr="00DD47DF">
        <w:rPr>
          <w:rStyle w:val="Znakapoznpodarou"/>
        </w:rPr>
        <w:footnoteReference w:id="19"/>
      </w:r>
      <w:r w:rsidR="00F260AA" w:rsidRPr="00DD47DF">
        <w:t xml:space="preserve"> na 9 GJ/m/rok (skutečná hodnota ztrát může být vyšší). Ztráty v horkovodních rozvodech realizovaných předizolovaným potrubím jsou dle katalogů odborných firem</w:t>
      </w:r>
      <w:r w:rsidR="00F260AA" w:rsidRPr="00DD47DF">
        <w:rPr>
          <w:rStyle w:val="Znakapoznpodarou"/>
        </w:rPr>
        <w:footnoteReference w:id="20"/>
      </w:r>
      <w:r w:rsidR="00F260AA" w:rsidRPr="00DD47DF">
        <w:t xml:space="preserve"> 1,75 GJ/m/rok. Rekonstrukcí parních rozvodů na horkovodní rozvody by tak došlo k průměrně k úspoře 7,25 GJ/m/rok. Při rekonstrukci všech parních rozvodů určených k rekonstrukci</w:t>
      </w:r>
      <w:r w:rsidR="00F260AA" w:rsidRPr="00DD47DF">
        <w:rPr>
          <w:rStyle w:val="Znakapoznpodarou"/>
        </w:rPr>
        <w:footnoteReference w:id="21"/>
      </w:r>
      <w:r w:rsidR="00F260AA" w:rsidRPr="00DD47DF">
        <w:t xml:space="preserve"> by dle Teplárenského sdružení ČR došlo k úspoře primární energie ve výši 7,33 PJ/rok. Průměrná životnost opatření je 30 let, tzn. za dobu živostnosti </w:t>
      </w:r>
      <w:r w:rsidR="005A383F" w:rsidRPr="00DD47DF">
        <w:t xml:space="preserve">se jedná o </w:t>
      </w:r>
      <w:r w:rsidR="00F260AA" w:rsidRPr="00DD47DF">
        <w:t>úsporu 219 PJ primární energie. Z hlediska spotřeby primární energie bylo přitom v sektoru průmyslu a služeb v roce 2012 dosaženo hodnoty 380 PJ.</w:t>
      </w:r>
    </w:p>
    <w:p w14:paraId="38063DCB" w14:textId="77777777" w:rsidR="00F260AA" w:rsidRPr="00DD47DF" w:rsidRDefault="00F260AA" w:rsidP="00F260AA">
      <w:pPr>
        <w:pStyle w:val="Standardntext"/>
      </w:pPr>
      <w:r w:rsidRPr="00DD47DF">
        <w:t>Výroba elektřiny v ČR je spojena s vysokými ztrátami kolem 500 PJ energie ročně. Ztráty v této oblasti vznikají z fyzikální podstaty odvedením nízkokapacitního tepla do okolního prostředí. Současně je nevyužit v mnoha lokalitách potenciál kombinované výroby elektřiny a tepla (KVET), kde je poptávka po užitečném teple realizována výtopenským režimem. Jak dokládá graf níže, v oblasti kombinované výroby elektřiny a tepla se Č</w:t>
      </w:r>
      <w:r w:rsidR="00822956" w:rsidRPr="00DD47DF">
        <w:t>R</w:t>
      </w:r>
      <w:r w:rsidRPr="00DD47DF">
        <w:t xml:space="preserve"> pohybuje jen lehce nad průměrem EU-27</w:t>
      </w:r>
      <w:r w:rsidRPr="00DD47DF">
        <w:rPr>
          <w:rStyle w:val="Znakapoznpodarou"/>
        </w:rPr>
        <w:footnoteReference w:id="22"/>
      </w:r>
      <w:r w:rsidRPr="00DD47DF">
        <w:t xml:space="preserve">, ovšem oproti zemím s nejrozvinutější KVET dosahuje pouze třetinových či dokonce čtvrtinových výsledků. Rozvodná tepelná zařízení, která umožňují existenci a rozvoj kombinované výroby elektřiny a tepla již v některých případech nevyhovují současným technickým požadavkům na rozvod tepelné energie a docházím ke zvýšeným ztrátám energie. V některých případech bude nutno počítat s řízeným přechodem některých velkých soustav na větší množství menších systémů využívajících menší kogenerační jednotky. Investice do rekonstrukcí tepelných sítí přinášejí efekt snižování ztrát při zásobování energiemi, proto díky nim dochází k zefektivnění samotné výroby energií v rámci vysokoúčinné KVET a tím mj. ke snížení emisí skleníkových plynů a ostatních polutantů. Dle analýzy potenciálu </w:t>
      </w:r>
      <w:r w:rsidRPr="00DD47DF">
        <w:lastRenderedPageBreak/>
        <w:t>kombinované výroby elektřiny a tepla</w:t>
      </w:r>
      <w:r w:rsidRPr="00DD47DF">
        <w:rPr>
          <w:rStyle w:val="Znakapoznpodarou"/>
        </w:rPr>
        <w:footnoteReference w:id="23"/>
      </w:r>
      <w:r w:rsidRPr="00DD47DF">
        <w:t xml:space="preserve"> je ekonomický potenciál rozvoje KVET ve středních zdrojích s instalovaným elektrickým výkonem 1 MW na úrovni 1 464 GWh k roku 2020. Po korekci tohoto potenciálu na současné podmínky (zejména vliv ekonomické krize, vliv zateplování, masivnější nárůst OZE než byl původní předpoklad atd.) lze korigovaný ekonomický potenciál KVET</w:t>
      </w:r>
      <w:r w:rsidRPr="00DD47DF">
        <w:rPr>
          <w:rStyle w:val="Znakapoznpodarou"/>
        </w:rPr>
        <w:footnoteReference w:id="24"/>
      </w:r>
      <w:r w:rsidRPr="00DD47DF">
        <w:t xml:space="preserve"> do roku 2020 předpokládat na úrovni 732 GWh (439 GWh průmyslové zdroje KVET, 293 GWh teplárenské zdroje KVET). Při naplnění tohoto potenciálu by dle Teplárenského sdružení ČR došlo k úspoře primární energie ve výši 3,87 PJ/rok. Průměrná životnost opatření je 15 let, tzn. za dobu živostnosti </w:t>
      </w:r>
      <w:r w:rsidR="005A383F" w:rsidRPr="00DD47DF">
        <w:t xml:space="preserve">se jedná o </w:t>
      </w:r>
      <w:r w:rsidRPr="00DD47DF">
        <w:t>úsporu 58 PJ primární energie.</w:t>
      </w:r>
    </w:p>
    <w:p w14:paraId="627D56C2" w14:textId="77777777" w:rsidR="00F260AA" w:rsidRPr="00DD47DF" w:rsidRDefault="00F260AA" w:rsidP="00F260AA">
      <w:pPr>
        <w:pStyle w:val="Titulek"/>
        <w:keepNext/>
        <w:keepLines/>
        <w:rPr>
          <w:rFonts w:cs="Calibri"/>
        </w:rPr>
      </w:pPr>
      <w:r w:rsidRPr="00DD47DF">
        <w:rPr>
          <w:rFonts w:cs="Calibri"/>
        </w:rPr>
        <w:t xml:space="preserve">Obrázek </w:t>
      </w:r>
      <w:r w:rsidR="00A10251" w:rsidRPr="00DD47DF">
        <w:rPr>
          <w:rFonts w:cs="Calibri"/>
        </w:rPr>
        <w:t>8</w:t>
      </w:r>
      <w:r w:rsidRPr="00DD47DF">
        <w:rPr>
          <w:rFonts w:cs="Calibri"/>
        </w:rPr>
        <w:t>: Využití kombinované výroby elektřiny a tepla v jednotlivých zemích EU-28 (v % z hrubé výroby elektřiny), 2011</w:t>
      </w:r>
    </w:p>
    <w:p w14:paraId="7D762B49" w14:textId="77777777" w:rsidR="00F260AA" w:rsidRPr="00DD47DF" w:rsidRDefault="00F260AA" w:rsidP="00F260AA">
      <w:r w:rsidRPr="00DD47DF">
        <w:rPr>
          <w:noProof/>
        </w:rPr>
        <w:drawing>
          <wp:inline distT="0" distB="0" distL="0" distR="0" wp14:anchorId="2CDC6FE8" wp14:editId="1FBDD8E2">
            <wp:extent cx="5655945" cy="3430905"/>
            <wp:effectExtent l="0" t="0" r="20955" b="17145"/>
            <wp:docPr id="39" name="Graf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67956B" w14:textId="77777777" w:rsidR="00F260AA" w:rsidRPr="00DD47DF" w:rsidRDefault="00F260AA" w:rsidP="00F260AA">
      <w:pPr>
        <w:pStyle w:val="Standardntext"/>
        <w:spacing w:after="240"/>
      </w:pPr>
      <w:r w:rsidRPr="00DD47DF">
        <w:t>Zdroj: Eurostat</w:t>
      </w:r>
    </w:p>
    <w:p w14:paraId="55DBF420" w14:textId="77777777" w:rsidR="00DE5407" w:rsidRPr="00DD47DF" w:rsidRDefault="00DE5407" w:rsidP="00DE5407">
      <w:pPr>
        <w:pStyle w:val="Modrnadpis"/>
      </w:pPr>
      <w:r w:rsidRPr="00DD47DF">
        <w:t>SWOT analýza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tblGrid>
      <w:tr w:rsidR="00D603D5" w:rsidRPr="00DD47DF" w14:paraId="4F60540E" w14:textId="77777777" w:rsidTr="007D02F2">
        <w:trPr>
          <w:trHeight w:val="552"/>
        </w:trPr>
        <w:tc>
          <w:tcPr>
            <w:tcW w:w="2500" w:type="pct"/>
            <w:shd w:val="clear" w:color="auto" w:fill="B8CCE4" w:themeFill="accent1" w:themeFillTint="66"/>
            <w:vAlign w:val="center"/>
          </w:tcPr>
          <w:p w14:paraId="723149B0" w14:textId="77777777" w:rsidR="00D603D5" w:rsidRPr="00DD47DF" w:rsidRDefault="00D603D5" w:rsidP="007D02F2">
            <w:pPr>
              <w:pStyle w:val="Tabulka"/>
              <w:rPr>
                <w:b/>
              </w:rPr>
            </w:pPr>
            <w:r w:rsidRPr="00DD47DF">
              <w:rPr>
                <w:b/>
              </w:rPr>
              <w:t>Silné stránky</w:t>
            </w:r>
          </w:p>
        </w:tc>
        <w:tc>
          <w:tcPr>
            <w:tcW w:w="2500" w:type="pct"/>
            <w:shd w:val="clear" w:color="auto" w:fill="B8CCE4" w:themeFill="accent1" w:themeFillTint="66"/>
            <w:vAlign w:val="center"/>
          </w:tcPr>
          <w:p w14:paraId="67E4CB83" w14:textId="77777777" w:rsidR="00D603D5" w:rsidRPr="00DD47DF" w:rsidRDefault="00D603D5" w:rsidP="007D02F2">
            <w:pPr>
              <w:pStyle w:val="Tabulka"/>
              <w:rPr>
                <w:b/>
              </w:rPr>
            </w:pPr>
            <w:r w:rsidRPr="00DD47DF">
              <w:rPr>
                <w:b/>
              </w:rPr>
              <w:t>Slabé stránky</w:t>
            </w:r>
          </w:p>
        </w:tc>
      </w:tr>
      <w:tr w:rsidR="00D603D5" w:rsidRPr="00DD47DF" w14:paraId="747A940D" w14:textId="77777777" w:rsidTr="007D02F2">
        <w:tc>
          <w:tcPr>
            <w:tcW w:w="2500" w:type="pct"/>
            <w:shd w:val="clear" w:color="auto" w:fill="auto"/>
          </w:tcPr>
          <w:p w14:paraId="3D857367" w14:textId="77777777" w:rsidR="00D603D5" w:rsidRPr="00DD47DF" w:rsidRDefault="00D603D5" w:rsidP="00DA3512">
            <w:pPr>
              <w:pStyle w:val="Tabulka"/>
              <w:numPr>
                <w:ilvl w:val="0"/>
                <w:numId w:val="93"/>
              </w:numPr>
              <w:ind w:left="459"/>
              <w:jc w:val="left"/>
            </w:pPr>
            <w:r w:rsidRPr="00DD47DF">
              <w:rPr>
                <w:rFonts w:cs="Calibri"/>
                <w:bCs/>
              </w:rPr>
              <w:t>Aktuální plná soběstačnost ve výrobě elektřiny a tepla;</w:t>
            </w:r>
          </w:p>
          <w:p w14:paraId="43A919D9" w14:textId="77777777" w:rsidR="00D603D5" w:rsidRPr="00DD47DF" w:rsidRDefault="00D603D5" w:rsidP="00DA3512">
            <w:pPr>
              <w:pStyle w:val="Tabulka"/>
              <w:numPr>
                <w:ilvl w:val="0"/>
                <w:numId w:val="93"/>
              </w:numPr>
              <w:ind w:left="459"/>
              <w:jc w:val="left"/>
              <w:rPr>
                <w:rFonts w:cs="Calibri"/>
                <w:bCs/>
              </w:rPr>
            </w:pPr>
            <w:r w:rsidRPr="00DD47DF">
              <w:rPr>
                <w:rFonts w:cs="Calibri"/>
                <w:bCs/>
              </w:rPr>
              <w:t>Prorůstový charakter investic do energetické infrastruktury z pohledu ekonomiky jako celku;</w:t>
            </w:r>
          </w:p>
          <w:p w14:paraId="49517518" w14:textId="77777777" w:rsidR="00436095" w:rsidRPr="00DD47DF" w:rsidRDefault="00436095" w:rsidP="00DA3512">
            <w:pPr>
              <w:pStyle w:val="Tabulka"/>
              <w:numPr>
                <w:ilvl w:val="0"/>
                <w:numId w:val="93"/>
              </w:numPr>
              <w:ind w:left="459"/>
              <w:jc w:val="left"/>
              <w:rPr>
                <w:rFonts w:cs="Calibri"/>
                <w:bCs/>
              </w:rPr>
            </w:pPr>
            <w:r w:rsidRPr="00DD47DF">
              <w:rPr>
                <w:rFonts w:cs="Calibri"/>
                <w:bCs/>
              </w:rPr>
              <w:lastRenderedPageBreak/>
              <w:t>Silná orientace na dosažení vnitrostátního cíle pro úspory v konečné spotřebě energie;</w:t>
            </w:r>
          </w:p>
          <w:p w14:paraId="5505FCB3" w14:textId="77777777" w:rsidR="00D603D5" w:rsidRPr="00DD47DF" w:rsidRDefault="00D603D5" w:rsidP="00DA3512">
            <w:pPr>
              <w:pStyle w:val="Tabulka"/>
              <w:numPr>
                <w:ilvl w:val="0"/>
                <w:numId w:val="93"/>
              </w:numPr>
              <w:ind w:left="459"/>
              <w:jc w:val="left"/>
            </w:pPr>
            <w:r w:rsidRPr="00DD47DF">
              <w:rPr>
                <w:rFonts w:cs="Calibri"/>
                <w:bCs/>
              </w:rPr>
              <w:t>Pozitivní vliv úspor energie na kvalitu ovzduší i na snížení produkce CO</w:t>
            </w:r>
            <w:r w:rsidRPr="00DD47DF">
              <w:rPr>
                <w:rFonts w:cs="Calibri"/>
                <w:bCs/>
                <w:vertAlign w:val="subscript"/>
              </w:rPr>
              <w:t>2</w:t>
            </w:r>
            <w:r w:rsidRPr="00DD47DF">
              <w:rPr>
                <w:rFonts w:cs="Calibri"/>
                <w:bCs/>
              </w:rPr>
              <w:t>.</w:t>
            </w:r>
          </w:p>
        </w:tc>
        <w:tc>
          <w:tcPr>
            <w:tcW w:w="2500" w:type="pct"/>
            <w:shd w:val="clear" w:color="auto" w:fill="auto"/>
          </w:tcPr>
          <w:p w14:paraId="61BC36D7" w14:textId="77777777" w:rsidR="00D603D5" w:rsidRPr="00DD47DF" w:rsidRDefault="00D603D5" w:rsidP="00DA3512">
            <w:pPr>
              <w:pStyle w:val="Tabulka"/>
              <w:numPr>
                <w:ilvl w:val="0"/>
                <w:numId w:val="93"/>
              </w:numPr>
              <w:ind w:left="459"/>
              <w:jc w:val="left"/>
            </w:pPr>
            <w:r w:rsidRPr="00DD47DF">
              <w:rPr>
                <w:rFonts w:cs="Calibri"/>
                <w:bCs/>
              </w:rPr>
              <w:lastRenderedPageBreak/>
              <w:t>Přetrvávající vysoká energetická náročnost hospodářství</w:t>
            </w:r>
            <w:r w:rsidRPr="00DD47DF">
              <w:t>;</w:t>
            </w:r>
          </w:p>
          <w:p w14:paraId="0C90D1D1" w14:textId="77777777" w:rsidR="00D603D5" w:rsidRPr="00DD47DF" w:rsidRDefault="00D603D5" w:rsidP="00DA3512">
            <w:pPr>
              <w:pStyle w:val="Tabulka"/>
              <w:numPr>
                <w:ilvl w:val="0"/>
                <w:numId w:val="93"/>
              </w:numPr>
              <w:ind w:left="459"/>
              <w:jc w:val="left"/>
            </w:pPr>
            <w:r w:rsidRPr="00DD47DF">
              <w:rPr>
                <w:rFonts w:cs="Calibri"/>
                <w:bCs/>
              </w:rPr>
              <w:t>Nízká konkurenceschopnost OZE (daná vysokými náklady na zřízení zdrojů OZE) oproti konvenčním zdrojům;</w:t>
            </w:r>
          </w:p>
          <w:p w14:paraId="2ACDEE22" w14:textId="77777777" w:rsidR="00D603D5" w:rsidRPr="00DD47DF" w:rsidRDefault="00D603D5" w:rsidP="00DA3512">
            <w:pPr>
              <w:pStyle w:val="Tabulka"/>
              <w:numPr>
                <w:ilvl w:val="0"/>
                <w:numId w:val="93"/>
              </w:numPr>
              <w:ind w:left="459"/>
              <w:jc w:val="left"/>
            </w:pPr>
            <w:r w:rsidRPr="00DD47DF">
              <w:rPr>
                <w:rFonts w:cs="Calibri"/>
                <w:bCs/>
              </w:rPr>
              <w:lastRenderedPageBreak/>
              <w:t>Nedostatečná adaptace přenosových a distribučních sítí na změnu zdrojové základny v energetice a nárůst a zm</w:t>
            </w:r>
            <w:r w:rsidR="009E2760" w:rsidRPr="00DD47DF">
              <w:rPr>
                <w:rFonts w:cs="Calibri"/>
                <w:bCs/>
              </w:rPr>
              <w:t xml:space="preserve">ěna charakteru odběrných míst, důsledkem čehož je </w:t>
            </w:r>
            <w:r w:rsidRPr="00DD47DF">
              <w:rPr>
                <w:rFonts w:cs="Calibri"/>
                <w:bCs/>
              </w:rPr>
              <w:t>zvýšení ztrátovosti a snížení bezpečnosti dodávek;</w:t>
            </w:r>
          </w:p>
          <w:p w14:paraId="39355276" w14:textId="77777777" w:rsidR="00D603D5" w:rsidRPr="00DD47DF" w:rsidRDefault="00D603D5" w:rsidP="00DA3512">
            <w:pPr>
              <w:pStyle w:val="Tabulka"/>
              <w:numPr>
                <w:ilvl w:val="0"/>
                <w:numId w:val="93"/>
              </w:numPr>
              <w:ind w:left="459"/>
              <w:jc w:val="left"/>
            </w:pPr>
            <w:r w:rsidRPr="00DD47DF">
              <w:rPr>
                <w:rFonts w:cs="Calibri"/>
                <w:bCs/>
              </w:rPr>
              <w:t>Neefektivní využívání zdrojů a nevyhovující technologická řešení výroby;</w:t>
            </w:r>
          </w:p>
          <w:p w14:paraId="4DA956FA" w14:textId="77777777" w:rsidR="00D603D5" w:rsidRPr="00DD47DF" w:rsidRDefault="00D603D5" w:rsidP="00DA3512">
            <w:pPr>
              <w:pStyle w:val="Tabulka"/>
              <w:numPr>
                <w:ilvl w:val="0"/>
                <w:numId w:val="93"/>
              </w:numPr>
              <w:ind w:left="459"/>
              <w:jc w:val="left"/>
            </w:pPr>
            <w:r w:rsidRPr="00DD47DF">
              <w:rPr>
                <w:rFonts w:cs="Calibri"/>
                <w:bCs/>
              </w:rPr>
              <w:t>Zastaralá a nedostatečně efektivní tepelně rozvodná zařízení (tepelné ztráty).</w:t>
            </w:r>
          </w:p>
        </w:tc>
      </w:tr>
      <w:tr w:rsidR="00D603D5" w:rsidRPr="00DD47DF" w14:paraId="4ACD5B3E" w14:textId="77777777" w:rsidTr="007D02F2">
        <w:trPr>
          <w:trHeight w:val="553"/>
        </w:trPr>
        <w:tc>
          <w:tcPr>
            <w:tcW w:w="2500" w:type="pct"/>
            <w:shd w:val="clear" w:color="auto" w:fill="B8CCE4" w:themeFill="accent1" w:themeFillTint="66"/>
            <w:vAlign w:val="center"/>
          </w:tcPr>
          <w:p w14:paraId="1D8EB1C2" w14:textId="77777777" w:rsidR="00D603D5" w:rsidRPr="00DD47DF" w:rsidRDefault="00D603D5" w:rsidP="007D02F2">
            <w:pPr>
              <w:pStyle w:val="Tabulka"/>
              <w:rPr>
                <w:b/>
                <w:sz w:val="24"/>
              </w:rPr>
            </w:pPr>
            <w:r w:rsidRPr="00DD47DF">
              <w:rPr>
                <w:b/>
              </w:rPr>
              <w:lastRenderedPageBreak/>
              <w:t>Příležitosti</w:t>
            </w:r>
          </w:p>
        </w:tc>
        <w:tc>
          <w:tcPr>
            <w:tcW w:w="2500" w:type="pct"/>
            <w:shd w:val="clear" w:color="auto" w:fill="B8CCE4" w:themeFill="accent1" w:themeFillTint="66"/>
            <w:vAlign w:val="center"/>
          </w:tcPr>
          <w:p w14:paraId="06461CD9" w14:textId="77777777" w:rsidR="00D603D5" w:rsidRPr="00DD47DF" w:rsidRDefault="00D603D5" w:rsidP="007D02F2">
            <w:pPr>
              <w:pStyle w:val="Tabulka"/>
              <w:rPr>
                <w:b/>
                <w:sz w:val="24"/>
              </w:rPr>
            </w:pPr>
            <w:r w:rsidRPr="00DD47DF">
              <w:rPr>
                <w:b/>
              </w:rPr>
              <w:t>Hrozby</w:t>
            </w:r>
          </w:p>
        </w:tc>
      </w:tr>
      <w:tr w:rsidR="00D603D5" w:rsidRPr="00DD47DF" w14:paraId="2DEE0E6E" w14:textId="77777777" w:rsidTr="007D02F2">
        <w:tc>
          <w:tcPr>
            <w:tcW w:w="2500" w:type="pct"/>
            <w:shd w:val="clear" w:color="auto" w:fill="auto"/>
          </w:tcPr>
          <w:p w14:paraId="43322C05" w14:textId="77777777" w:rsidR="00D603D5" w:rsidRPr="00DD47DF" w:rsidRDefault="00D626B0" w:rsidP="00DA3512">
            <w:pPr>
              <w:pStyle w:val="Tabulka"/>
              <w:numPr>
                <w:ilvl w:val="0"/>
                <w:numId w:val="93"/>
              </w:numPr>
              <w:ind w:left="426"/>
              <w:jc w:val="left"/>
              <w:rPr>
                <w:sz w:val="24"/>
              </w:rPr>
            </w:pPr>
            <w:r w:rsidRPr="00DD47DF">
              <w:rPr>
                <w:rFonts w:cs="Calibri"/>
                <w:bCs/>
              </w:rPr>
              <w:t>Využít</w:t>
            </w:r>
            <w:r w:rsidR="00D603D5" w:rsidRPr="00DD47DF">
              <w:rPr>
                <w:rFonts w:cs="Calibri"/>
                <w:bCs/>
              </w:rPr>
              <w:t xml:space="preserve"> potenciál OZE, včetně využití tepla / vzdálené kogenerace na stávajících bioplynových stanicích;</w:t>
            </w:r>
          </w:p>
          <w:p w14:paraId="76CF9521" w14:textId="77777777" w:rsidR="001D6C62" w:rsidRPr="00DD47DF" w:rsidRDefault="001D6C62" w:rsidP="00DA3512">
            <w:pPr>
              <w:pStyle w:val="Tabulka"/>
              <w:numPr>
                <w:ilvl w:val="0"/>
                <w:numId w:val="93"/>
              </w:numPr>
              <w:ind w:left="426"/>
              <w:jc w:val="left"/>
              <w:rPr>
                <w:sz w:val="24"/>
              </w:rPr>
            </w:pPr>
            <w:r w:rsidRPr="00DD47DF">
              <w:t>Zajistit rychlejší tempo ve snižování emisí skleníkových plynů a jiného znečištění podporou nových technologií;</w:t>
            </w:r>
          </w:p>
          <w:p w14:paraId="1499009D" w14:textId="77777777" w:rsidR="00D603D5" w:rsidRPr="00DD47DF" w:rsidRDefault="00D626B0" w:rsidP="00DA3512">
            <w:pPr>
              <w:pStyle w:val="Tabulka"/>
              <w:numPr>
                <w:ilvl w:val="0"/>
                <w:numId w:val="93"/>
              </w:numPr>
              <w:ind w:left="426"/>
              <w:jc w:val="left"/>
              <w:rPr>
                <w:sz w:val="24"/>
              </w:rPr>
            </w:pPr>
            <w:r w:rsidRPr="00DD47DF">
              <w:t>Využít</w:t>
            </w:r>
            <w:r w:rsidR="00D603D5" w:rsidRPr="00DD47DF">
              <w:t xml:space="preserve"> inteligentních sítí jako regulačního prvku pro distribuci a přenos elektrické energie;</w:t>
            </w:r>
          </w:p>
          <w:p w14:paraId="4CB9309F" w14:textId="77777777" w:rsidR="008A0BAB" w:rsidRPr="00DD47DF" w:rsidRDefault="008A0BAB" w:rsidP="00DA3512">
            <w:pPr>
              <w:pStyle w:val="Tabulka"/>
              <w:numPr>
                <w:ilvl w:val="0"/>
                <w:numId w:val="93"/>
              </w:numPr>
              <w:ind w:left="426"/>
              <w:jc w:val="left"/>
              <w:rPr>
                <w:sz w:val="24"/>
              </w:rPr>
            </w:pPr>
            <w:r w:rsidRPr="00DD47DF">
              <w:t>Přispět k dotvoření plně funkčního a propojeného vnitřního trhu s energií;</w:t>
            </w:r>
          </w:p>
          <w:p w14:paraId="778B1654" w14:textId="77777777" w:rsidR="00D603D5" w:rsidRPr="00DD47DF" w:rsidRDefault="00C94BAF" w:rsidP="00DA3512">
            <w:pPr>
              <w:pStyle w:val="Tabulka"/>
              <w:numPr>
                <w:ilvl w:val="0"/>
                <w:numId w:val="93"/>
              </w:numPr>
              <w:ind w:left="426"/>
              <w:jc w:val="left"/>
              <w:rPr>
                <w:sz w:val="24"/>
              </w:rPr>
            </w:pPr>
            <w:r w:rsidRPr="00DD47DF">
              <w:rPr>
                <w:rFonts w:cs="Calibri"/>
                <w:bCs/>
              </w:rPr>
              <w:t>Zvýšit n</w:t>
            </w:r>
            <w:r w:rsidR="00D603D5" w:rsidRPr="00DD47DF">
              <w:rPr>
                <w:rFonts w:cs="Calibri"/>
                <w:bCs/>
              </w:rPr>
              <w:t>ízký zájem firem v ČR realizovat riskantní a finančně náročné projekty v podobě zavádění nízkouhlíkových technologií v oblasti nakládání energií;</w:t>
            </w:r>
          </w:p>
          <w:p w14:paraId="2DE49B2A" w14:textId="77777777" w:rsidR="00D603D5" w:rsidRPr="00DD47DF" w:rsidRDefault="00D626B0" w:rsidP="00DA3512">
            <w:pPr>
              <w:pStyle w:val="Tabulka"/>
              <w:numPr>
                <w:ilvl w:val="0"/>
                <w:numId w:val="93"/>
              </w:numPr>
              <w:ind w:left="426"/>
              <w:jc w:val="left"/>
              <w:rPr>
                <w:sz w:val="24"/>
              </w:rPr>
            </w:pPr>
            <w:r w:rsidRPr="00DD47DF">
              <w:rPr>
                <w:rFonts w:cs="Calibri"/>
                <w:bCs/>
              </w:rPr>
              <w:t>Využít</w:t>
            </w:r>
            <w:r w:rsidR="00D603D5" w:rsidRPr="00DD47DF">
              <w:rPr>
                <w:rFonts w:cs="Calibri"/>
                <w:bCs/>
              </w:rPr>
              <w:t xml:space="preserve"> potenciál druhotných surovin </w:t>
            </w:r>
            <w:r w:rsidR="00D603D5" w:rsidRPr="00DD47DF">
              <w:t>vzhledem k nedostatečné surovinové základně ČR</w:t>
            </w:r>
            <w:r w:rsidR="00D603D5" w:rsidRPr="00DD47DF">
              <w:rPr>
                <w:rFonts w:cs="Calibri"/>
                <w:bCs/>
              </w:rPr>
              <w:t>;</w:t>
            </w:r>
          </w:p>
          <w:p w14:paraId="36215D78" w14:textId="77777777" w:rsidR="00D603D5" w:rsidRPr="00DD47DF" w:rsidRDefault="00D626B0" w:rsidP="00DA3512">
            <w:pPr>
              <w:pStyle w:val="Tabulka"/>
              <w:numPr>
                <w:ilvl w:val="0"/>
                <w:numId w:val="93"/>
              </w:numPr>
              <w:ind w:left="426"/>
              <w:jc w:val="left"/>
              <w:rPr>
                <w:sz w:val="24"/>
              </w:rPr>
            </w:pPr>
            <w:r w:rsidRPr="00DD47DF">
              <w:rPr>
                <w:rFonts w:cs="Calibri"/>
                <w:bCs/>
              </w:rPr>
              <w:t>Využít</w:t>
            </w:r>
            <w:r w:rsidR="00D603D5" w:rsidRPr="00DD47DF">
              <w:rPr>
                <w:rFonts w:cs="Calibri"/>
                <w:bCs/>
              </w:rPr>
              <w:t xml:space="preserve"> potenciál kombinované výroby elektřiny a tepla.</w:t>
            </w:r>
          </w:p>
        </w:tc>
        <w:tc>
          <w:tcPr>
            <w:tcW w:w="2500" w:type="pct"/>
            <w:shd w:val="clear" w:color="auto" w:fill="auto"/>
          </w:tcPr>
          <w:p w14:paraId="390B9BD0" w14:textId="77777777" w:rsidR="00D603D5" w:rsidRPr="00DD47DF" w:rsidRDefault="00D603D5" w:rsidP="00DA3512">
            <w:pPr>
              <w:pStyle w:val="Tabulka"/>
              <w:numPr>
                <w:ilvl w:val="0"/>
                <w:numId w:val="93"/>
              </w:numPr>
              <w:ind w:left="459"/>
              <w:jc w:val="left"/>
              <w:rPr>
                <w:sz w:val="24"/>
              </w:rPr>
            </w:pPr>
            <w:r w:rsidRPr="00DD47DF">
              <w:rPr>
                <w:rFonts w:cs="Calibri"/>
                <w:bCs/>
              </w:rPr>
              <w:t>Cena elektřiny zatížená podporou OZE a nároky na obnovu a rozvoj zastaralých sítí jako kritický faktor konkurenceschopnosti firem;</w:t>
            </w:r>
          </w:p>
          <w:p w14:paraId="0D653E87" w14:textId="77777777" w:rsidR="00D603D5" w:rsidRPr="00DD47DF" w:rsidRDefault="00D603D5" w:rsidP="00DA3512">
            <w:pPr>
              <w:pStyle w:val="Tabulka"/>
              <w:numPr>
                <w:ilvl w:val="0"/>
                <w:numId w:val="93"/>
              </w:numPr>
              <w:ind w:left="459"/>
              <w:jc w:val="left"/>
              <w:rPr>
                <w:sz w:val="24"/>
              </w:rPr>
            </w:pPr>
            <w:r w:rsidRPr="00DD47DF">
              <w:rPr>
                <w:rFonts w:cs="Calibri"/>
                <w:bCs/>
              </w:rPr>
              <w:t>Vnitřní dluh post-privatizačních podniků v podobě zastaralé výrobní infrastruktury, energeticky náročných budov snižuje prostředky, které mohou věnovat na VaVaI aktivity;</w:t>
            </w:r>
          </w:p>
          <w:p w14:paraId="001C6ADB" w14:textId="77777777" w:rsidR="00D603D5" w:rsidRPr="00DD47DF" w:rsidRDefault="00D603D5" w:rsidP="00DA3512">
            <w:pPr>
              <w:pStyle w:val="Tabulka"/>
              <w:numPr>
                <w:ilvl w:val="0"/>
                <w:numId w:val="93"/>
              </w:numPr>
              <w:ind w:left="459"/>
              <w:jc w:val="left"/>
              <w:rPr>
                <w:sz w:val="24"/>
              </w:rPr>
            </w:pPr>
            <w:r w:rsidRPr="00DD47DF">
              <w:t>Energetická soběstačnost je do značné míry závislá na využívání energie z černého a hnědého uhlí, jehož zásoby klesají; proto lze očekávat nárůst dovozní energetické závislosti;</w:t>
            </w:r>
          </w:p>
          <w:p w14:paraId="5D3C14AB" w14:textId="77777777" w:rsidR="00D603D5" w:rsidRPr="00DD47DF" w:rsidRDefault="00D603D5" w:rsidP="00DA3512">
            <w:pPr>
              <w:pStyle w:val="Tabulka"/>
              <w:numPr>
                <w:ilvl w:val="0"/>
                <w:numId w:val="93"/>
              </w:numPr>
              <w:ind w:left="459"/>
              <w:jc w:val="left"/>
              <w:rPr>
                <w:sz w:val="24"/>
              </w:rPr>
            </w:pPr>
            <w:r w:rsidRPr="00DD47DF">
              <w:rPr>
                <w:rFonts w:cs="Calibri"/>
                <w:bCs/>
              </w:rPr>
              <w:t>Neplánované přetoky elektrické energie z okolních států;</w:t>
            </w:r>
          </w:p>
          <w:p w14:paraId="64F1DE67" w14:textId="77777777" w:rsidR="00D603D5" w:rsidRPr="00DD47DF" w:rsidRDefault="00D603D5" w:rsidP="00DA3512">
            <w:pPr>
              <w:pStyle w:val="Tabulka"/>
              <w:numPr>
                <w:ilvl w:val="0"/>
                <w:numId w:val="93"/>
              </w:numPr>
              <w:ind w:left="459"/>
              <w:jc w:val="left"/>
              <w:rPr>
                <w:sz w:val="24"/>
              </w:rPr>
            </w:pPr>
            <w:r w:rsidRPr="00DD47DF">
              <w:rPr>
                <w:rFonts w:cs="Calibri"/>
                <w:bCs/>
              </w:rPr>
              <w:t>Technické zaostávání tepelně rozvodných zařízení (nedostatečné tepelně izolačními parametry, naddimenzování soustav a teploty provozního média).</w:t>
            </w:r>
          </w:p>
        </w:tc>
      </w:tr>
    </w:tbl>
    <w:p w14:paraId="20AC52DA" w14:textId="77777777" w:rsidR="008E4EE8" w:rsidRPr="00DD47DF" w:rsidRDefault="00782BE3" w:rsidP="008E4EE8">
      <w:pPr>
        <w:pStyle w:val="Standardntext"/>
        <w:spacing w:before="240"/>
      </w:pPr>
      <w:r w:rsidRPr="00DD47DF">
        <w:t>Pokud jde o problémovou oblast „Infrastruktura“, resp. hlavní pilíř „Energetická infrastruktura“, Dohoda o partnerství identifikuje tyto potřeby rozvoje: zvyšování podílu OZE (zejména biomasa a bioplyn) na spotřebě, posílení a modernizace přenosové soustavy a distribučních soustav s důrazem na zavádění prvků inteligentních sítí, snižování energetické a surovinové náročnosti výrobních a technologických procesů v průmyslu, zavádění eko-inovací do výrobních procesů a produktů, výstavba a modernizace systémů zásobování tepelnou energií a zdrojů kombinované výroby elektřiny a tepla. Na všechny tyto rozvojové potřeby reagují jednotlivé specifické cíle prioritní osy 3 Operačního programu.</w:t>
      </w:r>
    </w:p>
    <w:p w14:paraId="0DF33437" w14:textId="77777777" w:rsidR="00706A57" w:rsidRPr="00DD47DF" w:rsidRDefault="008E4EE8" w:rsidP="008E4EE8">
      <w:pPr>
        <w:pStyle w:val="Standardntext"/>
      </w:pPr>
      <w:r w:rsidRPr="00DD47DF">
        <w:t xml:space="preserve">S tím souvisí i problémová oblast významná z hlediska OP PIK, kterou je „Životní prostředí“. Mezi potřeby rozvoje v oblasti životního prostředí zahrnuje Dohoda o partnerství podporu opatření vedoucích k energetickým úsporám a využití OZE v podnikatelských budovách. Snížení energetické náročnosti české ekonomiky je přitom klíčovou oblastí, na níž se zaměřuje prioritní osa 3 Operačního programu. Do problémové oblasti „Životní prostředí“ dále spadá </w:t>
      </w:r>
      <w:r w:rsidRPr="00DD47DF">
        <w:lastRenderedPageBreak/>
        <w:t>také podpora regenerace brownfieldů, což je zároveň jedna z priorit, na kterou se soustředí prioritní osa 2 OP PIK.</w:t>
      </w:r>
    </w:p>
    <w:p w14:paraId="4626CC3D" w14:textId="77777777" w:rsidR="00570220" w:rsidRPr="00DD47DF" w:rsidRDefault="00570220" w:rsidP="00570220">
      <w:pPr>
        <w:pStyle w:val="Modrnadpis"/>
      </w:pPr>
      <w:r w:rsidRPr="00DD47DF">
        <w:t>ICT infrastruktura</w:t>
      </w:r>
    </w:p>
    <w:p w14:paraId="59762B15" w14:textId="77777777" w:rsidR="00570220" w:rsidRPr="00DD47DF" w:rsidRDefault="00570220" w:rsidP="00570220">
      <w:pPr>
        <w:pStyle w:val="Standardntext"/>
      </w:pPr>
      <w:r w:rsidRPr="00DD47DF">
        <w:t>Sofistikované produkty v oblasti</w:t>
      </w:r>
      <w:r w:rsidR="00782BE3" w:rsidRPr="00DD47DF">
        <w:t xml:space="preserve"> ICT</w:t>
      </w:r>
      <w:r w:rsidRPr="00DD47DF">
        <w:t xml:space="preserve"> a související služby, jsou považovány za prvky základního významu, bez nichž nelze efektivně realizovat žádné podnikatelské záměry ani zvyšovat kvalitu života společnosti. Jak bylo konstatováno ministry pro informační společnost členských států EU v tzv. Granadské deklaraci z 19. dubna 2010, „</w:t>
      </w:r>
      <w:r w:rsidRPr="00DD47DF">
        <w:rPr>
          <w:i/>
        </w:rPr>
        <w:t>ICT sektor je významným činitelem růstu a pracovních míst v hospodářství EU. ICT přispívá 50 procenty růstu produktivity a představuje klíčový zdroj inovací a nových podnikatelských příležitostí.</w:t>
      </w:r>
      <w:r w:rsidRPr="00DD47DF">
        <w:t>“ Zároveň bez dostatečně rozvinuté a dostupné technologické základny, tj. zejména bez vybudované adekvátní infrastruktury umožňující vysokorychlostní přístup k internetu, by efekty z využívání ICT ve výrobních i nevýrobních procesech byly na podstatně nižší úrovni.</w:t>
      </w:r>
      <w:r w:rsidR="00782BE3" w:rsidRPr="00DD47DF">
        <w:t>Dostupnost vysokorychlostního přístupu k internetu má strategický význam pro růst a inovace ČR ve všech odvětvích hospodářství a pro sociální a územní soudržnost. Rovněž umožňuje rozvoj nových druhů podnikání a umožňuje produkovat nové digitální služby. Základní infrastruktura pro informační a komunikační technologie nemá v ČR dostatečné geografické pokrytí. V současné době převládá v ČR vysokorychlostní připojení na bázi ADSL, bezdrátové připojení pomocí technologie WiFi a CATV. Pokud jde o přístupové sítě nové generace (NGA) pro vysokorychlostní přístup k internetu ČR zaostává za vyspělými zeměmi jak v míře pokrytí, tak v parametrech rychlosti a kvalitě poskytovaných služeb. To ilustruje i následující graf, který zobrazuje procentuální míru pokrytí vysokorychlostním přístupem k internetu (tj. nad 30 Mbit/s) v domácnostech jednotlivých členských států. V ČR disponuje vysokorychlostním přístupem k internetu 49 % domácností, zatímco v EU to je průměrně 53,8 % domácností.</w:t>
      </w:r>
    </w:p>
    <w:p w14:paraId="255FA630" w14:textId="77777777" w:rsidR="00570220" w:rsidRPr="00DD47DF" w:rsidRDefault="00570220" w:rsidP="00570220">
      <w:pPr>
        <w:pStyle w:val="Titulek"/>
        <w:keepNext/>
      </w:pPr>
      <w:r w:rsidRPr="00DD47DF">
        <w:lastRenderedPageBreak/>
        <w:t>Obrázek</w:t>
      </w:r>
      <w:r w:rsidR="00A10251" w:rsidRPr="00DD47DF">
        <w:t xml:space="preserve"> 9</w:t>
      </w:r>
      <w:r w:rsidRPr="00DD47DF">
        <w:t>: Míra pokrytí vysokorychlostním přístupem k internetu (v % domácností), 2012</w:t>
      </w:r>
    </w:p>
    <w:p w14:paraId="617745F1" w14:textId="77777777" w:rsidR="00570220" w:rsidRPr="00DD47DF" w:rsidRDefault="00570220" w:rsidP="00570220">
      <w:pPr>
        <w:pStyle w:val="Standardntext"/>
      </w:pPr>
      <w:r w:rsidRPr="00DD47DF">
        <w:rPr>
          <w:noProof/>
        </w:rPr>
        <w:drawing>
          <wp:inline distT="0" distB="0" distL="0" distR="0" wp14:anchorId="51361DC5" wp14:editId="2420F196">
            <wp:extent cx="5852160" cy="3894455"/>
            <wp:effectExtent l="0" t="0" r="0" b="0"/>
            <wp:docPr id="3"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2160" cy="3894455"/>
                    </a:xfrm>
                    <a:prstGeom prst="rect">
                      <a:avLst/>
                    </a:prstGeom>
                    <a:noFill/>
                    <a:ln>
                      <a:noFill/>
                    </a:ln>
                  </pic:spPr>
                </pic:pic>
              </a:graphicData>
            </a:graphic>
          </wp:inline>
        </w:drawing>
      </w:r>
    </w:p>
    <w:p w14:paraId="37C32BD5" w14:textId="77777777" w:rsidR="00570220" w:rsidRPr="00DD47DF" w:rsidRDefault="00570220" w:rsidP="00570220">
      <w:pPr>
        <w:pStyle w:val="Standardntext"/>
        <w:spacing w:after="240"/>
      </w:pPr>
      <w:r w:rsidRPr="00DD47DF">
        <w:t>Zdroj: Digital Agenda Scoreboard 2013 (SWD(2013) 217 final), 12. 6. 2013</w:t>
      </w:r>
    </w:p>
    <w:p w14:paraId="557558D4" w14:textId="77777777" w:rsidR="00570220" w:rsidRPr="00DD47DF" w:rsidRDefault="00782BE3" w:rsidP="00570220">
      <w:pPr>
        <w:pStyle w:val="Standardntext"/>
      </w:pPr>
      <w:r w:rsidRPr="00DD47DF">
        <w:t>Struktura hospodářství s  vysokým podílem regionálně sídlících MSP vyžaduje celoplošnou, moderní a kvalitativně vysoce hodnotnou nabídku infrastruktury ICT za konkurenceschopné ceny. Investice do komunikační infrastruktury provádějí na liberalizovaných trzích soukromé subjekty podle hospodářských kritérií, a tudíž především v regionech s vysokou perspektivou poptávky. Návratnost investic do realizace vysokorychlostních přístupových sítí v menších obcích nebo v odlehlých lokalitách je za horizontem reálných možností podnikatelských subjektů. To potvrzuje i graf výše, z něho je patrné, že pokrytí vysokorychlostním přístupem k internetu je ve venkovských oblastech výrazně nižší, než kolik činí míra pokrytí za celou ČR. Toto selhání tržního mechanismu dále vede k rozšíření tzv. „digitální propasti“ mezi venkovskými a městskými oblastmi. Méně obydlené oblasti v ČR by tak mohly zůstat v důsledku kapacitně nedostatečného připojení k internetu – dokonce i při stoupající poptávce – dlouhodobě vyloučeny z hospodářského rozvoje. Jako následek trvající stagnace potom hrozí v postižených oblastech růst nezaměstnanosti a úbytek obyvatelstva. Ke strukturálnímu překonání „digitální propasti“ z hlediska dostupnosti vysokorychlostního přístupu k internetu je nutný značný objem finančních prostředků, které nejsou, co se týče trhu, na základě geografické izolace a nepatrné hustoty obyvatelstva venkovských a odlehlých oblastí, v tomto rozsahu k dispozici.</w:t>
      </w:r>
      <w:r w:rsidR="00570220" w:rsidRPr="00DD47DF">
        <w:t xml:space="preserve"> </w:t>
      </w:r>
    </w:p>
    <w:p w14:paraId="11DD9DAD" w14:textId="77777777" w:rsidR="00570220" w:rsidRPr="00DD47DF" w:rsidRDefault="00570220" w:rsidP="00570220">
      <w:pPr>
        <w:pStyle w:val="Standardntext"/>
      </w:pPr>
      <w:r w:rsidRPr="00DD47DF">
        <w:lastRenderedPageBreak/>
        <w:t>Pokud jde o ICT sektor jako takový</w:t>
      </w:r>
      <w:r w:rsidRPr="00DD47DF">
        <w:rPr>
          <w:rStyle w:val="Znakapoznpodarou"/>
        </w:rPr>
        <w:footnoteReference w:id="25"/>
      </w:r>
      <w:r w:rsidRPr="00DD47DF">
        <w:t>, v Č</w:t>
      </w:r>
      <w:r w:rsidR="00782BE3" w:rsidRPr="00DD47DF">
        <w:t>R</w:t>
      </w:r>
      <w:r w:rsidRPr="00DD47DF">
        <w:t xml:space="preserve"> došlo v posledním desetiletí k jeho značnému rozvoji, a to jak ve výrobní části, tak i části služeb. V oblasti ICT sektoru je obecně problém, že řada českých firem jsou pouze dodavateli firem zahraničních. České firmy ve velké míře zůstávají na úrovni tzv. rodinných firem a těm, které chtějí růst, zase chybí zdroje na expanzi na nové trhy. Lze identifikovat nedostatečnou institucionální podporu ICT sektoru, a to zejména proto, že neexistuje jednotná koncepce pro podporu této oblasti. I přes nadprůměrnou produktivitu i dobrou exportní výkonnost těchto podniků, zůstává jejich znalostní intenzita na nízké úrovni se slabým důrazem na specializovanou znalostně náročnou produkci s vysokou přidanou hodnotou. Vztáhneme-li přidanou hodnotu sektoru IT služeb k HDP, vykazuje ČR za rok 2012 podle dat ČSÚ hodnotu 2,09 % (např. ve Švédsku činí tento poměr 2,5 %, ve Velké Británii 2,9 % a v Irsku, které je v této oblasti na špičce EU, dokonce 5,1 %). Podíváme-li se na tuto problematiku z jiného úhlu pohledu, totiž z hlediska zaměstnanosti, vykazuje ČR v mezinárodním srovnání lehce podprůměrné hodnoty. Jak je patrné z grafu níže, v ČR bylo v roce 2011 zaměstnáno v sektoru IT služeb 2,27 % osob z celkového počtu pracovníků zaměstnaných v podnikatelském sektoru, zatímco v EU to bylo v průměru 2,34 %.</w:t>
      </w:r>
    </w:p>
    <w:p w14:paraId="7DF6B575" w14:textId="77777777" w:rsidR="00570220" w:rsidRPr="00DD47DF" w:rsidRDefault="00570220" w:rsidP="00570220">
      <w:pPr>
        <w:pStyle w:val="Titulek"/>
        <w:keepNext/>
      </w:pPr>
      <w:r w:rsidRPr="00DD47DF">
        <w:t xml:space="preserve">Obrázek </w:t>
      </w:r>
      <w:r w:rsidR="00A10251" w:rsidRPr="00DD47DF">
        <w:t>10</w:t>
      </w:r>
      <w:r w:rsidRPr="00DD47DF">
        <w:t>: Zaměstnanost v sektoru IT služeb, 2011</w:t>
      </w:r>
    </w:p>
    <w:p w14:paraId="7C9C51DF" w14:textId="77777777" w:rsidR="00570220" w:rsidRPr="00DD47DF" w:rsidRDefault="00570220" w:rsidP="00570220">
      <w:pPr>
        <w:pStyle w:val="Standardntext"/>
      </w:pPr>
      <w:r w:rsidRPr="00DD47DF">
        <w:rPr>
          <w:noProof/>
        </w:rPr>
        <w:drawing>
          <wp:inline distT="0" distB="0" distL="0" distR="0" wp14:anchorId="1EE0CF93" wp14:editId="31880A34">
            <wp:extent cx="5841365" cy="4550410"/>
            <wp:effectExtent l="19050" t="19050" r="26035" b="21590"/>
            <wp:docPr id="3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1365" cy="4550410"/>
                    </a:xfrm>
                    <a:prstGeom prst="rect">
                      <a:avLst/>
                    </a:prstGeom>
                    <a:noFill/>
                    <a:ln w="9525" cmpd="sng">
                      <a:solidFill>
                        <a:srgbClr val="000000"/>
                      </a:solidFill>
                      <a:miter lim="800000"/>
                      <a:headEnd/>
                      <a:tailEnd/>
                    </a:ln>
                    <a:effectLst/>
                  </pic:spPr>
                </pic:pic>
              </a:graphicData>
            </a:graphic>
          </wp:inline>
        </w:drawing>
      </w:r>
    </w:p>
    <w:p w14:paraId="13FDC855" w14:textId="77777777" w:rsidR="00570220" w:rsidRPr="00DD47DF" w:rsidRDefault="00570220" w:rsidP="00570220">
      <w:pPr>
        <w:pStyle w:val="Standardntext"/>
        <w:spacing w:after="240"/>
      </w:pPr>
      <w:r w:rsidRPr="00DD47DF">
        <w:lastRenderedPageBreak/>
        <w:t>Zdroj: Informační ekonomika v číslech, ČSÚ</w:t>
      </w:r>
    </w:p>
    <w:p w14:paraId="09FB2326" w14:textId="77777777" w:rsidR="00570220" w:rsidRPr="00DD47DF" w:rsidRDefault="00570220" w:rsidP="00570220">
      <w:pPr>
        <w:pStyle w:val="Standardntext"/>
      </w:pPr>
      <w:r w:rsidRPr="00DD47DF">
        <w:t>V případě aplikace sofistikovaných IT řešení v podnicích má mnoho českých podniků značné rezervy. Níže je uvedeno několik ilustrativních příkladů, které ukazují nízkou míru elektronizace vnitropodnikových procesů a využívání dalších IT řešení.</w:t>
      </w:r>
      <w:r w:rsidRPr="00DD47DF">
        <w:rPr>
          <w:vertAlign w:val="superscript"/>
        </w:rPr>
        <w:footnoteReference w:id="26"/>
      </w:r>
    </w:p>
    <w:p w14:paraId="02801A1D" w14:textId="77777777" w:rsidR="00782BE3" w:rsidRPr="00DD47DF" w:rsidRDefault="00782BE3" w:rsidP="00782BE3">
      <w:pPr>
        <w:pStyle w:val="Standardntext"/>
      </w:pPr>
      <w:r w:rsidRPr="00DD47DF">
        <w:t>Například v oblasti elektronické výměny dat mezi podniky zaostává ČR s 23 % podniků uskutečňujících tuto výměnu za průměrem EU, kde tento poměr činí 50 %. Např. ve srovnání podílu firem využívajících firemní počítačové sítě a s nimi související technologie je výsledek 64,5 % pro ČR oproti 76,5 % pro průměr EU.</w:t>
      </w:r>
    </w:p>
    <w:p w14:paraId="07766B95" w14:textId="77777777" w:rsidR="00782BE3" w:rsidRPr="00DD47DF" w:rsidRDefault="00782BE3" w:rsidP="00782BE3">
      <w:pPr>
        <w:pStyle w:val="Standardntext"/>
      </w:pPr>
      <w:r w:rsidRPr="00DD47DF">
        <w:t>Mnoho podniků dnes využívá pro své fungování více samostatných informačních systémů (např. jeden pro řízení výroby, jiný pro logistiku, distribuci, správu majetku, prodej, fakturaci, účetnictví, personalistiku atd.) místo jednoho integrovaného. Pokud však má podnik různé informační systémy uvnitř organizace propojeny a dochází mezi nimi k automatizovanému sdílení dat, usnadňuje a zrychluje tak proces výroby a distribuce. Automatizované sdílení informací o přijatých i zadaných objednávkách elektronickou cestou v rámci informačního systému podniku používalo v lednu 2013 již zmiňovaných 51 % podniků. Softwarovou aplikaci ERP pro sdílení informací mezi různými funkčními oblastmi podniku používalo v lednu 2013 v ČR jen 24 % podniků. Mezi velikostními kategoriemi jsou v případě využívání ERP aplikace velmi výrazné rozdíly, kdy velkých podniků ji využívá 76 % a z malých pak pouhých 16 %.</w:t>
      </w:r>
    </w:p>
    <w:p w14:paraId="6509EA94" w14:textId="77777777" w:rsidR="00570220" w:rsidRPr="00DD47DF" w:rsidRDefault="00782BE3" w:rsidP="00782BE3">
      <w:pPr>
        <w:pStyle w:val="Standardntext"/>
      </w:pPr>
      <w:r w:rsidRPr="00DD47DF">
        <w:t>Dalším příkladem je nízká míra využívání elektronického prodeje přes webové stránky podniky nebo pomocí elektronické výměny dat přes internet či privátní mezipodnikové informační sítě. V roce 2012 prodávalo elektronickou cestou své zboží nebo služby 27 % podniků. Jako jednu z nejčastějších překážek, které limitují či zcela znemožňují podniku přijímat objednávky prostřednictvím webových stránek, uvádí podniky příliš vysoké náklady spojené se zavedením elektronického prodeje. S tím souvisí rovněž nízká míra využívání elektronické fakturace. V lednu 2013 zaslala fakturu elektronickou cestou v ČR více než polovina podniků s 10 a více zaměstnanci (56 %) a 79 % podniků fakturu touto cestou přijalo. Pouze 11 % podniků však zaslalo fakturu ve standardizovaném formátu určeném pro automatizované zpracování dat, tj. vystavilo e-fakturu. Pro zvýšení bezpečnosti je možné k zasílaným fakturám připojit elektronický podpis, což v lednu 2013 učinilo pouze 8 % podniků.</w:t>
      </w:r>
    </w:p>
    <w:p w14:paraId="48790A1F" w14:textId="77777777" w:rsidR="00570220" w:rsidRPr="00DD47DF" w:rsidRDefault="00782BE3" w:rsidP="00570220">
      <w:pPr>
        <w:pStyle w:val="Standardntext"/>
      </w:pPr>
      <w:r w:rsidRPr="00DD47DF">
        <w:t>Z pohledu využívání sdílených IT služeb jsou podniky v ČR značně konzervativní. Například nástup cloud computingu</w:t>
      </w:r>
      <w:r w:rsidRPr="00DD47DF">
        <w:rPr>
          <w:rStyle w:val="Znakapoznpodarou"/>
        </w:rPr>
        <w:footnoteReference w:id="27"/>
      </w:r>
      <w:r w:rsidRPr="00DD47DF">
        <w:t xml:space="preserve"> je v ČR oproti světu do značné míry zpožděný. Podle výzkumu z  roku 2010</w:t>
      </w:r>
      <w:r w:rsidRPr="00DD47DF">
        <w:rPr>
          <w:rStyle w:val="Znakapoznpodarou"/>
        </w:rPr>
        <w:footnoteReference w:id="28"/>
      </w:r>
      <w:r w:rsidRPr="00DD47DF">
        <w:t xml:space="preserve"> uvádějí pouze 4 % z 600 oslovených firem, že cloud computing využívají a jen 6 % ho plánuje nasadit během dalších 2 let. Může za to i špatná informovanost firem i laické veřejnosti. Z průzkumu provedeného v září 2011</w:t>
      </w:r>
      <w:r w:rsidRPr="00DD47DF">
        <w:rPr>
          <w:rStyle w:val="Znakapoznpodarou"/>
        </w:rPr>
        <w:footnoteReference w:id="29"/>
      </w:r>
      <w:r w:rsidRPr="00DD47DF">
        <w:t xml:space="preserve"> ve spolupráci s českým Googlem a AMSP </w:t>
      </w:r>
      <w:r w:rsidRPr="00DD47DF">
        <w:lastRenderedPageBreak/>
        <w:t>ČR vyšly následující výsledky: 16 % firem termín cloud computing nezná, ale nevědomky ho už využívá; po objasnění termínu projevilo o vyzkoušení cloud computingu zájem až 40 % podnikatelů a firem účastnících se výzkumu; 92 % uživatelů cloudových aplikací z řad MSP je spokojených a oceňuje zejména flexibilní přístup k informacím. Pokud jde o datová centra, neexistuje na rozdíl od okolních zemí jejich přímá podpora, a to i přes to, že ČR je svou zeměpisnou polohou, infrastrukturou a úrovní politické stability pro investory velmi zajímavá. Tím je výrazně snížena možnost dosáhnout snížení nákladů firem na IT. Přitom je potřeba počítat s tím, že flexibilita v tomto odvětví umožňuje přesuny datových center z místa na místo mnohem snáze, než je tomu u jiných technologií. Z tohoto důvodu je důležité vytvářet příznivé podmínky pro podnikání v této oblasti.</w:t>
      </w:r>
    </w:p>
    <w:p w14:paraId="66861410" w14:textId="77777777" w:rsidR="001652D9" w:rsidRPr="00DD47DF" w:rsidRDefault="001652D9" w:rsidP="00400C11">
      <w:pPr>
        <w:pStyle w:val="Modrnadpis"/>
        <w:rPr>
          <w:rFonts w:ascii="Calibri" w:hAnsi="Calibri" w:cs="Calibri"/>
          <w:b w:val="0"/>
          <w:bCs w:val="0"/>
          <w:szCs w:val="24"/>
        </w:rPr>
      </w:pPr>
      <w:r w:rsidRPr="00DD47DF">
        <w:t>SWOT analýza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tblGrid>
      <w:tr w:rsidR="00D603D5" w:rsidRPr="00DD47DF" w14:paraId="6337ADD3" w14:textId="77777777" w:rsidTr="007D02F2">
        <w:trPr>
          <w:trHeight w:val="552"/>
        </w:trPr>
        <w:tc>
          <w:tcPr>
            <w:tcW w:w="2500" w:type="pct"/>
            <w:shd w:val="clear" w:color="auto" w:fill="B8CCE4" w:themeFill="accent1" w:themeFillTint="66"/>
            <w:vAlign w:val="center"/>
          </w:tcPr>
          <w:p w14:paraId="40BC8A9F" w14:textId="77777777" w:rsidR="00D603D5" w:rsidRPr="00DD47DF" w:rsidRDefault="00D603D5" w:rsidP="007D02F2">
            <w:pPr>
              <w:pStyle w:val="Tabulka"/>
              <w:rPr>
                <w:b/>
              </w:rPr>
            </w:pPr>
            <w:r w:rsidRPr="00DD47DF">
              <w:rPr>
                <w:b/>
              </w:rPr>
              <w:t>Silné stránky</w:t>
            </w:r>
          </w:p>
        </w:tc>
        <w:tc>
          <w:tcPr>
            <w:tcW w:w="2500" w:type="pct"/>
            <w:shd w:val="clear" w:color="auto" w:fill="B8CCE4" w:themeFill="accent1" w:themeFillTint="66"/>
            <w:vAlign w:val="center"/>
          </w:tcPr>
          <w:p w14:paraId="1C1EC351" w14:textId="77777777" w:rsidR="00D603D5" w:rsidRPr="00DD47DF" w:rsidRDefault="00D603D5" w:rsidP="007D02F2">
            <w:pPr>
              <w:pStyle w:val="Tabulka"/>
              <w:rPr>
                <w:b/>
              </w:rPr>
            </w:pPr>
            <w:r w:rsidRPr="00DD47DF">
              <w:rPr>
                <w:b/>
              </w:rPr>
              <w:t>Slabé stránky</w:t>
            </w:r>
          </w:p>
        </w:tc>
      </w:tr>
      <w:tr w:rsidR="00D603D5" w:rsidRPr="00DD47DF" w14:paraId="6E2248BB" w14:textId="77777777" w:rsidTr="007D02F2">
        <w:tc>
          <w:tcPr>
            <w:tcW w:w="2500" w:type="pct"/>
            <w:shd w:val="clear" w:color="auto" w:fill="auto"/>
          </w:tcPr>
          <w:p w14:paraId="6A1468B8" w14:textId="77777777" w:rsidR="00D603D5" w:rsidRPr="00DD47DF" w:rsidRDefault="00D603D5" w:rsidP="00DA3512">
            <w:pPr>
              <w:pStyle w:val="Tabulka"/>
              <w:numPr>
                <w:ilvl w:val="0"/>
                <w:numId w:val="93"/>
              </w:numPr>
              <w:ind w:left="426"/>
              <w:jc w:val="left"/>
            </w:pPr>
            <w:r w:rsidRPr="00DD47DF">
              <w:t>Poměrně vysoká míra využívání internetu ze strany českých domácností a spotřebitelů (poptávka po kvalitních službách);</w:t>
            </w:r>
          </w:p>
          <w:p w14:paraId="2C02385B" w14:textId="77777777" w:rsidR="00D603D5" w:rsidRPr="00DD47DF" w:rsidRDefault="00D603D5" w:rsidP="00DA3512">
            <w:pPr>
              <w:pStyle w:val="Tabulka"/>
              <w:numPr>
                <w:ilvl w:val="0"/>
                <w:numId w:val="93"/>
              </w:numPr>
              <w:ind w:left="426"/>
              <w:jc w:val="left"/>
            </w:pPr>
            <w:r w:rsidRPr="00DD47DF">
              <w:t>Trend rozvoje ICT sektoru v ČR ve výrobní části  i části služeb;</w:t>
            </w:r>
          </w:p>
          <w:p w14:paraId="6C38C8E8" w14:textId="77777777" w:rsidR="00D603D5" w:rsidRPr="00DD47DF" w:rsidRDefault="00D603D5" w:rsidP="00DA3512">
            <w:pPr>
              <w:pStyle w:val="Tabulka"/>
              <w:numPr>
                <w:ilvl w:val="0"/>
                <w:numId w:val="93"/>
              </w:numPr>
              <w:ind w:left="426"/>
              <w:jc w:val="left"/>
            </w:pPr>
            <w:r w:rsidRPr="00DD47DF">
              <w:t>Kvalitní technické kompetence a know-how.</w:t>
            </w:r>
          </w:p>
          <w:p w14:paraId="598061EB" w14:textId="77777777" w:rsidR="00D603D5" w:rsidRPr="00DD47DF" w:rsidRDefault="00D603D5" w:rsidP="007D02F2">
            <w:pPr>
              <w:pStyle w:val="Tabulka"/>
            </w:pPr>
          </w:p>
        </w:tc>
        <w:tc>
          <w:tcPr>
            <w:tcW w:w="2500" w:type="pct"/>
            <w:shd w:val="clear" w:color="auto" w:fill="auto"/>
          </w:tcPr>
          <w:p w14:paraId="2D39551B" w14:textId="77777777" w:rsidR="00D603D5" w:rsidRPr="00DD47DF" w:rsidRDefault="00D603D5" w:rsidP="00DA3512">
            <w:pPr>
              <w:pStyle w:val="Tabulka"/>
              <w:numPr>
                <w:ilvl w:val="0"/>
                <w:numId w:val="93"/>
              </w:numPr>
              <w:ind w:left="459"/>
              <w:jc w:val="left"/>
            </w:pPr>
            <w:r w:rsidRPr="00DD47DF">
              <w:rPr>
                <w:rFonts w:cs="Calibri"/>
                <w:bCs/>
              </w:rPr>
              <w:t>Nedostatečné geografické pokrytí vysokorychlostním přístupem k internetu a nedostatečná rychlost a kvalita poskytovaných služeb;</w:t>
            </w:r>
          </w:p>
          <w:p w14:paraId="0B82B365" w14:textId="77777777" w:rsidR="00D603D5" w:rsidRPr="00DD47DF" w:rsidRDefault="00D603D5" w:rsidP="00DA3512">
            <w:pPr>
              <w:pStyle w:val="Tabulka"/>
              <w:numPr>
                <w:ilvl w:val="0"/>
                <w:numId w:val="93"/>
              </w:numPr>
              <w:ind w:left="459"/>
              <w:jc w:val="left"/>
            </w:pPr>
            <w:r w:rsidRPr="00DD47DF">
              <w:rPr>
                <w:rFonts w:cs="Calibri"/>
                <w:bCs/>
              </w:rPr>
              <w:t>Nedostatečná míra využívání nových ICT trendů jako jsou sdílené služby, sofistikované ICT řešení, datová centra, které zvyšují efektivitu výsledků a zároveň nezvyšují náklady na ICT;</w:t>
            </w:r>
          </w:p>
          <w:p w14:paraId="3028E137" w14:textId="77777777" w:rsidR="00D603D5" w:rsidRPr="00DD47DF" w:rsidRDefault="00D603D5" w:rsidP="00DA3512">
            <w:pPr>
              <w:pStyle w:val="Tabulka"/>
              <w:numPr>
                <w:ilvl w:val="0"/>
                <w:numId w:val="93"/>
              </w:numPr>
              <w:ind w:left="459"/>
              <w:jc w:val="left"/>
            </w:pPr>
            <w:r w:rsidRPr="00DD47DF">
              <w:t>Řada českých ICT firem jsou pouze dodavateli firem zahraničních;</w:t>
            </w:r>
          </w:p>
          <w:p w14:paraId="2B54C550" w14:textId="77777777" w:rsidR="00D603D5" w:rsidRPr="00DD47DF" w:rsidRDefault="00D603D5" w:rsidP="00DA3512">
            <w:pPr>
              <w:pStyle w:val="Tabulka"/>
              <w:numPr>
                <w:ilvl w:val="0"/>
                <w:numId w:val="93"/>
              </w:numPr>
              <w:ind w:left="459"/>
              <w:jc w:val="left"/>
            </w:pPr>
            <w:r w:rsidRPr="00DD47DF">
              <w:t>Nízká motivace některých ICT firem (tzv. rodinné firmy) dále růst, příp. nedostatek vlastních zdrojů na expanzi na nové trhy.</w:t>
            </w:r>
          </w:p>
        </w:tc>
      </w:tr>
      <w:tr w:rsidR="00D603D5" w:rsidRPr="00DD47DF" w14:paraId="796E2680" w14:textId="77777777" w:rsidTr="007D02F2">
        <w:trPr>
          <w:trHeight w:val="553"/>
        </w:trPr>
        <w:tc>
          <w:tcPr>
            <w:tcW w:w="2500" w:type="pct"/>
            <w:shd w:val="clear" w:color="auto" w:fill="B8CCE4" w:themeFill="accent1" w:themeFillTint="66"/>
            <w:vAlign w:val="center"/>
          </w:tcPr>
          <w:p w14:paraId="344D1064" w14:textId="77777777" w:rsidR="00D603D5" w:rsidRPr="00DD47DF" w:rsidRDefault="00D603D5" w:rsidP="007D02F2">
            <w:pPr>
              <w:pStyle w:val="Tabulka"/>
              <w:rPr>
                <w:b/>
                <w:sz w:val="24"/>
              </w:rPr>
            </w:pPr>
            <w:r w:rsidRPr="00DD47DF">
              <w:rPr>
                <w:b/>
              </w:rPr>
              <w:t>Příležitosti</w:t>
            </w:r>
          </w:p>
        </w:tc>
        <w:tc>
          <w:tcPr>
            <w:tcW w:w="2500" w:type="pct"/>
            <w:shd w:val="clear" w:color="auto" w:fill="B8CCE4" w:themeFill="accent1" w:themeFillTint="66"/>
            <w:vAlign w:val="center"/>
          </w:tcPr>
          <w:p w14:paraId="0B7A99E2" w14:textId="77777777" w:rsidR="00D603D5" w:rsidRPr="00DD47DF" w:rsidRDefault="00D603D5" w:rsidP="007D02F2">
            <w:pPr>
              <w:pStyle w:val="Tabulka"/>
              <w:rPr>
                <w:b/>
                <w:sz w:val="24"/>
              </w:rPr>
            </w:pPr>
            <w:r w:rsidRPr="00DD47DF">
              <w:rPr>
                <w:b/>
              </w:rPr>
              <w:t>Hrozby</w:t>
            </w:r>
          </w:p>
        </w:tc>
      </w:tr>
      <w:tr w:rsidR="00D603D5" w:rsidRPr="00DD47DF" w14:paraId="1C4C12F7" w14:textId="77777777" w:rsidTr="007D02F2">
        <w:tc>
          <w:tcPr>
            <w:tcW w:w="2500" w:type="pct"/>
            <w:shd w:val="clear" w:color="auto" w:fill="auto"/>
          </w:tcPr>
          <w:p w14:paraId="11C7ED92" w14:textId="77777777" w:rsidR="00D603D5" w:rsidRPr="00DD47DF" w:rsidRDefault="00D603D5" w:rsidP="00DA3512">
            <w:pPr>
              <w:pStyle w:val="Tabulka"/>
              <w:numPr>
                <w:ilvl w:val="0"/>
                <w:numId w:val="93"/>
              </w:numPr>
              <w:ind w:left="426"/>
              <w:jc w:val="left"/>
              <w:rPr>
                <w:sz w:val="24"/>
              </w:rPr>
            </w:pPr>
            <w:r w:rsidRPr="00DD47DF">
              <w:rPr>
                <w:rFonts w:cs="Calibri"/>
                <w:bCs/>
              </w:rPr>
              <w:t xml:space="preserve">Zvýšení produktivity a zaměstnanosti v důsledku rozšíření vysokorychlostního přístupu k internetu a rozvoje moderních ICT systémů (např. vliv na </w:t>
            </w:r>
            <w:r w:rsidRPr="00DD47DF">
              <w:t>zrychlení vnitropodnikových procesů</w:t>
            </w:r>
            <w:r w:rsidRPr="00DD47DF">
              <w:rPr>
                <w:rFonts w:cs="Calibri"/>
                <w:bCs/>
              </w:rPr>
              <w:t>);</w:t>
            </w:r>
          </w:p>
          <w:p w14:paraId="3DF1B143" w14:textId="77777777" w:rsidR="00C94BAF" w:rsidRPr="00DD47DF" w:rsidRDefault="00C94BAF" w:rsidP="00DA3512">
            <w:pPr>
              <w:pStyle w:val="Tabulka"/>
              <w:numPr>
                <w:ilvl w:val="0"/>
                <w:numId w:val="93"/>
              </w:numPr>
              <w:ind w:left="426"/>
              <w:jc w:val="left"/>
              <w:rPr>
                <w:sz w:val="24"/>
              </w:rPr>
            </w:pPr>
            <w:r w:rsidRPr="00DD47DF">
              <w:rPr>
                <w:rFonts w:cs="Calibri"/>
                <w:bCs/>
              </w:rPr>
              <w:t>Vyšší využití sofistikovaných ICT nástrojů v rozhodování a reakci na požadavky trhu  (BI, data minning, práce se sociálními sítěmi);</w:t>
            </w:r>
          </w:p>
          <w:p w14:paraId="7C2A2C28" w14:textId="77777777" w:rsidR="00C94BAF" w:rsidRPr="00DD47DF" w:rsidRDefault="00C94BAF" w:rsidP="00DA3512">
            <w:pPr>
              <w:pStyle w:val="Tabulka"/>
              <w:numPr>
                <w:ilvl w:val="0"/>
                <w:numId w:val="93"/>
              </w:numPr>
              <w:ind w:left="426"/>
              <w:jc w:val="left"/>
              <w:rPr>
                <w:sz w:val="24"/>
              </w:rPr>
            </w:pPr>
            <w:r w:rsidRPr="00DD47DF">
              <w:rPr>
                <w:sz w:val="24"/>
              </w:rPr>
              <w:t xml:space="preserve">Zvýšení </w:t>
            </w:r>
            <w:r w:rsidRPr="00DD47DF">
              <w:rPr>
                <w:rFonts w:cs="Calibri"/>
                <w:bCs/>
              </w:rPr>
              <w:t>penetrace cloud řešení;</w:t>
            </w:r>
          </w:p>
          <w:p w14:paraId="78ECEC0B" w14:textId="77777777" w:rsidR="00C94BAF" w:rsidRPr="00DD47DF" w:rsidRDefault="00BB58F0" w:rsidP="00DA3512">
            <w:pPr>
              <w:pStyle w:val="Tabulka"/>
              <w:numPr>
                <w:ilvl w:val="0"/>
                <w:numId w:val="93"/>
              </w:numPr>
              <w:ind w:left="426"/>
              <w:jc w:val="left"/>
              <w:rPr>
                <w:sz w:val="24"/>
              </w:rPr>
            </w:pPr>
            <w:r w:rsidRPr="00DD47DF">
              <w:t>Větší podpora open standardů a interoperability;</w:t>
            </w:r>
          </w:p>
          <w:p w14:paraId="34286964" w14:textId="77777777" w:rsidR="00D603D5" w:rsidRPr="00DD47DF" w:rsidRDefault="00BB58F0" w:rsidP="00DA3512">
            <w:pPr>
              <w:pStyle w:val="Tabulka"/>
              <w:numPr>
                <w:ilvl w:val="0"/>
                <w:numId w:val="93"/>
              </w:numPr>
              <w:ind w:left="426"/>
              <w:jc w:val="left"/>
              <w:rPr>
                <w:sz w:val="24"/>
              </w:rPr>
            </w:pPr>
            <w:r w:rsidRPr="00DD47DF">
              <w:rPr>
                <w:rFonts w:cs="Calibri"/>
                <w:bCs/>
              </w:rPr>
              <w:t xml:space="preserve">Větší </w:t>
            </w:r>
            <w:r w:rsidR="00D603D5" w:rsidRPr="00DD47DF">
              <w:rPr>
                <w:rFonts w:cs="Calibri"/>
                <w:bCs/>
              </w:rPr>
              <w:t>využívání mobilních platforem apod.</w:t>
            </w:r>
          </w:p>
        </w:tc>
        <w:tc>
          <w:tcPr>
            <w:tcW w:w="2500" w:type="pct"/>
            <w:shd w:val="clear" w:color="auto" w:fill="auto"/>
          </w:tcPr>
          <w:p w14:paraId="0D6003DD" w14:textId="77777777" w:rsidR="00D603D5" w:rsidRPr="00DD47DF" w:rsidRDefault="00D603D5" w:rsidP="00DA3512">
            <w:pPr>
              <w:pStyle w:val="Tabulka"/>
              <w:numPr>
                <w:ilvl w:val="0"/>
                <w:numId w:val="93"/>
              </w:numPr>
              <w:ind w:left="459"/>
              <w:jc w:val="left"/>
              <w:rPr>
                <w:sz w:val="24"/>
              </w:rPr>
            </w:pPr>
            <w:r w:rsidRPr="00DD47DF">
              <w:t>Růst nezaměstnanosti a úbytek obyvatelstva ve venkovských oblastech v důsledku prohloubení tzv. „digitální propast“ mezi venkovskými a městskými oblastmi;</w:t>
            </w:r>
          </w:p>
          <w:p w14:paraId="3780E34B" w14:textId="77777777" w:rsidR="00D603D5" w:rsidRPr="00DD47DF" w:rsidRDefault="00D603D5" w:rsidP="00DA3512">
            <w:pPr>
              <w:pStyle w:val="Tabulka"/>
              <w:numPr>
                <w:ilvl w:val="0"/>
                <w:numId w:val="93"/>
              </w:numPr>
              <w:ind w:left="459"/>
              <w:jc w:val="left"/>
              <w:rPr>
                <w:sz w:val="24"/>
              </w:rPr>
            </w:pPr>
            <w:r w:rsidRPr="00DD47DF">
              <w:rPr>
                <w:rFonts w:cs="Calibri"/>
                <w:bCs/>
              </w:rPr>
              <w:t>Nesjednocení aplikační praxe některých ustanovení zákona o elektronických komunikacích a stavebního zákona a zjednodušení pravidel stavebního a územního řízení pro oblast elektronických komunikací;</w:t>
            </w:r>
          </w:p>
          <w:p w14:paraId="669C7BF3" w14:textId="77777777" w:rsidR="00D603D5" w:rsidRPr="00DD47DF" w:rsidRDefault="00D603D5" w:rsidP="00DA3512">
            <w:pPr>
              <w:pStyle w:val="Tabulka"/>
              <w:numPr>
                <w:ilvl w:val="0"/>
                <w:numId w:val="93"/>
              </w:numPr>
              <w:ind w:left="459"/>
              <w:jc w:val="left"/>
              <w:rPr>
                <w:sz w:val="24"/>
              </w:rPr>
            </w:pPr>
            <w:r w:rsidRPr="00DD47DF">
              <w:rPr>
                <w:rFonts w:cs="Calibri"/>
                <w:bCs/>
              </w:rPr>
              <w:t>Investiční pobídky pro výstavbu datových center v okolních zemích.</w:t>
            </w:r>
          </w:p>
        </w:tc>
      </w:tr>
    </w:tbl>
    <w:p w14:paraId="2D80409C" w14:textId="77777777" w:rsidR="007F5300" w:rsidRPr="00DD47DF" w:rsidRDefault="00782BE3" w:rsidP="005C17DA">
      <w:pPr>
        <w:pStyle w:val="Standardntext"/>
        <w:spacing w:before="240" w:after="0"/>
      </w:pPr>
      <w:r w:rsidRPr="00DD47DF">
        <w:t xml:space="preserve">U problémové oblasti „Infrastruktura“, resp. hlavní pilíř „ICT infrastruktura“ reagují cíle OP PIK na tyto rozvojové potřeby: rozvoj infrastruktury pro vysokorychlostní přístup k internetu umožňující minimální přenosové rychlosti 30 Mbit/s důrazem na území bez stávající možnosti </w:t>
      </w:r>
      <w:r w:rsidRPr="00DD47DF">
        <w:lastRenderedPageBreak/>
        <w:t>přístupu k vysokorychlostnímu internetu a dále posílení tvorby a fungování ICT aplikací a služeb, včetně sdílených služeb zahrnujících budování a modernizaci datových center. Tyto potřeby rozvoje pokrývá prioritní osa 4 OP PIK.</w:t>
      </w:r>
    </w:p>
    <w:p w14:paraId="2C3B60F6" w14:textId="77777777" w:rsidR="00AC44E9" w:rsidRPr="00DD47DF" w:rsidRDefault="00AC44E9" w:rsidP="00187044">
      <w:pPr>
        <w:pStyle w:val="Modrnadpis"/>
        <w:keepNext w:val="0"/>
        <w:keepLines w:val="0"/>
      </w:pPr>
      <w:r w:rsidRPr="00DD47DF">
        <w:t xml:space="preserve">Soulad </w:t>
      </w:r>
      <w:r w:rsidR="00187044" w:rsidRPr="00DD47DF">
        <w:t>s pravidly veřejné podpory</w:t>
      </w:r>
    </w:p>
    <w:p w14:paraId="7D03915C" w14:textId="77777777" w:rsidR="00782BE3" w:rsidRPr="00DD47DF" w:rsidRDefault="00782BE3" w:rsidP="00782BE3">
      <w:pPr>
        <w:pStyle w:val="Standardntext"/>
      </w:pPr>
      <w:r w:rsidRPr="00DD47DF">
        <w:t xml:space="preserve">Rozhodnutím o schválení Operačního programu nejsou dotčeny postoje EK, pokud jde o soulad jakékoli operace podporované v rámci programu s procesními a hmotněprávními pravidly pro poskytování VP platnými v době, kdy je podpora poskytnuta. </w:t>
      </w:r>
    </w:p>
    <w:p w14:paraId="0CEC6804" w14:textId="77777777" w:rsidR="00782BE3" w:rsidRPr="00DD47DF" w:rsidRDefault="00782BE3" w:rsidP="00782BE3">
      <w:pPr>
        <w:pStyle w:val="Standardntext"/>
      </w:pPr>
      <w:r w:rsidRPr="00DD47DF">
        <w:t>Poskytnutí VP spadající do oblasti působnosti čl. 107 (1) Smlouvy o fungování EU, vyžaduje předchozí souhlas EK podle čl. 108 (3) Smlouvy, s výjimkou případů, kdy je podpora vyňata podle nařízení o výjimce přijatého EK na základě nařízení Rady (ES) č. 994/98 ze dne 7. 5. 1998 o použití čl. 92 a 93 na určité kategorie horizontální podpory a jeho změn nebo podle rozhodnutí Komise ze dne 20. 12. 2011 o použití čl. 106 (2) Smlouvy na státní podporu ve formě vyrovnávací platby za závazek veřejné služby udělené určitým podnikům pověřeným poskytováním služeb obecného hospodářského zájmu, nebo je poskytnuta jako obecná podpora de minimis.</w:t>
      </w:r>
    </w:p>
    <w:p w14:paraId="645F2303" w14:textId="77777777" w:rsidR="00AC44E9" w:rsidRPr="00DD47DF" w:rsidRDefault="00782BE3" w:rsidP="00782BE3">
      <w:pPr>
        <w:pStyle w:val="Standardntext"/>
      </w:pPr>
      <w:r w:rsidRPr="00DD47DF">
        <w:t>Je-li podpora z fondů poskytnuta velkému podniku dle čll. 14 Nařízení 651/2014, řídicí orgán se ujistí, že finanční příspěvek fondu nezpůsobí značné ztráty pracovních míst s ohledem na stávající rozmístění v rámci Unie.</w:t>
      </w:r>
    </w:p>
    <w:p w14:paraId="30CF27D2" w14:textId="77777777" w:rsidR="005C17DA" w:rsidRPr="00DD47DF" w:rsidRDefault="005C17DA" w:rsidP="005C17DA">
      <w:pPr>
        <w:pStyle w:val="Standardntext"/>
        <w:spacing w:before="240"/>
        <w:rPr>
          <w:b/>
          <w:color w:val="4F81BD" w:themeColor="accent1"/>
        </w:rPr>
      </w:pPr>
      <w:r w:rsidRPr="00DD47DF">
        <w:rPr>
          <w:b/>
          <w:color w:val="4F81BD" w:themeColor="accent1"/>
        </w:rPr>
        <w:t>Nepodporované aktivity</w:t>
      </w:r>
    </w:p>
    <w:p w14:paraId="16377530" w14:textId="379781E7" w:rsidR="008473BB" w:rsidRPr="00DD47DF" w:rsidRDefault="00113861" w:rsidP="00AC44E9">
      <w:pPr>
        <w:pStyle w:val="Standardntext"/>
      </w:pPr>
      <w:r w:rsidRPr="00700E39">
        <w:t xml:space="preserve">V souladu s tzv. Pozičním dokumentem EK (říjen 2012) </w:t>
      </w:r>
      <w:r w:rsidRPr="00700E39">
        <w:rPr>
          <w:b/>
        </w:rPr>
        <w:t xml:space="preserve">nebudou v OP PIK podporována žádná komerční turistická zařízení </w:t>
      </w:r>
      <w:r w:rsidRPr="00700E39">
        <w:t>jako hotely, volnočasová zařízení, lázně, restaurace, která musí být financována pouze soukromými prostředky. Vynětí těchto oblastí se vztahuje na podporu formou dotací ve všech prioritních osách / specifických cílech OP PIK, vyjma režimu regionální podpory zaměřeného na cestovní ruch v podporovaném regionu, jenž má obzvlášť pozitivní dopad na regionální rozvoj v rámci diversifikace a odhalování hospodářského potenciálu venkovských oblastí.</w:t>
      </w:r>
    </w:p>
    <w:p w14:paraId="68977A5E" w14:textId="77777777" w:rsidR="005C17DA" w:rsidRPr="00DD47DF" w:rsidRDefault="005C17DA" w:rsidP="005C17DA">
      <w:pPr>
        <w:pStyle w:val="Standardntext"/>
        <w:spacing w:before="240"/>
        <w:rPr>
          <w:b/>
          <w:color w:val="4F81BD" w:themeColor="accent1"/>
        </w:rPr>
      </w:pPr>
      <w:r w:rsidRPr="00DD47DF">
        <w:rPr>
          <w:b/>
          <w:color w:val="4F81BD" w:themeColor="accent1"/>
        </w:rPr>
        <w:t>Udržitelnost investic</w:t>
      </w:r>
    </w:p>
    <w:p w14:paraId="163E5060" w14:textId="77777777" w:rsidR="007B4977" w:rsidRPr="00DD47DF" w:rsidRDefault="005C17DA" w:rsidP="00AC44E9">
      <w:pPr>
        <w:pStyle w:val="Standardntext"/>
        <w:sectPr w:rsidR="007B4977" w:rsidRPr="00DD47DF" w:rsidSect="00CF7B55">
          <w:headerReference w:type="default" r:id="rId21"/>
          <w:footerReference w:type="default" r:id="rId22"/>
          <w:pgSz w:w="11906" w:h="16838"/>
          <w:pgMar w:top="1418" w:right="1276" w:bottom="1276" w:left="1418" w:header="709" w:footer="709" w:gutter="0"/>
          <w:cols w:space="708"/>
          <w:docGrid w:linePitch="272"/>
        </w:sectPr>
      </w:pPr>
      <w:r w:rsidRPr="00DD47DF">
        <w:t>Udržitelnost investic v rámci OP PIK bude v souladu s čl. 71 nařízení č. 1303/2013 obecně pět let v případě velkých podniků a tři roky v případě malých a středních podniků. Toto obecné pravidlo se v případě malých a středních podniků může lišit podle specifických cílů programu či aktivit definovaných v rámci specifického cíle, kde i u této skupiny příjemců může být stanovena doba udržitelnosti na pět let. Tato skutečnost bude vždy specifikována v příslušné výzvě k předkládání žádostí o podporu.</w:t>
      </w:r>
    </w:p>
    <w:p w14:paraId="6F9E3FC0" w14:textId="77777777" w:rsidR="00606523" w:rsidRPr="00DD47DF" w:rsidRDefault="00606523" w:rsidP="00606523">
      <w:pPr>
        <w:pStyle w:val="Nadpis3"/>
        <w:rPr>
          <w:rFonts w:cs="Calibri"/>
        </w:rPr>
      </w:pPr>
      <w:bookmarkStart w:id="15" w:name="_Toc506884973"/>
      <w:r w:rsidRPr="00DD47DF">
        <w:rPr>
          <w:rFonts w:cs="Calibri"/>
        </w:rPr>
        <w:lastRenderedPageBreak/>
        <w:t>Odůvodnění výběru tematických cílů a odpovídajících investičních priorit s ohledem na dohodu o partnerství na základě určení regionálních a případně vnitrostátních potřeb, včetně potřeby řešit výzvy vymezené v příslušných doporučeních pro jednotlivé země, které byly přijaty v souladu s čl. 121 odst. 2 SFEU a příslušnými doporučeními Rady přijatými v souladu s čl. 148 odst. 4 SFEU, s přihlédnutím k hodnocení ex ante.</w:t>
      </w:r>
      <w:bookmarkEnd w:id="15"/>
    </w:p>
    <w:p w14:paraId="25009087" w14:textId="77777777" w:rsidR="00297A5A" w:rsidRPr="00DD47DF" w:rsidRDefault="00297A5A" w:rsidP="00F843E4">
      <w:pPr>
        <w:pStyle w:val="Titulek"/>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w:t>
      </w:r>
      <w:r w:rsidR="002756E7" w:rsidRPr="00DD47DF">
        <w:rPr>
          <w:noProof/>
        </w:rPr>
        <w:fldChar w:fldCharType="end"/>
      </w:r>
      <w:r w:rsidRPr="00DD47DF">
        <w:t xml:space="preserve">: </w:t>
      </w:r>
      <w:r w:rsidR="006271CC" w:rsidRPr="00DD47DF">
        <w:t>O</w:t>
      </w:r>
      <w:r w:rsidR="00F843E4" w:rsidRPr="00DD47DF">
        <w:t>důvodnění výběru tematických cílů a investičních priorit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617"/>
        <w:gridCol w:w="4109"/>
        <w:gridCol w:w="8532"/>
      </w:tblGrid>
      <w:tr w:rsidR="009072F3" w:rsidRPr="00DD47DF" w14:paraId="24D277D0" w14:textId="77777777">
        <w:trPr>
          <w:jc w:val="center"/>
        </w:trPr>
        <w:tc>
          <w:tcPr>
            <w:tcW w:w="567" w:type="pct"/>
            <w:shd w:val="clear" w:color="auto" w:fill="95B3D7"/>
          </w:tcPr>
          <w:p w14:paraId="21B5548D" w14:textId="77777777" w:rsidR="009072F3" w:rsidRPr="00DD47DF" w:rsidRDefault="001E2583" w:rsidP="0022028B">
            <w:pPr>
              <w:pStyle w:val="Tabulka"/>
              <w:rPr>
                <w:rFonts w:cs="Calibri"/>
                <w:b/>
                <w:vertAlign w:val="superscript"/>
              </w:rPr>
            </w:pPr>
            <w:r w:rsidRPr="00DD47DF">
              <w:rPr>
                <w:rFonts w:cs="Calibri"/>
                <w:b/>
              </w:rPr>
              <w:t>Vybraný t</w:t>
            </w:r>
            <w:r w:rsidR="00A01ABB" w:rsidRPr="00DD47DF">
              <w:rPr>
                <w:rFonts w:cs="Calibri"/>
                <w:b/>
              </w:rPr>
              <w:t>ematický cíl</w:t>
            </w:r>
          </w:p>
        </w:tc>
        <w:tc>
          <w:tcPr>
            <w:tcW w:w="1441" w:type="pct"/>
            <w:shd w:val="clear" w:color="auto" w:fill="95B3D7"/>
          </w:tcPr>
          <w:p w14:paraId="44795FF7" w14:textId="77777777" w:rsidR="009072F3" w:rsidRPr="00DD47DF" w:rsidRDefault="001E2583" w:rsidP="0022028B">
            <w:pPr>
              <w:pStyle w:val="Tabulka"/>
              <w:rPr>
                <w:rFonts w:cs="Calibri"/>
                <w:b/>
                <w:vertAlign w:val="superscript"/>
              </w:rPr>
            </w:pPr>
            <w:r w:rsidRPr="00DD47DF">
              <w:rPr>
                <w:rFonts w:cs="Calibri"/>
                <w:b/>
              </w:rPr>
              <w:t>Vybraná i</w:t>
            </w:r>
            <w:r w:rsidR="00A01ABB" w:rsidRPr="00DD47DF">
              <w:rPr>
                <w:rFonts w:cs="Calibri"/>
                <w:b/>
              </w:rPr>
              <w:t>nvestiční priorita</w:t>
            </w:r>
          </w:p>
        </w:tc>
        <w:tc>
          <w:tcPr>
            <w:tcW w:w="2992" w:type="pct"/>
            <w:shd w:val="clear" w:color="auto" w:fill="95B3D7"/>
          </w:tcPr>
          <w:p w14:paraId="7F637027" w14:textId="77777777" w:rsidR="009072F3" w:rsidRPr="00DD47DF" w:rsidRDefault="006271CC" w:rsidP="0022028B">
            <w:pPr>
              <w:pStyle w:val="Tabulka"/>
              <w:rPr>
                <w:rFonts w:cs="Calibri"/>
                <w:b/>
              </w:rPr>
            </w:pPr>
            <w:r w:rsidRPr="00DD47DF">
              <w:rPr>
                <w:rFonts w:cs="Calibri"/>
                <w:b/>
              </w:rPr>
              <w:t>O</w:t>
            </w:r>
            <w:r w:rsidR="00A01ABB" w:rsidRPr="00DD47DF">
              <w:rPr>
                <w:rFonts w:cs="Calibri"/>
                <w:b/>
              </w:rPr>
              <w:t>důvodnění výběru</w:t>
            </w:r>
          </w:p>
        </w:tc>
      </w:tr>
      <w:tr w:rsidR="003252E1" w:rsidRPr="00DD47DF" w14:paraId="3FBCAFF1" w14:textId="77777777">
        <w:trPr>
          <w:jc w:val="center"/>
        </w:trPr>
        <w:tc>
          <w:tcPr>
            <w:tcW w:w="567" w:type="pct"/>
            <w:shd w:val="clear" w:color="auto" w:fill="B8CCE4"/>
            <w:vAlign w:val="center"/>
          </w:tcPr>
          <w:p w14:paraId="394B32EA" w14:textId="77777777" w:rsidR="003252E1" w:rsidRPr="00DD47DF" w:rsidRDefault="009D7E8A" w:rsidP="0022028B">
            <w:pPr>
              <w:pStyle w:val="Tabulka"/>
              <w:jc w:val="left"/>
              <w:rPr>
                <w:rFonts w:cs="Calibri"/>
              </w:rPr>
            </w:pPr>
            <w:r w:rsidRPr="00DD47DF">
              <w:rPr>
                <w:rFonts w:cs="Calibri"/>
              </w:rPr>
              <w:t>1</w:t>
            </w:r>
            <w:r w:rsidR="00CC5E04" w:rsidRPr="00DD47DF">
              <w:rPr>
                <w:rFonts w:cs="Calibri"/>
              </w:rPr>
              <w:t>)</w:t>
            </w:r>
            <w:r w:rsidR="003252E1" w:rsidRPr="00DD47DF">
              <w:rPr>
                <w:rFonts w:cs="Calibri"/>
              </w:rPr>
              <w:t xml:space="preserve"> Posílení výzkumu, technologického rozvoje a inovací</w:t>
            </w:r>
          </w:p>
          <w:p w14:paraId="14ED185F" w14:textId="77777777" w:rsidR="003252E1" w:rsidRPr="00DD47DF" w:rsidRDefault="003252E1" w:rsidP="0022028B">
            <w:pPr>
              <w:pStyle w:val="Tabulka"/>
              <w:jc w:val="left"/>
              <w:rPr>
                <w:rFonts w:cs="Calibri"/>
              </w:rPr>
            </w:pPr>
          </w:p>
        </w:tc>
        <w:tc>
          <w:tcPr>
            <w:tcW w:w="1441" w:type="pct"/>
            <w:shd w:val="clear" w:color="auto" w:fill="DBE5F1"/>
            <w:vAlign w:val="center"/>
          </w:tcPr>
          <w:p w14:paraId="66CCB46C" w14:textId="77777777" w:rsidR="003252E1" w:rsidRPr="00DD47DF" w:rsidRDefault="00B54D2B" w:rsidP="0022028B">
            <w:pPr>
              <w:pStyle w:val="Tabulka"/>
              <w:jc w:val="left"/>
              <w:rPr>
                <w:rFonts w:cs="Calibri"/>
              </w:rPr>
            </w:pPr>
            <w:r w:rsidRPr="00DD47DF">
              <w:rPr>
                <w:rFonts w:cs="Calibri"/>
              </w:rPr>
              <w:t xml:space="preserve">1 b) </w:t>
            </w:r>
            <w:r w:rsidR="002641C7" w:rsidRPr="00DD47DF">
              <w:rPr>
                <w:rFonts w:cs="Calibri"/>
              </w:rPr>
              <w:t>Podpora podnikových investic do výzkumu a inovací a vytváření</w:t>
            </w:r>
            <w:r w:rsidR="000534DA" w:rsidRPr="00DD47DF">
              <w:rPr>
                <w:rFonts w:cs="Calibri"/>
              </w:rPr>
              <w:t xml:space="preserve"> vazeb a součinnosti mezi podniky, středisky výzkumu a vývoje a odvětvím vysokoškolského vzdělávání, zejména podpora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oblasti klíčových technologií a šíření technologií pro všeobecné použití</w:t>
            </w:r>
          </w:p>
        </w:tc>
        <w:tc>
          <w:tcPr>
            <w:tcW w:w="2992" w:type="pct"/>
            <w:shd w:val="clear" w:color="auto" w:fill="auto"/>
          </w:tcPr>
          <w:p w14:paraId="5632911D" w14:textId="77777777" w:rsidR="003252E1" w:rsidRPr="00DD47DF" w:rsidRDefault="003252E1" w:rsidP="0022028B">
            <w:pPr>
              <w:pStyle w:val="Tabulka"/>
              <w:jc w:val="left"/>
              <w:rPr>
                <w:rFonts w:cs="Calibri"/>
                <w:bCs/>
              </w:rPr>
            </w:pPr>
            <w:r w:rsidRPr="00DD47DF">
              <w:rPr>
                <w:rFonts w:cs="Calibri"/>
                <w:bCs/>
                <w:u w:val="single"/>
              </w:rPr>
              <w:t>E</w:t>
            </w:r>
            <w:r w:rsidR="00A82B68" w:rsidRPr="00DD47DF">
              <w:rPr>
                <w:rFonts w:cs="Calibri"/>
                <w:bCs/>
                <w:u w:val="single"/>
              </w:rPr>
              <w:t>U</w:t>
            </w:r>
            <w:r w:rsidRPr="00DD47DF">
              <w:rPr>
                <w:rFonts w:cs="Calibri"/>
                <w:bCs/>
                <w:u w:val="single"/>
              </w:rPr>
              <w:t xml:space="preserve"> 2020</w:t>
            </w:r>
            <w:r w:rsidR="002135F1" w:rsidRPr="00DD47DF">
              <w:rPr>
                <w:rFonts w:cs="Calibri"/>
                <w:bCs/>
              </w:rPr>
              <w:t xml:space="preserve">: </w:t>
            </w:r>
            <w:r w:rsidR="006B691E" w:rsidRPr="00DD47DF">
              <w:rPr>
                <w:rFonts w:cs="Calibri"/>
              </w:rPr>
              <w:t>N</w:t>
            </w:r>
            <w:r w:rsidR="00D25653" w:rsidRPr="00DD47DF">
              <w:rPr>
                <w:rFonts w:cs="Calibri"/>
                <w:bCs/>
              </w:rPr>
              <w:t xml:space="preserve">avýšení investic do </w:t>
            </w:r>
            <w:r w:rsidRPr="00DD47DF">
              <w:rPr>
                <w:rFonts w:cs="Calibri"/>
                <w:bCs/>
              </w:rPr>
              <w:t xml:space="preserve">výzkumu a vývoje </w:t>
            </w:r>
            <w:r w:rsidR="00D25653" w:rsidRPr="00DD47DF">
              <w:rPr>
                <w:rFonts w:cs="Calibri"/>
                <w:bCs/>
              </w:rPr>
              <w:t xml:space="preserve">na úroveň </w:t>
            </w:r>
            <w:r w:rsidRPr="00DD47DF">
              <w:rPr>
                <w:rFonts w:cs="Calibri"/>
                <w:bCs/>
              </w:rPr>
              <w:t>3 % HDP</w:t>
            </w:r>
            <w:r w:rsidR="00CC607A" w:rsidRPr="00DD47DF">
              <w:rPr>
                <w:rFonts w:cs="Calibri"/>
                <w:bCs/>
              </w:rPr>
              <w:t xml:space="preserve"> E</w:t>
            </w:r>
            <w:r w:rsidR="00F27EC3" w:rsidRPr="00DD47DF">
              <w:rPr>
                <w:rFonts w:cs="Calibri"/>
                <w:bCs/>
              </w:rPr>
              <w:t>U</w:t>
            </w:r>
            <w:r w:rsidR="0031231B" w:rsidRPr="00DD47DF">
              <w:rPr>
                <w:rFonts w:cs="Calibri"/>
                <w:bCs/>
              </w:rPr>
              <w:t xml:space="preserve">; stěžejní iniciativa </w:t>
            </w:r>
            <w:r w:rsidR="0031231B" w:rsidRPr="00DD47DF">
              <w:rPr>
                <w:rFonts w:cs="Calibri"/>
                <w:bCs/>
                <w:i/>
              </w:rPr>
              <w:t>Inovace v Unii</w:t>
            </w:r>
          </w:p>
          <w:p w14:paraId="6CF5E55E" w14:textId="77777777" w:rsidR="00A93D30" w:rsidRPr="00DD47DF" w:rsidRDefault="002135F1" w:rsidP="0022028B">
            <w:pPr>
              <w:pStyle w:val="Tabulka"/>
              <w:jc w:val="left"/>
              <w:rPr>
                <w:rFonts w:cs="Calibri"/>
                <w:bCs/>
              </w:rPr>
            </w:pPr>
            <w:r w:rsidRPr="00DD47DF">
              <w:rPr>
                <w:rFonts w:cs="Calibri"/>
                <w:bCs/>
                <w:u w:val="single"/>
              </w:rPr>
              <w:t>N</w:t>
            </w:r>
            <w:r w:rsidR="00A82B68" w:rsidRPr="00DD47DF">
              <w:rPr>
                <w:rFonts w:cs="Calibri"/>
                <w:bCs/>
                <w:u w:val="single"/>
              </w:rPr>
              <w:t>PR</w:t>
            </w:r>
            <w:r w:rsidR="00F20211" w:rsidRPr="00DD47DF">
              <w:rPr>
                <w:rFonts w:cs="Calibri"/>
                <w:bCs/>
                <w:u w:val="single"/>
              </w:rPr>
              <w:t xml:space="preserve"> </w:t>
            </w:r>
            <w:r w:rsidR="00066396" w:rsidRPr="00DD47DF">
              <w:rPr>
                <w:rFonts w:cs="Calibri"/>
                <w:bCs/>
                <w:u w:val="single"/>
              </w:rPr>
              <w:t>201</w:t>
            </w:r>
            <w:r w:rsidR="000D30CB" w:rsidRPr="00DD47DF">
              <w:rPr>
                <w:rFonts w:cs="Calibri"/>
                <w:bCs/>
                <w:u w:val="single"/>
              </w:rPr>
              <w:t>4</w:t>
            </w:r>
            <w:r w:rsidRPr="00DD47DF">
              <w:rPr>
                <w:rFonts w:cs="Calibri"/>
                <w:bCs/>
              </w:rPr>
              <w:t xml:space="preserve">: </w:t>
            </w:r>
            <w:r w:rsidR="000C080E" w:rsidRPr="00DD47DF">
              <w:rPr>
                <w:rFonts w:cs="Calibri"/>
                <w:bCs/>
              </w:rPr>
              <w:t>Posilovat význam výzkumných a inovačních aktivit a produkce s vyšší přidanou hodnotou jako klíčových předpokladů pro zvyšování konkurenceschopnosti českých firem</w:t>
            </w:r>
          </w:p>
          <w:p w14:paraId="306D2D34" w14:textId="77777777" w:rsidR="008E6C8D" w:rsidRPr="00DD47DF" w:rsidRDefault="00CE70D6" w:rsidP="0022028B">
            <w:pPr>
              <w:pStyle w:val="Tabulka"/>
              <w:jc w:val="left"/>
              <w:rPr>
                <w:rFonts w:cs="Calibri"/>
                <w:bCs/>
              </w:rPr>
            </w:pPr>
            <w:r w:rsidRPr="00DD47DF">
              <w:rPr>
                <w:rFonts w:cs="Calibri"/>
                <w:bCs/>
                <w:u w:val="single"/>
              </w:rPr>
              <w:t>Poziční dokument</w:t>
            </w:r>
            <w:r w:rsidRPr="00DD47DF">
              <w:rPr>
                <w:rFonts w:cs="Calibri"/>
                <w:bCs/>
              </w:rPr>
              <w:t xml:space="preserve">: </w:t>
            </w:r>
            <w:r w:rsidR="005522AA" w:rsidRPr="00DD47DF">
              <w:rPr>
                <w:rFonts w:cs="Calibri"/>
                <w:bCs/>
              </w:rPr>
              <w:t>Podpora podnikových investic do výzkumu a inovací, vývoje produktů a služeb, obchodování s výsledky výzkumu, přenosu technologií, rozvoje</w:t>
            </w:r>
            <w:r w:rsidR="00F41CE5" w:rsidRPr="00DD47DF">
              <w:rPr>
                <w:rFonts w:cs="Calibri"/>
                <w:bCs/>
              </w:rPr>
              <w:t xml:space="preserve"> klastrů, aplikovaných inovací, p</w:t>
            </w:r>
            <w:r w:rsidR="005522AA" w:rsidRPr="00DD47DF">
              <w:rPr>
                <w:rFonts w:cs="Calibri"/>
                <w:bCs/>
              </w:rPr>
              <w:t>odpora technolo</w:t>
            </w:r>
            <w:r w:rsidR="00F41CE5" w:rsidRPr="00DD47DF">
              <w:rPr>
                <w:rFonts w:cs="Calibri"/>
                <w:bCs/>
              </w:rPr>
              <w:t>gického a aplikovaného výzkumu</w:t>
            </w:r>
          </w:p>
          <w:p w14:paraId="676BE6A6" w14:textId="77777777" w:rsidR="004E68E5" w:rsidRPr="00DD47DF" w:rsidRDefault="004E68E5" w:rsidP="0022028B">
            <w:pPr>
              <w:pStyle w:val="Tabulka"/>
              <w:jc w:val="left"/>
              <w:rPr>
                <w:rFonts w:cs="Calibri"/>
                <w:bCs/>
              </w:rPr>
            </w:pPr>
            <w:r w:rsidRPr="00DD47DF">
              <w:rPr>
                <w:rFonts w:cs="Calibri"/>
                <w:bCs/>
                <w:u w:val="single"/>
              </w:rPr>
              <w:t>SMK</w:t>
            </w:r>
            <w:r w:rsidRPr="00DD47DF">
              <w:rPr>
                <w:rFonts w:cs="Calibri"/>
                <w:bCs/>
              </w:rPr>
              <w:t>: zvýšení spolupráce mezi podnikovým a VaV sektorem a spolupráce mezi podniky, rozvoj služeb pro inovační podnikání</w:t>
            </w:r>
          </w:p>
          <w:p w14:paraId="317C6870" w14:textId="77777777" w:rsidR="00AD561F" w:rsidRPr="00DD47DF" w:rsidRDefault="00AD561F" w:rsidP="00AD561F">
            <w:pPr>
              <w:pStyle w:val="Tabulka"/>
              <w:jc w:val="left"/>
              <w:rPr>
                <w:rFonts w:cs="Calibri"/>
                <w:bCs/>
              </w:rPr>
            </w:pPr>
            <w:r w:rsidRPr="00DD47DF">
              <w:rPr>
                <w:rFonts w:cs="Calibri"/>
                <w:bCs/>
                <w:u w:val="single"/>
              </w:rPr>
              <w:t>Dohoda o partnerství:</w:t>
            </w:r>
          </w:p>
          <w:p w14:paraId="0CBF6D61" w14:textId="77777777" w:rsidR="00AD561F" w:rsidRPr="00DD47DF" w:rsidRDefault="00AD561F" w:rsidP="00AD561F">
            <w:pPr>
              <w:pStyle w:val="Tabulka"/>
              <w:jc w:val="left"/>
              <w:rPr>
                <w:rFonts w:cs="Calibri"/>
                <w:bCs/>
              </w:rPr>
            </w:pPr>
            <w:r w:rsidRPr="00DD47DF">
              <w:rPr>
                <w:rFonts w:cs="Calibri"/>
                <w:b/>
                <w:bCs/>
              </w:rPr>
              <w:t>Problémová oblast:</w:t>
            </w:r>
            <w:r w:rsidRPr="00DD47DF">
              <w:rPr>
                <w:rFonts w:cs="Calibri"/>
                <w:bCs/>
              </w:rPr>
              <w:t xml:space="preserve"> Výzkumný a inovační systém; </w:t>
            </w:r>
            <w:bookmarkStart w:id="16" w:name="_Toc374702859"/>
            <w:r w:rsidRPr="00DD47DF">
              <w:rPr>
                <w:rFonts w:cs="Calibri"/>
                <w:bCs/>
              </w:rPr>
              <w:t>Konkurenceschopné podniky</w:t>
            </w:r>
            <w:bookmarkEnd w:id="16"/>
          </w:p>
          <w:p w14:paraId="26D3C9CD"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Slabá orientace výzkumu na přínosy pro společnost; Slabý endogenní podnikatelský sektor.</w:t>
            </w:r>
          </w:p>
          <w:p w14:paraId="25F193B8" w14:textId="77777777" w:rsidR="00AD561F" w:rsidRPr="00DD47DF" w:rsidRDefault="00AD561F" w:rsidP="00AD561F">
            <w:pPr>
              <w:pStyle w:val="Tabulka"/>
              <w:jc w:val="left"/>
              <w:rPr>
                <w:rFonts w:cs="Calibri"/>
                <w:bCs/>
              </w:rPr>
            </w:pPr>
            <w:r w:rsidRPr="00DD47DF">
              <w:rPr>
                <w:rFonts w:cs="Calibri"/>
                <w:b/>
                <w:bCs/>
              </w:rPr>
              <w:t xml:space="preserve">Priorita financování: </w:t>
            </w:r>
            <w:r w:rsidRPr="00DD47DF">
              <w:rPr>
                <w:rFonts w:cs="Calibri"/>
                <w:bCs/>
              </w:rPr>
              <w:t>Výzkumný a inovační systém propojený s aplikační sférou a směřující ke komerčně využitelným výsledkům</w:t>
            </w:r>
          </w:p>
        </w:tc>
      </w:tr>
      <w:tr w:rsidR="00066396" w:rsidRPr="00DD47DF" w14:paraId="3E8B0458" w14:textId="77777777">
        <w:trPr>
          <w:jc w:val="center"/>
        </w:trPr>
        <w:tc>
          <w:tcPr>
            <w:tcW w:w="567" w:type="pct"/>
            <w:vMerge w:val="restart"/>
            <w:shd w:val="clear" w:color="auto" w:fill="B8CCE4"/>
            <w:vAlign w:val="center"/>
          </w:tcPr>
          <w:p w14:paraId="44B68FEF" w14:textId="77777777" w:rsidR="00066396" w:rsidRPr="00DD47DF" w:rsidRDefault="009D7E8A" w:rsidP="0022028B">
            <w:pPr>
              <w:pStyle w:val="Tabulka"/>
              <w:jc w:val="left"/>
              <w:rPr>
                <w:rFonts w:cs="Calibri"/>
              </w:rPr>
            </w:pPr>
            <w:r w:rsidRPr="00DD47DF">
              <w:rPr>
                <w:rFonts w:cs="Calibri"/>
              </w:rPr>
              <w:t>2</w:t>
            </w:r>
            <w:r w:rsidR="00CC5E04" w:rsidRPr="00DD47DF">
              <w:rPr>
                <w:rFonts w:cs="Calibri"/>
              </w:rPr>
              <w:t>)</w:t>
            </w:r>
            <w:r w:rsidR="00066396" w:rsidRPr="00DD47DF">
              <w:rPr>
                <w:rFonts w:cs="Calibri"/>
              </w:rPr>
              <w:t xml:space="preserve"> </w:t>
            </w:r>
            <w:r w:rsidR="001B1FD9" w:rsidRPr="00DD47DF">
              <w:rPr>
                <w:rFonts w:cs="Calibri"/>
              </w:rPr>
              <w:t xml:space="preserve">Zlepšení přístupu, využití a kvality informačních a </w:t>
            </w:r>
            <w:r w:rsidR="001B1FD9" w:rsidRPr="00DD47DF">
              <w:rPr>
                <w:rFonts w:cs="Calibri"/>
              </w:rPr>
              <w:lastRenderedPageBreak/>
              <w:t>komunikačních technologií</w:t>
            </w:r>
          </w:p>
          <w:p w14:paraId="2ABCA66E" w14:textId="77777777" w:rsidR="00066396" w:rsidRPr="00DD47DF" w:rsidRDefault="00066396" w:rsidP="0022028B">
            <w:pPr>
              <w:pStyle w:val="Tabulka"/>
              <w:jc w:val="left"/>
              <w:rPr>
                <w:rFonts w:cs="Calibri"/>
              </w:rPr>
            </w:pPr>
          </w:p>
        </w:tc>
        <w:tc>
          <w:tcPr>
            <w:tcW w:w="1441" w:type="pct"/>
            <w:shd w:val="clear" w:color="auto" w:fill="DBE5F1"/>
            <w:vAlign w:val="center"/>
          </w:tcPr>
          <w:p w14:paraId="2249A54D" w14:textId="77777777" w:rsidR="00066396" w:rsidRPr="00DD47DF" w:rsidRDefault="00B54D2B" w:rsidP="0022028B">
            <w:pPr>
              <w:pStyle w:val="Tabulka"/>
              <w:jc w:val="left"/>
              <w:rPr>
                <w:rFonts w:cs="Calibri"/>
              </w:rPr>
            </w:pPr>
            <w:r w:rsidRPr="00DD47DF">
              <w:rPr>
                <w:rFonts w:cs="Calibri"/>
              </w:rPr>
              <w:lastRenderedPageBreak/>
              <w:t xml:space="preserve">2 a) </w:t>
            </w:r>
            <w:r w:rsidR="00066396" w:rsidRPr="00DD47DF">
              <w:rPr>
                <w:rFonts w:cs="Calibri"/>
              </w:rPr>
              <w:t>Rozšiřování širokopásmového připojení a zavádění vysokorychlostních sítí a podpora zavádění vznikajících technologií a sítí pro digitální hospodářství</w:t>
            </w:r>
          </w:p>
        </w:tc>
        <w:tc>
          <w:tcPr>
            <w:tcW w:w="2992" w:type="pct"/>
            <w:shd w:val="clear" w:color="auto" w:fill="auto"/>
          </w:tcPr>
          <w:p w14:paraId="7E573E8E" w14:textId="77777777" w:rsidR="0031231B" w:rsidRPr="00DD47DF" w:rsidRDefault="0031231B" w:rsidP="001B092B">
            <w:pPr>
              <w:pStyle w:val="Tabulka"/>
              <w:jc w:val="left"/>
              <w:rPr>
                <w:rFonts w:cs="Calibri"/>
                <w:bCs/>
                <w:u w:val="single"/>
              </w:rPr>
            </w:pPr>
            <w:r w:rsidRPr="00DD47DF">
              <w:rPr>
                <w:rFonts w:cs="Calibri"/>
                <w:bCs/>
                <w:u w:val="single"/>
              </w:rPr>
              <w:t>EU 2020</w:t>
            </w:r>
            <w:r w:rsidRPr="00DD47DF">
              <w:rPr>
                <w:rFonts w:cs="Calibri"/>
                <w:bCs/>
              </w:rPr>
              <w:t xml:space="preserve">: Stěžejní </w:t>
            </w:r>
            <w:r w:rsidRPr="00DD47DF">
              <w:rPr>
                <w:rFonts w:cs="Calibri"/>
              </w:rPr>
              <w:t xml:space="preserve">iniciativa </w:t>
            </w:r>
            <w:r w:rsidRPr="00DD47DF">
              <w:rPr>
                <w:rFonts w:cs="Calibri"/>
                <w:i/>
              </w:rPr>
              <w:t>Digitální agenda pro Evropu</w:t>
            </w:r>
          </w:p>
          <w:p w14:paraId="7407C7A4" w14:textId="77777777" w:rsidR="001B092B" w:rsidRPr="00DD47DF" w:rsidRDefault="001B092B" w:rsidP="001B092B">
            <w:pPr>
              <w:pStyle w:val="Tabulka"/>
              <w:jc w:val="left"/>
              <w:rPr>
                <w:rFonts w:cs="Calibri"/>
                <w:bCs/>
              </w:rPr>
            </w:pPr>
            <w:r w:rsidRPr="00DD47DF">
              <w:rPr>
                <w:rFonts w:cs="Calibri"/>
                <w:bCs/>
                <w:u w:val="single"/>
              </w:rPr>
              <w:t>NPR 201</w:t>
            </w:r>
            <w:r w:rsidR="000C080E" w:rsidRPr="00DD47DF">
              <w:rPr>
                <w:rFonts w:cs="Calibri"/>
                <w:bCs/>
                <w:u w:val="single"/>
              </w:rPr>
              <w:t>4</w:t>
            </w:r>
            <w:r w:rsidRPr="00DD47DF">
              <w:rPr>
                <w:rFonts w:cs="Calibri"/>
                <w:bCs/>
              </w:rPr>
              <w:t xml:space="preserve">: </w:t>
            </w:r>
            <w:r w:rsidR="000C080E" w:rsidRPr="00DD47DF">
              <w:rPr>
                <w:rFonts w:cs="Calibri"/>
                <w:bCs/>
              </w:rPr>
              <w:t>Podpora výstavby vysokorychlostních sítí elektronických komunikací</w:t>
            </w:r>
          </w:p>
          <w:p w14:paraId="6982DABB" w14:textId="77777777" w:rsidR="001B092B" w:rsidRPr="00DD47DF" w:rsidRDefault="001B092B" w:rsidP="001B092B">
            <w:pPr>
              <w:pStyle w:val="Tabulka"/>
              <w:jc w:val="left"/>
              <w:rPr>
                <w:rFonts w:cs="Calibri"/>
                <w:bCs/>
              </w:rPr>
            </w:pPr>
            <w:r w:rsidRPr="00DD47DF">
              <w:rPr>
                <w:rFonts w:cs="Calibri"/>
                <w:bCs/>
                <w:u w:val="single"/>
              </w:rPr>
              <w:t>SMK</w:t>
            </w:r>
            <w:r w:rsidRPr="00DD47DF">
              <w:rPr>
                <w:rFonts w:cs="Calibri"/>
                <w:bCs/>
              </w:rPr>
              <w:t xml:space="preserve">: Rozšíření přístupu k vysokorychlostnímu internetu, a to jak ve všech obydlených, tak v </w:t>
            </w:r>
            <w:r w:rsidRPr="00DD47DF">
              <w:rPr>
                <w:rFonts w:cs="Calibri"/>
                <w:bCs/>
              </w:rPr>
              <w:lastRenderedPageBreak/>
              <w:t>méně dostupných lokalitách, aby byla zvýšena možnost podnikání s využitím internetu</w:t>
            </w:r>
          </w:p>
          <w:p w14:paraId="5C0E3763" w14:textId="77777777" w:rsidR="00066396" w:rsidRPr="00DD47DF" w:rsidRDefault="001B092B" w:rsidP="001B092B">
            <w:pPr>
              <w:pStyle w:val="Tabulka"/>
              <w:jc w:val="left"/>
              <w:rPr>
                <w:rFonts w:cs="Calibri"/>
                <w:bCs/>
              </w:rPr>
            </w:pPr>
            <w:r w:rsidRPr="00DD47DF">
              <w:rPr>
                <w:rFonts w:cs="Calibri"/>
                <w:bCs/>
                <w:u w:val="single"/>
              </w:rPr>
              <w:t>Digitální Česko 2</w:t>
            </w:r>
            <w:r w:rsidRPr="00DD47DF">
              <w:rPr>
                <w:rFonts w:cs="Calibri"/>
                <w:bCs/>
              </w:rPr>
              <w:t>: Rozvíjet vysokorychlostní přístupové sítě k internetu umožňující přenosové rychlosti 30 Mbit/s do roku 2020 pro všechny obyvatele a 100 Mbit/s minimálně pro polovinu domácností</w:t>
            </w:r>
          </w:p>
          <w:p w14:paraId="286FA9AF" w14:textId="77777777" w:rsidR="00AD561F" w:rsidRPr="00DD47DF" w:rsidRDefault="00AD561F" w:rsidP="00AD561F">
            <w:pPr>
              <w:pStyle w:val="Tabulka"/>
              <w:jc w:val="left"/>
              <w:rPr>
                <w:rFonts w:cs="Calibri"/>
                <w:bCs/>
                <w:u w:val="single"/>
              </w:rPr>
            </w:pPr>
            <w:r w:rsidRPr="00DD47DF">
              <w:rPr>
                <w:rFonts w:cs="Calibri"/>
                <w:bCs/>
                <w:u w:val="single"/>
              </w:rPr>
              <w:t>Dohoda o partnerství:</w:t>
            </w:r>
          </w:p>
          <w:p w14:paraId="5ECD5472" w14:textId="77777777" w:rsidR="00AD561F" w:rsidRPr="00DD47DF" w:rsidRDefault="00AD561F" w:rsidP="00AD561F">
            <w:pPr>
              <w:pStyle w:val="Tabulka"/>
              <w:jc w:val="left"/>
              <w:rPr>
                <w:rFonts w:cs="Calibri"/>
                <w:b/>
                <w:bCs/>
              </w:rPr>
            </w:pPr>
            <w:r w:rsidRPr="00DD47DF">
              <w:rPr>
                <w:rFonts w:cs="Calibri"/>
                <w:b/>
                <w:bCs/>
              </w:rPr>
              <w:t>Problémová oblast:</w:t>
            </w:r>
            <w:r w:rsidRPr="00DD47DF">
              <w:rPr>
                <w:rFonts w:cs="Calibri"/>
                <w:bCs/>
              </w:rPr>
              <w:t xml:space="preserve"> ICT infrastruktura</w:t>
            </w:r>
          </w:p>
          <w:p w14:paraId="062D8A43"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Nedostatečné pokrytí vysokorychlostním internetem především venkovského území</w:t>
            </w:r>
          </w:p>
          <w:p w14:paraId="1C1DCE96" w14:textId="77777777" w:rsidR="00AD561F" w:rsidRPr="00DD47DF" w:rsidRDefault="00AD561F" w:rsidP="00AD561F">
            <w:pPr>
              <w:pStyle w:val="Tabulka"/>
              <w:jc w:val="left"/>
              <w:rPr>
                <w:rFonts w:cs="Calibri"/>
                <w:bCs/>
                <w:u w:val="single"/>
              </w:rPr>
            </w:pPr>
            <w:r w:rsidRPr="00DD47DF">
              <w:rPr>
                <w:rFonts w:cs="Calibri"/>
                <w:b/>
                <w:bCs/>
              </w:rPr>
              <w:t>Priorita financování:</w:t>
            </w:r>
            <w:r w:rsidRPr="00DD47DF">
              <w:rPr>
                <w:b/>
                <w:szCs w:val="24"/>
              </w:rPr>
              <w:t xml:space="preserve"> </w:t>
            </w:r>
            <w:r w:rsidRPr="00DD47DF">
              <w:rPr>
                <w:szCs w:val="24"/>
              </w:rPr>
              <w:t>Udržitelná infrastruktura umožňující konkurenceschopnost ekonomiky a odpovídající obslužnost území</w:t>
            </w:r>
          </w:p>
        </w:tc>
      </w:tr>
      <w:tr w:rsidR="00066396" w:rsidRPr="00DD47DF" w14:paraId="0687F307" w14:textId="77777777">
        <w:trPr>
          <w:jc w:val="center"/>
        </w:trPr>
        <w:tc>
          <w:tcPr>
            <w:tcW w:w="567" w:type="pct"/>
            <w:vMerge/>
            <w:shd w:val="clear" w:color="auto" w:fill="B8CCE4"/>
            <w:vAlign w:val="center"/>
          </w:tcPr>
          <w:p w14:paraId="7632721E" w14:textId="77777777" w:rsidR="00066396" w:rsidRPr="00DD47DF" w:rsidRDefault="00066396" w:rsidP="0022028B">
            <w:pPr>
              <w:pStyle w:val="Tabulka"/>
              <w:jc w:val="left"/>
              <w:rPr>
                <w:rFonts w:cs="Calibri"/>
              </w:rPr>
            </w:pPr>
          </w:p>
        </w:tc>
        <w:tc>
          <w:tcPr>
            <w:tcW w:w="1441" w:type="pct"/>
            <w:shd w:val="clear" w:color="auto" w:fill="DBE5F1"/>
            <w:vAlign w:val="center"/>
          </w:tcPr>
          <w:p w14:paraId="0850D40D" w14:textId="77777777" w:rsidR="00066396" w:rsidRPr="00DD47DF" w:rsidRDefault="00B54D2B" w:rsidP="0022028B">
            <w:pPr>
              <w:pStyle w:val="Tabulka"/>
              <w:jc w:val="left"/>
              <w:rPr>
                <w:rFonts w:cs="Calibri"/>
              </w:rPr>
            </w:pPr>
            <w:r w:rsidRPr="00DD47DF">
              <w:rPr>
                <w:rFonts w:cs="Calibri"/>
              </w:rPr>
              <w:t xml:space="preserve">2 b) </w:t>
            </w:r>
            <w:r w:rsidR="007A45F6" w:rsidRPr="00DD47DF">
              <w:rPr>
                <w:rFonts w:cs="Calibri"/>
              </w:rPr>
              <w:t>Vyvíjení produktů a služeb v oblasti IKT, elektronický obchod a zvyšování poptávky po IKT</w:t>
            </w:r>
          </w:p>
          <w:p w14:paraId="1FE3A09C" w14:textId="77777777" w:rsidR="00066396" w:rsidRPr="00DD47DF" w:rsidRDefault="00066396" w:rsidP="0022028B">
            <w:pPr>
              <w:pStyle w:val="Tabulka"/>
              <w:jc w:val="left"/>
              <w:rPr>
                <w:rFonts w:cs="Calibri"/>
              </w:rPr>
            </w:pPr>
          </w:p>
        </w:tc>
        <w:tc>
          <w:tcPr>
            <w:tcW w:w="2992" w:type="pct"/>
            <w:shd w:val="clear" w:color="auto" w:fill="auto"/>
          </w:tcPr>
          <w:p w14:paraId="7A9548C0" w14:textId="77777777" w:rsidR="00A863BB" w:rsidRPr="00DD47DF" w:rsidRDefault="00A863BB" w:rsidP="0022028B">
            <w:pPr>
              <w:pStyle w:val="Tabulka"/>
              <w:jc w:val="left"/>
              <w:rPr>
                <w:rFonts w:cs="Calibri"/>
              </w:rPr>
            </w:pPr>
            <w:r w:rsidRPr="00DD47DF">
              <w:rPr>
                <w:rFonts w:cs="Calibri"/>
                <w:bCs/>
                <w:u w:val="single"/>
              </w:rPr>
              <w:t>N</w:t>
            </w:r>
            <w:r w:rsidR="001B092B" w:rsidRPr="00DD47DF">
              <w:rPr>
                <w:rFonts w:cs="Calibri"/>
                <w:bCs/>
                <w:u w:val="single"/>
              </w:rPr>
              <w:t>PR</w:t>
            </w:r>
            <w:r w:rsidRPr="00DD47DF">
              <w:rPr>
                <w:rFonts w:cs="Calibri"/>
                <w:bCs/>
                <w:u w:val="single"/>
              </w:rPr>
              <w:t xml:space="preserve"> 201</w:t>
            </w:r>
            <w:r w:rsidR="000C080E" w:rsidRPr="00DD47DF">
              <w:rPr>
                <w:rFonts w:cs="Calibri"/>
                <w:bCs/>
                <w:u w:val="single"/>
              </w:rPr>
              <w:t>4</w:t>
            </w:r>
            <w:r w:rsidRPr="00DD47DF">
              <w:rPr>
                <w:rFonts w:cs="Calibri"/>
                <w:bCs/>
              </w:rPr>
              <w:t>:</w:t>
            </w:r>
            <w:r w:rsidRPr="00DD47DF">
              <w:rPr>
                <w:rFonts w:cs="Calibri"/>
              </w:rPr>
              <w:t xml:space="preserve"> </w:t>
            </w:r>
            <w:r w:rsidR="000C080E" w:rsidRPr="00DD47DF">
              <w:rPr>
                <w:rFonts w:cs="Calibri"/>
                <w:bCs/>
              </w:rPr>
              <w:t>Podpora zvyšování dostupnosti ICT</w:t>
            </w:r>
          </w:p>
          <w:p w14:paraId="4C14E3E9" w14:textId="77777777" w:rsidR="00F41CE5" w:rsidRPr="00DD47DF" w:rsidRDefault="00F41CE5" w:rsidP="00F41CE5">
            <w:pPr>
              <w:pStyle w:val="Tabulka"/>
              <w:jc w:val="left"/>
              <w:rPr>
                <w:rFonts w:cs="Calibri"/>
                <w:bCs/>
              </w:rPr>
            </w:pPr>
            <w:r w:rsidRPr="00DD47DF">
              <w:rPr>
                <w:rFonts w:cs="Calibri"/>
                <w:bCs/>
                <w:u w:val="single"/>
              </w:rPr>
              <w:t>Poziční dokument</w:t>
            </w:r>
            <w:r w:rsidRPr="00DD47DF">
              <w:rPr>
                <w:rFonts w:cs="Calibri"/>
                <w:bCs/>
              </w:rPr>
              <w:t>: Rozvoj digitálních služeb a kompetencí a kvality informačních a komunikačních technologií</w:t>
            </w:r>
            <w:r w:rsidR="001B092B" w:rsidRPr="00DD47DF">
              <w:rPr>
                <w:rFonts w:cs="Calibri"/>
                <w:bCs/>
              </w:rPr>
              <w:t xml:space="preserve"> a lepší přístup ke školení, poradenství a službám v rámci ICT pro malé a střední podniky</w:t>
            </w:r>
          </w:p>
          <w:p w14:paraId="58784CB7" w14:textId="77777777" w:rsidR="00066396" w:rsidRPr="00DD47DF" w:rsidRDefault="00066396" w:rsidP="001B092B">
            <w:pPr>
              <w:pStyle w:val="Tabulka"/>
              <w:jc w:val="left"/>
              <w:rPr>
                <w:rFonts w:cs="Calibri"/>
                <w:bCs/>
              </w:rPr>
            </w:pPr>
            <w:r w:rsidRPr="00DD47DF">
              <w:rPr>
                <w:rFonts w:cs="Calibri"/>
                <w:bCs/>
                <w:u w:val="single"/>
              </w:rPr>
              <w:t xml:space="preserve">Koncepce podpory </w:t>
            </w:r>
            <w:r w:rsidR="001B092B" w:rsidRPr="00DD47DF">
              <w:rPr>
                <w:rFonts w:cs="Calibri"/>
                <w:bCs/>
                <w:u w:val="single"/>
              </w:rPr>
              <w:t>MSP</w:t>
            </w:r>
            <w:r w:rsidRPr="00DD47DF">
              <w:rPr>
                <w:rFonts w:cs="Calibri"/>
                <w:bCs/>
              </w:rPr>
              <w:t xml:space="preserve">: </w:t>
            </w:r>
            <w:r w:rsidR="001B092B" w:rsidRPr="00DD47DF">
              <w:rPr>
                <w:rFonts w:cs="Calibri"/>
                <w:bCs/>
              </w:rPr>
              <w:t xml:space="preserve">Podpora aktivit zaměřených na rozvoj digitální ekonomiky, neboť </w:t>
            </w:r>
            <w:r w:rsidR="00197903" w:rsidRPr="00DD47DF">
              <w:rPr>
                <w:rFonts w:cs="Calibri"/>
                <w:bCs/>
              </w:rPr>
              <w:t>ICT technologie podporují inovační procesy</w:t>
            </w:r>
            <w:r w:rsidR="001B092B" w:rsidRPr="00DD47DF">
              <w:rPr>
                <w:rFonts w:cs="Calibri"/>
                <w:bCs/>
              </w:rPr>
              <w:t>;</w:t>
            </w:r>
            <w:r w:rsidR="00197903" w:rsidRPr="00DD47DF">
              <w:rPr>
                <w:rFonts w:cs="Calibri"/>
                <w:bCs/>
              </w:rPr>
              <w:t xml:space="preserve"> rozvoj ICT v</w:t>
            </w:r>
            <w:r w:rsidR="008476DD" w:rsidRPr="00DD47DF">
              <w:rPr>
                <w:rFonts w:cs="Calibri"/>
                <w:bCs/>
              </w:rPr>
              <w:t> </w:t>
            </w:r>
            <w:r w:rsidR="00197903" w:rsidRPr="00DD47DF">
              <w:rPr>
                <w:rFonts w:cs="Calibri"/>
                <w:bCs/>
              </w:rPr>
              <w:t>podnicích</w:t>
            </w:r>
            <w:r w:rsidR="008476DD" w:rsidRPr="00DD47DF">
              <w:rPr>
                <w:rFonts w:cs="Calibri"/>
                <w:bCs/>
              </w:rPr>
              <w:t xml:space="preserve"> a centr</w:t>
            </w:r>
            <w:r w:rsidR="001B092B" w:rsidRPr="00DD47DF">
              <w:rPr>
                <w:rFonts w:cs="Calibri"/>
                <w:bCs/>
              </w:rPr>
              <w:t>ech</w:t>
            </w:r>
            <w:r w:rsidR="008476DD" w:rsidRPr="00DD47DF">
              <w:rPr>
                <w:rFonts w:cs="Calibri"/>
                <w:bCs/>
              </w:rPr>
              <w:t xml:space="preserve"> progresivních ICT služeb</w:t>
            </w:r>
          </w:p>
          <w:p w14:paraId="1A23F7FA" w14:textId="77777777" w:rsidR="00AD561F" w:rsidRPr="00DD47DF" w:rsidRDefault="00AD561F" w:rsidP="00AD561F">
            <w:pPr>
              <w:pStyle w:val="Tabulka"/>
              <w:jc w:val="left"/>
              <w:rPr>
                <w:rFonts w:cs="Calibri"/>
                <w:bCs/>
                <w:u w:val="single"/>
              </w:rPr>
            </w:pPr>
            <w:r w:rsidRPr="00DD47DF">
              <w:rPr>
                <w:rFonts w:cs="Calibri"/>
                <w:bCs/>
                <w:u w:val="single"/>
              </w:rPr>
              <w:t>Dohoda o partnerství:</w:t>
            </w:r>
          </w:p>
          <w:p w14:paraId="70ECF015" w14:textId="77777777" w:rsidR="00AD561F" w:rsidRPr="00DD47DF" w:rsidRDefault="00AD561F" w:rsidP="00AD561F">
            <w:pPr>
              <w:pStyle w:val="Tabulka"/>
              <w:jc w:val="left"/>
              <w:rPr>
                <w:rFonts w:cs="Calibri"/>
                <w:b/>
                <w:bCs/>
              </w:rPr>
            </w:pPr>
            <w:r w:rsidRPr="00DD47DF">
              <w:rPr>
                <w:rFonts w:cs="Calibri"/>
                <w:b/>
                <w:bCs/>
              </w:rPr>
              <w:t>Problémová oblast:</w:t>
            </w:r>
            <w:r w:rsidRPr="00DD47DF">
              <w:rPr>
                <w:rFonts w:cs="Calibri"/>
                <w:bCs/>
              </w:rPr>
              <w:t xml:space="preserve"> </w:t>
            </w:r>
            <w:r w:rsidR="00CC45C6" w:rsidRPr="00DD47DF">
              <w:rPr>
                <w:rFonts w:cs="Calibri"/>
                <w:bCs/>
              </w:rPr>
              <w:t>I</w:t>
            </w:r>
            <w:r w:rsidRPr="00DD47DF">
              <w:rPr>
                <w:rFonts w:cs="Calibri"/>
                <w:bCs/>
              </w:rPr>
              <w:t>CT infrastruktura</w:t>
            </w:r>
          </w:p>
          <w:p w14:paraId="4CC353A8"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Nedostatečná nabídka ICT služeb </w:t>
            </w:r>
          </w:p>
          <w:p w14:paraId="7C6D41F3" w14:textId="77777777" w:rsidR="00AD561F" w:rsidRPr="00DD47DF" w:rsidRDefault="00AD561F" w:rsidP="00AD561F">
            <w:pPr>
              <w:pStyle w:val="Tabulka"/>
              <w:jc w:val="left"/>
              <w:rPr>
                <w:rFonts w:cs="Calibri"/>
              </w:rPr>
            </w:pPr>
            <w:r w:rsidRPr="00DD47DF">
              <w:rPr>
                <w:rFonts w:cs="Calibri"/>
                <w:b/>
                <w:bCs/>
              </w:rPr>
              <w:t>Priorita financování:</w:t>
            </w:r>
            <w:r w:rsidRPr="00DD47DF">
              <w:rPr>
                <w:b/>
                <w:szCs w:val="24"/>
              </w:rPr>
              <w:t xml:space="preserve"> </w:t>
            </w:r>
            <w:r w:rsidRPr="00DD47DF">
              <w:rPr>
                <w:szCs w:val="24"/>
              </w:rPr>
              <w:t xml:space="preserve">Udržitelná infrastruktura umožňující konkurenceschopnost ekonomiky </w:t>
            </w:r>
            <w:r w:rsidR="00CC45C6" w:rsidRPr="00DD47DF">
              <w:rPr>
                <w:szCs w:val="24"/>
              </w:rPr>
              <w:t>a odpovídající obslužnost území</w:t>
            </w:r>
          </w:p>
        </w:tc>
      </w:tr>
      <w:tr w:rsidR="00A863BB" w:rsidRPr="00DD47DF" w14:paraId="0D50544F" w14:textId="77777777">
        <w:trPr>
          <w:jc w:val="center"/>
        </w:trPr>
        <w:tc>
          <w:tcPr>
            <w:tcW w:w="567" w:type="pct"/>
            <w:vMerge w:val="restart"/>
            <w:shd w:val="clear" w:color="auto" w:fill="B8CCE4"/>
            <w:vAlign w:val="center"/>
          </w:tcPr>
          <w:p w14:paraId="28830ED0" w14:textId="77777777" w:rsidR="00A863BB" w:rsidRPr="00DD47DF" w:rsidRDefault="009D7E8A" w:rsidP="0022028B">
            <w:pPr>
              <w:pStyle w:val="Tabulka"/>
              <w:jc w:val="left"/>
              <w:rPr>
                <w:rFonts w:cs="Calibri"/>
              </w:rPr>
            </w:pPr>
            <w:r w:rsidRPr="00DD47DF">
              <w:rPr>
                <w:rFonts w:cs="Calibri"/>
              </w:rPr>
              <w:t>3</w:t>
            </w:r>
            <w:r w:rsidR="00CC5E04" w:rsidRPr="00DD47DF">
              <w:rPr>
                <w:rFonts w:cs="Calibri"/>
              </w:rPr>
              <w:t>)</w:t>
            </w:r>
            <w:r w:rsidR="00A863BB" w:rsidRPr="00DD47DF">
              <w:rPr>
                <w:rFonts w:cs="Calibri"/>
              </w:rPr>
              <w:t xml:space="preserve"> Zvýšení konkurenceschopnosti malých a středních podniků, odvětví zemědělství (v </w:t>
            </w:r>
            <w:r w:rsidR="00A863BB" w:rsidRPr="00DD47DF">
              <w:rPr>
                <w:rFonts w:cs="Calibri"/>
              </w:rPr>
              <w:lastRenderedPageBreak/>
              <w:t xml:space="preserve">případě EZFRV) a rybářství a akvakultury (v případě </w:t>
            </w:r>
            <w:r w:rsidR="001B1FD9" w:rsidRPr="00DD47DF">
              <w:rPr>
                <w:rFonts w:cs="Calibri"/>
              </w:rPr>
              <w:t>EMFF</w:t>
            </w:r>
            <w:r w:rsidR="00A863BB" w:rsidRPr="00DD47DF">
              <w:rPr>
                <w:rFonts w:cs="Calibri"/>
              </w:rPr>
              <w:t>)</w:t>
            </w:r>
          </w:p>
          <w:p w14:paraId="46DC0F0A" w14:textId="77777777" w:rsidR="00A863BB" w:rsidRPr="00DD47DF" w:rsidRDefault="00A863BB" w:rsidP="0022028B">
            <w:pPr>
              <w:pStyle w:val="Tabulka"/>
              <w:jc w:val="left"/>
              <w:rPr>
                <w:rFonts w:cs="Calibri"/>
              </w:rPr>
            </w:pPr>
          </w:p>
        </w:tc>
        <w:tc>
          <w:tcPr>
            <w:tcW w:w="1441" w:type="pct"/>
            <w:shd w:val="clear" w:color="auto" w:fill="DBE5F1"/>
            <w:vAlign w:val="center"/>
          </w:tcPr>
          <w:p w14:paraId="0339C56F" w14:textId="77777777" w:rsidR="00A863BB" w:rsidRPr="00DD47DF" w:rsidRDefault="00B54D2B" w:rsidP="00F27EC3">
            <w:pPr>
              <w:pStyle w:val="Tabulka"/>
              <w:jc w:val="left"/>
              <w:rPr>
                <w:rFonts w:cs="Calibri"/>
              </w:rPr>
            </w:pPr>
            <w:r w:rsidRPr="00DD47DF">
              <w:rPr>
                <w:rFonts w:cs="Calibri"/>
              </w:rPr>
              <w:lastRenderedPageBreak/>
              <w:t xml:space="preserve">3 a) </w:t>
            </w:r>
            <w:r w:rsidR="00DB5E8B" w:rsidRPr="00DD47DF">
              <w:rPr>
                <w:rFonts w:cs="Calibri"/>
              </w:rPr>
              <w:t>P</w:t>
            </w:r>
            <w:r w:rsidR="00F27EC3" w:rsidRPr="00DD47DF">
              <w:rPr>
                <w:rFonts w:cs="Calibri"/>
              </w:rPr>
              <w:t>odpora podnikání, zejména usnadněním hospodářského využívání nových myšlenek a podporou zakládání nových firem</w:t>
            </w:r>
            <w:r w:rsidR="00A863BB" w:rsidRPr="00DD47DF">
              <w:rPr>
                <w:rFonts w:cs="Calibri"/>
              </w:rPr>
              <w:t>, mimo jiné prostřednictvím podnikatelských inkubátorů</w:t>
            </w:r>
          </w:p>
        </w:tc>
        <w:tc>
          <w:tcPr>
            <w:tcW w:w="2992" w:type="pct"/>
            <w:shd w:val="clear" w:color="auto" w:fill="auto"/>
          </w:tcPr>
          <w:p w14:paraId="5A57DBC9" w14:textId="77777777" w:rsidR="00F27EC3" w:rsidRPr="00DD47DF" w:rsidRDefault="00F27EC3" w:rsidP="0022028B">
            <w:pPr>
              <w:pStyle w:val="Tabulka"/>
              <w:jc w:val="left"/>
              <w:rPr>
                <w:rFonts w:cs="Calibri"/>
                <w:bCs/>
                <w:u w:val="single"/>
              </w:rPr>
            </w:pPr>
            <w:r w:rsidRPr="00DD47DF">
              <w:rPr>
                <w:rFonts w:cs="Calibri"/>
                <w:bCs/>
                <w:u w:val="single"/>
              </w:rPr>
              <w:t>EU 2020</w:t>
            </w:r>
            <w:r w:rsidRPr="00DD47DF">
              <w:rPr>
                <w:rFonts w:cs="Calibri"/>
                <w:bCs/>
              </w:rPr>
              <w:t xml:space="preserve">: Zvýšit zaměstnanost v kategorii 20–64 let na 75 %, stěžejní iniciativa </w:t>
            </w:r>
            <w:r w:rsidRPr="00DD47DF">
              <w:rPr>
                <w:rFonts w:cs="Calibri"/>
                <w:bCs/>
                <w:i/>
              </w:rPr>
              <w:t>Průmyslová politika pro éru globalizace</w:t>
            </w:r>
          </w:p>
          <w:p w14:paraId="77978B28" w14:textId="77777777" w:rsidR="00674E89" w:rsidRPr="00DD47DF" w:rsidRDefault="00674E89" w:rsidP="0022028B">
            <w:pPr>
              <w:pStyle w:val="Tabulka"/>
              <w:jc w:val="left"/>
              <w:rPr>
                <w:rFonts w:cs="Calibri"/>
                <w:bCs/>
              </w:rPr>
            </w:pPr>
            <w:r w:rsidRPr="00DD47DF">
              <w:rPr>
                <w:rFonts w:cs="Calibri"/>
                <w:bCs/>
                <w:u w:val="single"/>
              </w:rPr>
              <w:t>N</w:t>
            </w:r>
            <w:r w:rsidR="00CE6947" w:rsidRPr="00DD47DF">
              <w:rPr>
                <w:rFonts w:cs="Calibri"/>
                <w:bCs/>
                <w:u w:val="single"/>
              </w:rPr>
              <w:t>PR</w:t>
            </w:r>
            <w:r w:rsidRPr="00DD47DF">
              <w:rPr>
                <w:rFonts w:cs="Calibri"/>
                <w:bCs/>
                <w:u w:val="single"/>
              </w:rPr>
              <w:t xml:space="preserve"> 201</w:t>
            </w:r>
            <w:r w:rsidR="000C080E" w:rsidRPr="00DD47DF">
              <w:rPr>
                <w:rFonts w:cs="Calibri"/>
                <w:bCs/>
                <w:u w:val="single"/>
              </w:rPr>
              <w:t>4</w:t>
            </w:r>
            <w:r w:rsidRPr="00DD47DF">
              <w:rPr>
                <w:rFonts w:cs="Calibri"/>
                <w:bCs/>
              </w:rPr>
              <w:t xml:space="preserve">: </w:t>
            </w:r>
            <w:r w:rsidR="001B7C6F" w:rsidRPr="00DD47DF">
              <w:rPr>
                <w:rFonts w:cs="Calibri"/>
                <w:bCs/>
              </w:rPr>
              <w:t>Rozvoj malých a středních podniků, včetně podpory rozvojového a provozního financování</w:t>
            </w:r>
          </w:p>
          <w:p w14:paraId="0BC265E9"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05361C" w:rsidRPr="00DD47DF">
              <w:rPr>
                <w:rFonts w:cs="Calibri"/>
                <w:bCs/>
              </w:rPr>
              <w:t xml:space="preserve">Rozvoj služeb poradenství </w:t>
            </w:r>
            <w:r w:rsidR="00D311DF" w:rsidRPr="00DD47DF">
              <w:rPr>
                <w:rFonts w:cs="Calibri"/>
                <w:bCs/>
              </w:rPr>
              <w:t>při</w:t>
            </w:r>
            <w:r w:rsidR="0005361C" w:rsidRPr="00DD47DF">
              <w:rPr>
                <w:rFonts w:cs="Calibri"/>
                <w:bCs/>
              </w:rPr>
              <w:t xml:space="preserve"> zakládání nových podniků; </w:t>
            </w:r>
            <w:r w:rsidR="00D311DF" w:rsidRPr="00DD47DF">
              <w:rPr>
                <w:rFonts w:cs="Calibri"/>
                <w:bCs/>
              </w:rPr>
              <w:t>v</w:t>
            </w:r>
            <w:r w:rsidR="004B2B4D" w:rsidRPr="00DD47DF">
              <w:rPr>
                <w:rFonts w:cs="Calibri"/>
                <w:bCs/>
              </w:rPr>
              <w:t xml:space="preserve">ytvoření škály finančních nástrojů na podporu zakládání nových </w:t>
            </w:r>
            <w:r w:rsidR="00D311DF" w:rsidRPr="00DD47DF">
              <w:rPr>
                <w:rFonts w:cs="Calibri"/>
                <w:bCs/>
              </w:rPr>
              <w:t>podniků</w:t>
            </w:r>
            <w:r w:rsidR="004B2B4D" w:rsidRPr="00DD47DF">
              <w:rPr>
                <w:rFonts w:cs="Calibri"/>
                <w:bCs/>
              </w:rPr>
              <w:t xml:space="preserve"> a pro rozvoj stávajících </w:t>
            </w:r>
            <w:r w:rsidR="00D311DF" w:rsidRPr="00DD47DF">
              <w:rPr>
                <w:rFonts w:cs="Calibri"/>
                <w:bCs/>
              </w:rPr>
              <w:t>firem</w:t>
            </w:r>
            <w:r w:rsidR="004B2B4D" w:rsidRPr="00DD47DF">
              <w:rPr>
                <w:rFonts w:cs="Calibri"/>
                <w:bCs/>
              </w:rPr>
              <w:t xml:space="preserve"> </w:t>
            </w:r>
            <w:r w:rsidR="004B2B4D" w:rsidRPr="00DD47DF">
              <w:rPr>
                <w:rFonts w:cs="Calibri"/>
                <w:bCs/>
              </w:rPr>
              <w:lastRenderedPageBreak/>
              <w:t>s potenciálem růstu</w:t>
            </w:r>
          </w:p>
          <w:p w14:paraId="3BCC502B" w14:textId="77777777" w:rsidR="00F27EC3" w:rsidRPr="00DD47DF" w:rsidRDefault="00F27EC3" w:rsidP="0022028B">
            <w:pPr>
              <w:pStyle w:val="Tabulka"/>
              <w:jc w:val="left"/>
              <w:rPr>
                <w:rFonts w:cs="Calibri"/>
                <w:bCs/>
              </w:rPr>
            </w:pPr>
            <w:r w:rsidRPr="00DD47DF">
              <w:rPr>
                <w:rFonts w:cs="Calibri"/>
                <w:bCs/>
                <w:u w:val="single"/>
              </w:rPr>
              <w:t>SMK</w:t>
            </w:r>
            <w:r w:rsidRPr="00DD47DF">
              <w:rPr>
                <w:rFonts w:cs="Calibri"/>
                <w:bCs/>
              </w:rPr>
              <w:t>: Rozvoj alternativních zdrojů financování pro podnikatelské záměry (např. seed fond)</w:t>
            </w:r>
          </w:p>
          <w:p w14:paraId="282C6820" w14:textId="77777777" w:rsidR="00A863BB" w:rsidRPr="00DD47DF" w:rsidRDefault="000075B7" w:rsidP="00CE6947">
            <w:pPr>
              <w:pStyle w:val="Tabulka"/>
              <w:jc w:val="left"/>
              <w:rPr>
                <w:rFonts w:cs="Calibri"/>
                <w:bCs/>
              </w:rPr>
            </w:pPr>
            <w:r w:rsidRPr="00DD47DF">
              <w:rPr>
                <w:rFonts w:cs="Calibri"/>
                <w:bCs/>
                <w:u w:val="single"/>
              </w:rPr>
              <w:t>Koncepce podpory MSP</w:t>
            </w:r>
            <w:r w:rsidRPr="00DD47DF">
              <w:rPr>
                <w:rFonts w:cs="Calibri"/>
                <w:bCs/>
              </w:rPr>
              <w:t xml:space="preserve">: Za </w:t>
            </w:r>
            <w:r w:rsidR="00F27EC3" w:rsidRPr="00DD47DF">
              <w:rPr>
                <w:rFonts w:cs="Calibri"/>
                <w:bCs/>
              </w:rPr>
              <w:t>jeden z podstatných nedostatků</w:t>
            </w:r>
            <w:r w:rsidRPr="00DD47DF">
              <w:rPr>
                <w:rFonts w:cs="Calibri"/>
                <w:bCs/>
              </w:rPr>
              <w:t xml:space="preserve"> inovačního systému ČR lze považovat</w:t>
            </w:r>
            <w:r w:rsidR="00E97A52" w:rsidRPr="00DD47DF">
              <w:rPr>
                <w:rFonts w:cs="Calibri"/>
                <w:bCs/>
              </w:rPr>
              <w:t xml:space="preserve"> relativně nižší dostupnost finančních zdrojů </w:t>
            </w:r>
            <w:r w:rsidR="00CE6947" w:rsidRPr="00DD47DF">
              <w:rPr>
                <w:rFonts w:cs="Calibri"/>
                <w:bCs/>
              </w:rPr>
              <w:t>ve formě rizikového kapitálu</w:t>
            </w:r>
          </w:p>
          <w:p w14:paraId="4AA359AF" w14:textId="77777777" w:rsidR="00AD561F" w:rsidRPr="00DD47DF" w:rsidRDefault="00AD561F" w:rsidP="00AD561F">
            <w:pPr>
              <w:pStyle w:val="Tabulka"/>
              <w:jc w:val="left"/>
              <w:rPr>
                <w:rFonts w:cs="Calibri"/>
                <w:bCs/>
                <w:u w:val="single"/>
              </w:rPr>
            </w:pPr>
            <w:r w:rsidRPr="00DD47DF">
              <w:rPr>
                <w:rFonts w:cs="Calibri"/>
                <w:bCs/>
                <w:u w:val="single"/>
              </w:rPr>
              <w:t>Dohoda o partnerství:</w:t>
            </w:r>
          </w:p>
          <w:p w14:paraId="77B4620B" w14:textId="77777777" w:rsidR="00AD561F" w:rsidRPr="00DD47DF" w:rsidRDefault="00AD561F" w:rsidP="00AD561F">
            <w:pPr>
              <w:pStyle w:val="Tabulka"/>
              <w:jc w:val="left"/>
              <w:rPr>
                <w:rFonts w:cs="Calibri"/>
                <w:b/>
                <w:bCs/>
              </w:rPr>
            </w:pPr>
            <w:r w:rsidRPr="00DD47DF">
              <w:rPr>
                <w:rFonts w:cs="Calibri"/>
                <w:b/>
                <w:bCs/>
              </w:rPr>
              <w:t>Problémová oblast:</w:t>
            </w:r>
            <w:r w:rsidRPr="00DD47DF">
              <w:rPr>
                <w:rFonts w:cs="Calibri"/>
                <w:bCs/>
              </w:rPr>
              <w:t xml:space="preserve"> Konkurenceschopné podniky</w:t>
            </w:r>
          </w:p>
          <w:p w14:paraId="5E22272C"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Slabý endogenní podnikatelský sektor</w:t>
            </w:r>
          </w:p>
          <w:p w14:paraId="5F45A178" w14:textId="77777777" w:rsidR="00AD561F" w:rsidRPr="00DD47DF" w:rsidRDefault="00AD561F" w:rsidP="00AD561F">
            <w:pPr>
              <w:pStyle w:val="Tabulka"/>
              <w:jc w:val="left"/>
              <w:rPr>
                <w:rFonts w:cs="Calibri"/>
                <w:bCs/>
              </w:rPr>
            </w:pPr>
            <w:r w:rsidRPr="00DD47DF">
              <w:rPr>
                <w:rFonts w:cs="Calibri"/>
                <w:b/>
                <w:bCs/>
              </w:rPr>
              <w:t xml:space="preserve">Priorita financování: </w:t>
            </w:r>
            <w:r w:rsidRPr="00DD47DF">
              <w:rPr>
                <w:szCs w:val="24"/>
              </w:rPr>
              <w:t>Podniky využívající výsledků VaV, konkurenceschopné na globálním trhu a přispívající</w:t>
            </w:r>
            <w:r w:rsidR="00CC45C6" w:rsidRPr="00DD47DF">
              <w:rPr>
                <w:szCs w:val="24"/>
              </w:rPr>
              <w:t xml:space="preserve"> k nízkouhlíkovému hospodářství</w:t>
            </w:r>
          </w:p>
        </w:tc>
      </w:tr>
      <w:tr w:rsidR="00A863BB" w:rsidRPr="00DD47DF" w14:paraId="2FE286FC" w14:textId="77777777">
        <w:trPr>
          <w:jc w:val="center"/>
        </w:trPr>
        <w:tc>
          <w:tcPr>
            <w:tcW w:w="567" w:type="pct"/>
            <w:vMerge/>
            <w:shd w:val="clear" w:color="auto" w:fill="B8CCE4"/>
            <w:vAlign w:val="center"/>
          </w:tcPr>
          <w:p w14:paraId="5DBF1AC3" w14:textId="77777777" w:rsidR="00A863BB" w:rsidRPr="00DD47DF" w:rsidRDefault="00A863BB" w:rsidP="0022028B">
            <w:pPr>
              <w:pStyle w:val="Tabulka"/>
              <w:jc w:val="left"/>
              <w:rPr>
                <w:rFonts w:cs="Calibri"/>
              </w:rPr>
            </w:pPr>
          </w:p>
        </w:tc>
        <w:tc>
          <w:tcPr>
            <w:tcW w:w="1441" w:type="pct"/>
            <w:shd w:val="clear" w:color="auto" w:fill="DBE5F1"/>
            <w:vAlign w:val="center"/>
          </w:tcPr>
          <w:p w14:paraId="0772904C" w14:textId="77777777" w:rsidR="00A863BB" w:rsidRPr="00DD47DF" w:rsidRDefault="00B54D2B" w:rsidP="0022028B">
            <w:pPr>
              <w:pStyle w:val="Tabulka"/>
              <w:jc w:val="left"/>
              <w:rPr>
                <w:rFonts w:cs="Calibri"/>
              </w:rPr>
            </w:pPr>
            <w:r w:rsidRPr="00DD47DF">
              <w:rPr>
                <w:rFonts w:cs="Calibri"/>
              </w:rPr>
              <w:t xml:space="preserve">3 b) </w:t>
            </w:r>
            <w:r w:rsidR="008C7D72" w:rsidRPr="00DD47DF">
              <w:rPr>
                <w:rFonts w:cs="Calibri"/>
              </w:rPr>
              <w:t>Vyvíjení a provádění nových obchodních modelů</w:t>
            </w:r>
            <w:r w:rsidR="00A863BB" w:rsidRPr="00DD47DF">
              <w:rPr>
                <w:rFonts w:cs="Calibri"/>
              </w:rPr>
              <w:t xml:space="preserve"> pro MSP, zejména pro oblast mezinárodního obchodu</w:t>
            </w:r>
          </w:p>
          <w:p w14:paraId="511664D6" w14:textId="77777777" w:rsidR="00A863BB" w:rsidRPr="00DD47DF" w:rsidRDefault="00A863BB" w:rsidP="0022028B">
            <w:pPr>
              <w:pStyle w:val="Tabulka"/>
              <w:jc w:val="left"/>
              <w:rPr>
                <w:rFonts w:cs="Calibri"/>
              </w:rPr>
            </w:pPr>
          </w:p>
        </w:tc>
        <w:tc>
          <w:tcPr>
            <w:tcW w:w="2992" w:type="pct"/>
            <w:shd w:val="clear" w:color="auto" w:fill="auto"/>
          </w:tcPr>
          <w:p w14:paraId="63274C8B" w14:textId="77777777" w:rsidR="00700EE6" w:rsidRPr="00DD47DF" w:rsidRDefault="00700EE6" w:rsidP="0022028B">
            <w:pPr>
              <w:pStyle w:val="Tabulka"/>
              <w:jc w:val="left"/>
              <w:rPr>
                <w:rFonts w:cs="Calibri"/>
                <w:bCs/>
                <w:u w:val="single"/>
              </w:rPr>
            </w:pPr>
            <w:r w:rsidRPr="00DD47DF">
              <w:rPr>
                <w:rFonts w:cs="Calibri"/>
                <w:bCs/>
                <w:u w:val="single"/>
              </w:rPr>
              <w:t>NPR 2014</w:t>
            </w:r>
            <w:r w:rsidRPr="00DD47DF">
              <w:rPr>
                <w:rFonts w:cs="Calibri"/>
                <w:bCs/>
              </w:rPr>
              <w:t>: Rozvoj malých a středních podniků, včetně rozvoje klíčových dovedností</w:t>
            </w:r>
          </w:p>
          <w:p w14:paraId="75B0526D"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4B2B4D" w:rsidRPr="00DD47DF">
              <w:rPr>
                <w:rFonts w:cs="Calibri"/>
                <w:bCs/>
              </w:rPr>
              <w:t xml:space="preserve">Rozvoj </w:t>
            </w:r>
            <w:r w:rsidR="005F1729" w:rsidRPr="00DD47DF">
              <w:rPr>
                <w:rFonts w:cs="Calibri"/>
                <w:bCs/>
              </w:rPr>
              <w:t xml:space="preserve">služeb poradenství při </w:t>
            </w:r>
            <w:r w:rsidR="004B2B4D" w:rsidRPr="00DD47DF">
              <w:rPr>
                <w:rFonts w:cs="Calibri"/>
                <w:bCs/>
              </w:rPr>
              <w:t xml:space="preserve">přístupu </w:t>
            </w:r>
            <w:r w:rsidR="005F1729" w:rsidRPr="00DD47DF">
              <w:rPr>
                <w:rFonts w:cs="Calibri"/>
                <w:bCs/>
              </w:rPr>
              <w:t xml:space="preserve">podniků </w:t>
            </w:r>
            <w:r w:rsidR="004B2B4D" w:rsidRPr="00DD47DF">
              <w:rPr>
                <w:rFonts w:cs="Calibri"/>
                <w:bCs/>
              </w:rPr>
              <w:t>k novým trhům</w:t>
            </w:r>
          </w:p>
          <w:p w14:paraId="085708F3" w14:textId="77777777" w:rsidR="00A863BB" w:rsidRPr="00DD47DF" w:rsidRDefault="00A863BB" w:rsidP="0022028B">
            <w:pPr>
              <w:pStyle w:val="Tabulka"/>
              <w:jc w:val="left"/>
              <w:rPr>
                <w:rFonts w:cs="Calibri"/>
                <w:bCs/>
              </w:rPr>
            </w:pPr>
            <w:r w:rsidRPr="00DD47DF">
              <w:rPr>
                <w:rFonts w:cs="Calibri"/>
                <w:bCs/>
                <w:u w:val="single"/>
              </w:rPr>
              <w:t>S</w:t>
            </w:r>
            <w:r w:rsidR="005F1729" w:rsidRPr="00DD47DF">
              <w:rPr>
                <w:rFonts w:cs="Calibri"/>
                <w:bCs/>
                <w:u w:val="single"/>
              </w:rPr>
              <w:t>MK</w:t>
            </w:r>
            <w:r w:rsidRPr="00DD47DF">
              <w:rPr>
                <w:rFonts w:cs="Calibri"/>
                <w:bCs/>
              </w:rPr>
              <w:t xml:space="preserve">: </w:t>
            </w:r>
            <w:r w:rsidR="005F1729" w:rsidRPr="00DD47DF">
              <w:rPr>
                <w:rFonts w:cs="Calibri"/>
                <w:bCs/>
              </w:rPr>
              <w:t>Z</w:t>
            </w:r>
            <w:r w:rsidR="00DF4A5B" w:rsidRPr="00DD47DF">
              <w:rPr>
                <w:rFonts w:cs="Calibri"/>
                <w:bCs/>
              </w:rPr>
              <w:t xml:space="preserve">výšení schopnosti producentů identifikovat koncové trhy a rozvoj netechnických kompetencí </w:t>
            </w:r>
            <w:r w:rsidR="005821F5" w:rsidRPr="00DD47DF">
              <w:rPr>
                <w:rFonts w:cs="Calibri"/>
                <w:bCs/>
              </w:rPr>
              <w:t>podniků</w:t>
            </w:r>
            <w:r w:rsidR="00DF4A5B" w:rsidRPr="00DD47DF">
              <w:rPr>
                <w:rFonts w:cs="Calibri"/>
                <w:bCs/>
              </w:rPr>
              <w:t xml:space="preserve"> souvisejících se získáváním nových trhů</w:t>
            </w:r>
          </w:p>
          <w:p w14:paraId="0DFF14BE" w14:textId="77777777" w:rsidR="00652335" w:rsidRPr="00DD47DF" w:rsidRDefault="00652335" w:rsidP="0022028B">
            <w:pPr>
              <w:pStyle w:val="Tabulka"/>
              <w:jc w:val="left"/>
              <w:rPr>
                <w:rFonts w:cs="Calibri"/>
                <w:bCs/>
              </w:rPr>
            </w:pPr>
            <w:r w:rsidRPr="00DD47DF">
              <w:rPr>
                <w:rFonts w:cs="Calibri"/>
                <w:bCs/>
                <w:u w:val="single"/>
              </w:rPr>
              <w:t>NIS</w:t>
            </w:r>
            <w:r w:rsidRPr="00DD47DF">
              <w:rPr>
                <w:rFonts w:cs="Calibri"/>
                <w:bCs/>
              </w:rPr>
              <w:t>: Rozvoj špičkových poradenských služeb jako je technolo</w:t>
            </w:r>
            <w:r w:rsidR="001F0603" w:rsidRPr="00DD47DF">
              <w:rPr>
                <w:rFonts w:cs="Calibri"/>
                <w:bCs/>
              </w:rPr>
              <w:t>gický foresight, mentoring, kouč</w:t>
            </w:r>
            <w:r w:rsidRPr="00DD47DF">
              <w:rPr>
                <w:rFonts w:cs="Calibri"/>
                <w:bCs/>
              </w:rPr>
              <w:t>ing, účast na zahraničních veletrzích</w:t>
            </w:r>
          </w:p>
          <w:p w14:paraId="0DCB74EC" w14:textId="77777777" w:rsidR="00A863BB" w:rsidRPr="00DD47DF" w:rsidRDefault="00A863BB" w:rsidP="005F1729">
            <w:pPr>
              <w:pStyle w:val="Tabulka"/>
              <w:jc w:val="left"/>
              <w:rPr>
                <w:rFonts w:cs="Calibri"/>
              </w:rPr>
            </w:pPr>
            <w:r w:rsidRPr="00DD47DF">
              <w:rPr>
                <w:rFonts w:cs="Calibri"/>
                <w:u w:val="single"/>
              </w:rPr>
              <w:t xml:space="preserve">Koncepce podpory </w:t>
            </w:r>
            <w:r w:rsidR="005F1729" w:rsidRPr="00DD47DF">
              <w:rPr>
                <w:rFonts w:cs="Calibri"/>
                <w:u w:val="single"/>
              </w:rPr>
              <w:t>MSP</w:t>
            </w:r>
            <w:r w:rsidRPr="00DD47DF">
              <w:rPr>
                <w:rFonts w:cs="Calibri"/>
              </w:rPr>
              <w:t>:</w:t>
            </w:r>
            <w:r w:rsidR="00E3355D" w:rsidRPr="00DD47DF">
              <w:rPr>
                <w:rFonts w:cs="Calibri"/>
              </w:rPr>
              <w:t xml:space="preserve"> </w:t>
            </w:r>
            <w:r w:rsidR="005F1729" w:rsidRPr="00DD47DF">
              <w:rPr>
                <w:rFonts w:cs="Calibri"/>
              </w:rPr>
              <w:t>N</w:t>
            </w:r>
            <w:r w:rsidR="00E3355D" w:rsidRPr="00DD47DF">
              <w:rPr>
                <w:rFonts w:cs="Calibri"/>
              </w:rPr>
              <w:t xml:space="preserve">abídnout </w:t>
            </w:r>
            <w:r w:rsidR="005F1729" w:rsidRPr="00DD47DF">
              <w:rPr>
                <w:rFonts w:cs="Calibri"/>
              </w:rPr>
              <w:t>MSP</w:t>
            </w:r>
            <w:r w:rsidR="00E3355D" w:rsidRPr="00DD47DF">
              <w:rPr>
                <w:rFonts w:cs="Calibri"/>
              </w:rPr>
              <w:t xml:space="preserve"> </w:t>
            </w:r>
            <w:r w:rsidR="005F1729" w:rsidRPr="00DD47DF">
              <w:rPr>
                <w:rFonts w:cs="Calibri"/>
              </w:rPr>
              <w:t>inovační</w:t>
            </w:r>
            <w:r w:rsidR="00E3355D" w:rsidRPr="00DD47DF">
              <w:rPr>
                <w:rFonts w:cs="Calibri"/>
              </w:rPr>
              <w:t xml:space="preserve"> typ poradenských služeb</w:t>
            </w:r>
            <w:r w:rsidR="005F1729" w:rsidRPr="00DD47DF">
              <w:rPr>
                <w:rFonts w:cs="Calibri"/>
              </w:rPr>
              <w:t xml:space="preserve">, který jim pomůže </w:t>
            </w:r>
            <w:r w:rsidR="00E3355D" w:rsidRPr="00DD47DF">
              <w:rPr>
                <w:rFonts w:cs="Calibri"/>
              </w:rPr>
              <w:t xml:space="preserve">efektivněji vytipovat oblasti, </w:t>
            </w:r>
            <w:r w:rsidR="005F1729" w:rsidRPr="00DD47DF">
              <w:rPr>
                <w:rFonts w:cs="Calibri"/>
              </w:rPr>
              <w:t>v nichž</w:t>
            </w:r>
            <w:r w:rsidR="00E3355D" w:rsidRPr="00DD47DF">
              <w:rPr>
                <w:rFonts w:cs="Calibri"/>
              </w:rPr>
              <w:t xml:space="preserve"> mají potenciál a schopnosti dlouhodob</w:t>
            </w:r>
            <w:bookmarkStart w:id="17" w:name="Temp"/>
            <w:bookmarkEnd w:id="17"/>
            <w:r w:rsidR="00E3355D" w:rsidRPr="00DD47DF">
              <w:rPr>
                <w:rFonts w:cs="Calibri"/>
              </w:rPr>
              <w:t>ě obstát v globální soutěži</w:t>
            </w:r>
            <w:r w:rsidR="005F1729" w:rsidRPr="00DD47DF">
              <w:rPr>
                <w:rFonts w:cs="Calibri"/>
              </w:rPr>
              <w:t>;</w:t>
            </w:r>
            <w:r w:rsidR="00DC5729" w:rsidRPr="00DD47DF">
              <w:rPr>
                <w:rFonts w:cs="Calibri"/>
              </w:rPr>
              <w:t xml:space="preserve"> podpora jejich účasti na specializovaných vele</w:t>
            </w:r>
            <w:r w:rsidR="005F1729" w:rsidRPr="00DD47DF">
              <w:rPr>
                <w:rFonts w:cs="Calibri"/>
              </w:rPr>
              <w:t>trzích a výstavách v zahraničí</w:t>
            </w:r>
          </w:p>
          <w:p w14:paraId="5151488A" w14:textId="77777777" w:rsidR="00AD561F" w:rsidRPr="00DD47DF" w:rsidRDefault="00AD561F" w:rsidP="00AD561F">
            <w:pPr>
              <w:pStyle w:val="Tabulka"/>
              <w:jc w:val="left"/>
              <w:rPr>
                <w:rFonts w:cs="Calibri"/>
                <w:bCs/>
                <w:u w:val="single"/>
              </w:rPr>
            </w:pPr>
            <w:r w:rsidRPr="00DD47DF">
              <w:rPr>
                <w:rFonts w:cs="Calibri"/>
                <w:bCs/>
                <w:u w:val="single"/>
              </w:rPr>
              <w:t>Dohoda o partnerství:</w:t>
            </w:r>
          </w:p>
          <w:p w14:paraId="3658C8ED" w14:textId="77777777" w:rsidR="00AD561F" w:rsidRPr="00DD47DF" w:rsidRDefault="00AD561F" w:rsidP="00AD561F">
            <w:pPr>
              <w:pStyle w:val="Tabulka"/>
              <w:jc w:val="left"/>
              <w:rPr>
                <w:rFonts w:cs="Calibri"/>
                <w:b/>
                <w:bCs/>
              </w:rPr>
            </w:pPr>
            <w:r w:rsidRPr="00DD47DF">
              <w:rPr>
                <w:rFonts w:cs="Calibri"/>
                <w:b/>
                <w:bCs/>
              </w:rPr>
              <w:t>Problémová oblast:</w:t>
            </w:r>
            <w:r w:rsidRPr="00DD47DF">
              <w:rPr>
                <w:rFonts w:cs="Calibri"/>
                <w:bCs/>
              </w:rPr>
              <w:t xml:space="preserve"> Konkurenceschopné podniky</w:t>
            </w:r>
          </w:p>
          <w:p w14:paraId="0720EA11"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Slabý endogenní podnikatelský sektor</w:t>
            </w:r>
          </w:p>
          <w:p w14:paraId="14C049F9" w14:textId="77777777" w:rsidR="00AD561F" w:rsidRPr="00DD47DF" w:rsidRDefault="00AD561F" w:rsidP="00AD561F">
            <w:pPr>
              <w:pStyle w:val="Tabulka"/>
              <w:jc w:val="left"/>
              <w:rPr>
                <w:rFonts w:cs="Calibri"/>
              </w:rPr>
            </w:pPr>
            <w:r w:rsidRPr="00DD47DF">
              <w:rPr>
                <w:rFonts w:cs="Calibri"/>
                <w:b/>
                <w:bCs/>
              </w:rPr>
              <w:t xml:space="preserve">Priorita financování: </w:t>
            </w:r>
            <w:r w:rsidRPr="00DD47DF">
              <w:rPr>
                <w:szCs w:val="24"/>
              </w:rPr>
              <w:t>Podniky využívající výsledků VaV, konkurenceschopné na globálním trhu a přispívající k nízko</w:t>
            </w:r>
            <w:r w:rsidR="00CC45C6" w:rsidRPr="00DD47DF">
              <w:rPr>
                <w:szCs w:val="24"/>
              </w:rPr>
              <w:t>uhlíkovému hospodářství</w:t>
            </w:r>
          </w:p>
        </w:tc>
      </w:tr>
      <w:tr w:rsidR="00A863BB" w:rsidRPr="00DD47DF" w14:paraId="4464D3CE" w14:textId="77777777">
        <w:trPr>
          <w:jc w:val="center"/>
        </w:trPr>
        <w:tc>
          <w:tcPr>
            <w:tcW w:w="567" w:type="pct"/>
            <w:vMerge/>
            <w:shd w:val="clear" w:color="auto" w:fill="B8CCE4"/>
            <w:vAlign w:val="center"/>
          </w:tcPr>
          <w:p w14:paraId="20614DDC" w14:textId="77777777" w:rsidR="00A863BB" w:rsidRPr="00DD47DF" w:rsidRDefault="00A863BB" w:rsidP="0022028B">
            <w:pPr>
              <w:pStyle w:val="Tabulka"/>
              <w:jc w:val="left"/>
              <w:rPr>
                <w:rFonts w:cs="Calibri"/>
              </w:rPr>
            </w:pPr>
          </w:p>
        </w:tc>
        <w:tc>
          <w:tcPr>
            <w:tcW w:w="1441" w:type="pct"/>
            <w:shd w:val="clear" w:color="auto" w:fill="DBE5F1"/>
            <w:vAlign w:val="center"/>
          </w:tcPr>
          <w:p w14:paraId="4FF4C25E" w14:textId="77777777" w:rsidR="00A863BB" w:rsidRPr="00DD47DF" w:rsidRDefault="00B54D2B" w:rsidP="0022028B">
            <w:pPr>
              <w:pStyle w:val="Tabulka"/>
              <w:jc w:val="left"/>
              <w:rPr>
                <w:rFonts w:cs="Calibri"/>
              </w:rPr>
            </w:pPr>
            <w:r w:rsidRPr="00DD47DF">
              <w:rPr>
                <w:rFonts w:cs="Calibri"/>
              </w:rPr>
              <w:t xml:space="preserve">3 c) </w:t>
            </w:r>
            <w:r w:rsidR="002641C7" w:rsidRPr="00DD47DF">
              <w:rPr>
                <w:rFonts w:cs="Calibri"/>
              </w:rPr>
              <w:t>Podpora vytváření a rozšiřování vyspělých</w:t>
            </w:r>
            <w:r w:rsidR="00A863BB" w:rsidRPr="00DD47DF">
              <w:rPr>
                <w:rFonts w:cs="Calibri"/>
              </w:rPr>
              <w:t xml:space="preserve"> kapacit pro rozvoj produktů a služeb</w:t>
            </w:r>
          </w:p>
          <w:p w14:paraId="7BD17AFE" w14:textId="77777777" w:rsidR="00A863BB" w:rsidRPr="00DD47DF" w:rsidRDefault="00A863BB" w:rsidP="0022028B">
            <w:pPr>
              <w:pStyle w:val="Tabulka"/>
              <w:jc w:val="left"/>
              <w:rPr>
                <w:rFonts w:cs="Calibri"/>
              </w:rPr>
            </w:pPr>
          </w:p>
        </w:tc>
        <w:tc>
          <w:tcPr>
            <w:tcW w:w="2992" w:type="pct"/>
            <w:shd w:val="clear" w:color="auto" w:fill="auto"/>
          </w:tcPr>
          <w:p w14:paraId="2E68633A"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4B2B4D" w:rsidRPr="00DD47DF">
              <w:rPr>
                <w:rFonts w:cs="Calibri"/>
                <w:bCs/>
              </w:rPr>
              <w:t>Zlepšení celkového podnikatelského prostředí pro malé a střední podniky prostřednictvím poskytnutí příslušné infrastruktury, modernizace a vylepšení stávajících průmyslových areálů a renovace brownfield</w:t>
            </w:r>
            <w:r w:rsidR="00BF7E1C" w:rsidRPr="00DD47DF">
              <w:rPr>
                <w:rFonts w:cs="Calibri"/>
                <w:bCs/>
              </w:rPr>
              <w:t>ů</w:t>
            </w:r>
            <w:r w:rsidR="0022698D" w:rsidRPr="00DD47DF">
              <w:rPr>
                <w:rFonts w:cs="Calibri"/>
                <w:bCs/>
              </w:rPr>
              <w:t>;</w:t>
            </w:r>
            <w:r w:rsidR="004B2B4D" w:rsidRPr="00DD47DF">
              <w:rPr>
                <w:rFonts w:cs="Calibri"/>
                <w:bCs/>
              </w:rPr>
              <w:t xml:space="preserve"> </w:t>
            </w:r>
            <w:r w:rsidR="0022698D" w:rsidRPr="00DD47DF">
              <w:rPr>
                <w:rFonts w:cs="Calibri"/>
                <w:bCs/>
              </w:rPr>
              <w:t>r</w:t>
            </w:r>
            <w:r w:rsidR="00D63CF5" w:rsidRPr="00DD47DF">
              <w:rPr>
                <w:rFonts w:cs="Calibri"/>
                <w:bCs/>
              </w:rPr>
              <w:t>ozvoj odborného vzdělávání odpovídajícího požada</w:t>
            </w:r>
            <w:r w:rsidR="0022698D" w:rsidRPr="00DD47DF">
              <w:rPr>
                <w:rFonts w:cs="Calibri"/>
                <w:bCs/>
              </w:rPr>
              <w:t>vkům trhu</w:t>
            </w:r>
          </w:p>
          <w:p w14:paraId="75B372C5" w14:textId="77777777" w:rsidR="00F27EC3" w:rsidRPr="00DD47DF" w:rsidRDefault="00F27EC3" w:rsidP="0022028B">
            <w:pPr>
              <w:pStyle w:val="Tabulka"/>
              <w:jc w:val="left"/>
              <w:rPr>
                <w:rFonts w:cs="Calibri"/>
                <w:bCs/>
              </w:rPr>
            </w:pPr>
            <w:r w:rsidRPr="00DD47DF">
              <w:rPr>
                <w:rFonts w:cs="Calibri"/>
                <w:bCs/>
                <w:u w:val="single"/>
              </w:rPr>
              <w:t>SRR</w:t>
            </w:r>
            <w:r w:rsidRPr="00DD47DF">
              <w:rPr>
                <w:rFonts w:cs="Calibri"/>
                <w:bCs/>
              </w:rPr>
              <w:t>: Rozšíření a zkvalitnění různých typů podnikatelské infrastruktury,</w:t>
            </w:r>
            <w:r w:rsidRPr="00DD47DF">
              <w:rPr>
                <w:rFonts w:cs="Calibri"/>
              </w:rPr>
              <w:t xml:space="preserve"> </w:t>
            </w:r>
            <w:r w:rsidRPr="00DD47DF">
              <w:rPr>
                <w:rFonts w:cs="Calibri"/>
                <w:bCs/>
              </w:rPr>
              <w:t xml:space="preserve">revitalizace </w:t>
            </w:r>
            <w:r w:rsidRPr="00DD47DF">
              <w:rPr>
                <w:rFonts w:cs="Calibri"/>
                <w:bCs/>
              </w:rPr>
              <w:lastRenderedPageBreak/>
              <w:t>brow</w:t>
            </w:r>
            <w:r w:rsidR="00BF7E1C" w:rsidRPr="00DD47DF">
              <w:rPr>
                <w:rFonts w:cs="Calibri"/>
                <w:bCs/>
              </w:rPr>
              <w:t>nfieldů</w:t>
            </w:r>
            <w:r w:rsidRPr="00DD47DF">
              <w:rPr>
                <w:rFonts w:cs="Calibri"/>
                <w:bCs/>
              </w:rPr>
              <w:t xml:space="preserve"> pro výrobní aktivity, zapojení zaměstnavatelů do odborného vzdělávání</w:t>
            </w:r>
          </w:p>
          <w:p w14:paraId="0046F372" w14:textId="77777777" w:rsidR="00A863BB" w:rsidRPr="00DD47DF" w:rsidRDefault="0022698D" w:rsidP="0022028B">
            <w:pPr>
              <w:pStyle w:val="Tabulka"/>
              <w:jc w:val="left"/>
              <w:rPr>
                <w:rFonts w:cs="Calibri"/>
                <w:bCs/>
              </w:rPr>
            </w:pPr>
            <w:r w:rsidRPr="00DD47DF">
              <w:rPr>
                <w:rFonts w:cs="Calibri"/>
                <w:u w:val="single"/>
              </w:rPr>
              <w:t>Koncepce podpory MSP</w:t>
            </w:r>
            <w:r w:rsidRPr="00DD47DF">
              <w:rPr>
                <w:rFonts w:cs="Calibri"/>
              </w:rPr>
              <w:t xml:space="preserve">: </w:t>
            </w:r>
            <w:r w:rsidRPr="00DD47DF">
              <w:rPr>
                <w:rFonts w:cs="Calibri"/>
                <w:bCs/>
              </w:rPr>
              <w:t>Rozvoj dalšího profesního vzdělávání zaměstnavatelů a zaměstnanců v MSP; regenerace brownfield</w:t>
            </w:r>
            <w:r w:rsidR="00BF7E1C" w:rsidRPr="00DD47DF">
              <w:rPr>
                <w:rFonts w:cs="Calibri"/>
                <w:bCs/>
              </w:rPr>
              <w:t>ů</w:t>
            </w:r>
            <w:r w:rsidRPr="00DD47DF">
              <w:rPr>
                <w:rFonts w:cs="Calibri"/>
                <w:bCs/>
              </w:rPr>
              <w:t xml:space="preserve"> za účelem další podnikatelské činnosti</w:t>
            </w:r>
          </w:p>
          <w:p w14:paraId="3CF603E7"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45008432"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Konkurenceschopné podniky a částečně Ochrana životního prostředí</w:t>
            </w:r>
          </w:p>
          <w:p w14:paraId="3FDC3AC5"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Slabý endogenní podnikatelský sektor</w:t>
            </w:r>
          </w:p>
          <w:p w14:paraId="7EC771C7" w14:textId="77777777" w:rsidR="00CC45C6" w:rsidRPr="00DD47DF" w:rsidRDefault="00CC45C6" w:rsidP="00CC45C6">
            <w:pPr>
              <w:pStyle w:val="Tabulka"/>
              <w:jc w:val="left"/>
              <w:rPr>
                <w:rFonts w:cs="Calibri"/>
                <w:bCs/>
              </w:rPr>
            </w:pPr>
            <w:r w:rsidRPr="00DD47DF">
              <w:rPr>
                <w:rFonts w:cs="Calibri"/>
                <w:b/>
                <w:bCs/>
              </w:rPr>
              <w:t xml:space="preserve">Priorita financování: </w:t>
            </w:r>
            <w:r w:rsidRPr="00DD47DF">
              <w:rPr>
                <w:szCs w:val="24"/>
              </w:rPr>
              <w:t>Podniky využívající výsledků VaV, konkurenceschopné na globálním trhu a přispívající k nízkouhlíkovému hospodářství</w:t>
            </w:r>
          </w:p>
        </w:tc>
      </w:tr>
      <w:tr w:rsidR="00066396" w:rsidRPr="00DD47DF" w14:paraId="44B8208F" w14:textId="77777777">
        <w:trPr>
          <w:jc w:val="center"/>
        </w:trPr>
        <w:tc>
          <w:tcPr>
            <w:tcW w:w="567" w:type="pct"/>
            <w:vMerge w:val="restart"/>
            <w:shd w:val="clear" w:color="auto" w:fill="B8CCE4"/>
            <w:vAlign w:val="center"/>
          </w:tcPr>
          <w:p w14:paraId="6B1E710E" w14:textId="77777777" w:rsidR="00066396" w:rsidRPr="00DD47DF" w:rsidRDefault="00906900" w:rsidP="0022028B">
            <w:pPr>
              <w:pStyle w:val="Tabulka"/>
              <w:jc w:val="left"/>
              <w:rPr>
                <w:rFonts w:cs="Calibri"/>
              </w:rPr>
            </w:pPr>
            <w:r w:rsidRPr="00DD47DF">
              <w:rPr>
                <w:rFonts w:cs="Calibri"/>
              </w:rPr>
              <w:lastRenderedPageBreak/>
              <w:t>4</w:t>
            </w:r>
            <w:r w:rsidR="00CC5E04" w:rsidRPr="00DD47DF">
              <w:rPr>
                <w:rFonts w:cs="Calibri"/>
              </w:rPr>
              <w:t>)</w:t>
            </w:r>
            <w:r w:rsidRPr="00DD47DF">
              <w:rPr>
                <w:rFonts w:cs="Calibri"/>
              </w:rPr>
              <w:t xml:space="preserve"> </w:t>
            </w:r>
            <w:r w:rsidR="00066396" w:rsidRPr="00DD47DF">
              <w:rPr>
                <w:rFonts w:cs="Calibri"/>
              </w:rPr>
              <w:t>Podpora přechodu na nízkouhlíkové hospodářství ve všech odvětvích</w:t>
            </w:r>
          </w:p>
        </w:tc>
        <w:tc>
          <w:tcPr>
            <w:tcW w:w="1441" w:type="pct"/>
            <w:shd w:val="clear" w:color="auto" w:fill="DBE5F1"/>
            <w:vAlign w:val="center"/>
          </w:tcPr>
          <w:p w14:paraId="09E42385" w14:textId="77777777" w:rsidR="00066396" w:rsidRPr="00DD47DF" w:rsidRDefault="00B54D2B" w:rsidP="0022028B">
            <w:pPr>
              <w:pStyle w:val="Tabulka"/>
              <w:jc w:val="left"/>
              <w:rPr>
                <w:rFonts w:cs="Calibri"/>
              </w:rPr>
            </w:pPr>
            <w:r w:rsidRPr="00DD47DF">
              <w:rPr>
                <w:rFonts w:cs="Calibri"/>
              </w:rPr>
              <w:t xml:space="preserve">4 a) </w:t>
            </w:r>
            <w:r w:rsidR="00AA66A2" w:rsidRPr="00DD47DF">
              <w:rPr>
                <w:rFonts w:cs="Calibri"/>
              </w:rPr>
              <w:t>Podpora výroby a distribuce energie pocházející z obnovitelných zdrojů</w:t>
            </w:r>
          </w:p>
        </w:tc>
        <w:tc>
          <w:tcPr>
            <w:tcW w:w="2992" w:type="pct"/>
            <w:shd w:val="clear" w:color="auto" w:fill="auto"/>
          </w:tcPr>
          <w:p w14:paraId="10335B7E" w14:textId="77777777" w:rsidR="00066396" w:rsidRPr="00DD47DF" w:rsidRDefault="00CC7932" w:rsidP="0022028B">
            <w:pPr>
              <w:pStyle w:val="Tabulka"/>
              <w:jc w:val="left"/>
              <w:rPr>
                <w:rFonts w:cs="Calibri"/>
              </w:rPr>
            </w:pPr>
            <w:r w:rsidRPr="00DD47DF">
              <w:rPr>
                <w:rFonts w:cs="Calibri"/>
                <w:u w:val="single"/>
              </w:rPr>
              <w:t>EU</w:t>
            </w:r>
            <w:r w:rsidR="00066396" w:rsidRPr="00DD47DF">
              <w:rPr>
                <w:rFonts w:cs="Calibri"/>
                <w:u w:val="single"/>
              </w:rPr>
              <w:t xml:space="preserve"> 2020</w:t>
            </w:r>
            <w:r w:rsidR="00066396" w:rsidRPr="00DD47DF">
              <w:rPr>
                <w:rFonts w:cs="Calibri"/>
              </w:rPr>
              <w:t xml:space="preserve">: </w:t>
            </w:r>
            <w:r w:rsidR="0022698D" w:rsidRPr="00DD47DF">
              <w:rPr>
                <w:rFonts w:cs="Calibri"/>
              </w:rPr>
              <w:t>Z</w:t>
            </w:r>
            <w:r w:rsidR="00066396" w:rsidRPr="00DD47DF">
              <w:rPr>
                <w:rFonts w:cs="Calibri"/>
              </w:rPr>
              <w:t>výšit podíl OZE v celkové spotřebě v EU na 20 %</w:t>
            </w:r>
            <w:r w:rsidR="00EF27CE" w:rsidRPr="00DD47DF">
              <w:rPr>
                <w:rFonts w:cs="Calibri"/>
              </w:rPr>
              <w:t xml:space="preserve"> do roku 2020</w:t>
            </w:r>
            <w:r w:rsidR="00652335" w:rsidRPr="00DD47DF">
              <w:rPr>
                <w:rFonts w:cs="Calibri"/>
              </w:rPr>
              <w:t xml:space="preserve">, stěžejní iniciativa </w:t>
            </w:r>
            <w:r w:rsidR="00652335" w:rsidRPr="00DD47DF">
              <w:rPr>
                <w:rFonts w:cs="Calibri"/>
                <w:i/>
              </w:rPr>
              <w:t>Evropa méně náročná na zdroje</w:t>
            </w:r>
          </w:p>
          <w:p w14:paraId="1D49B0C4" w14:textId="77777777" w:rsidR="00066396" w:rsidRPr="00DD47DF" w:rsidRDefault="00CC7932" w:rsidP="0022028B">
            <w:pPr>
              <w:pStyle w:val="Tabulka"/>
              <w:jc w:val="left"/>
              <w:rPr>
                <w:rFonts w:cs="Calibri"/>
                <w:bCs/>
              </w:rPr>
            </w:pPr>
            <w:r w:rsidRPr="00DD47DF">
              <w:rPr>
                <w:rFonts w:cs="Calibri"/>
                <w:bCs/>
                <w:u w:val="single"/>
              </w:rPr>
              <w:t xml:space="preserve">NPR </w:t>
            </w:r>
            <w:r w:rsidR="009648EE" w:rsidRPr="00DD47DF">
              <w:rPr>
                <w:rFonts w:cs="Calibri"/>
                <w:bCs/>
                <w:u w:val="single"/>
              </w:rPr>
              <w:t>201</w:t>
            </w:r>
            <w:r w:rsidR="00C12521" w:rsidRPr="00DD47DF">
              <w:rPr>
                <w:rFonts w:cs="Calibri"/>
                <w:bCs/>
                <w:u w:val="single"/>
              </w:rPr>
              <w:t>4</w:t>
            </w:r>
            <w:r w:rsidR="009648EE" w:rsidRPr="00DD47DF">
              <w:rPr>
                <w:rFonts w:cs="Calibri"/>
                <w:bCs/>
                <w:u w:val="single"/>
              </w:rPr>
              <w:t>:</w:t>
            </w:r>
            <w:r w:rsidR="009648EE" w:rsidRPr="00DD47DF">
              <w:rPr>
                <w:rFonts w:cs="Calibri"/>
                <w:bCs/>
              </w:rPr>
              <w:t xml:space="preserve"> </w:t>
            </w:r>
            <w:r w:rsidR="00FE6CE5" w:rsidRPr="00DD47DF">
              <w:rPr>
                <w:rFonts w:cs="Calibri"/>
                <w:bCs/>
              </w:rPr>
              <w:t>Podpora rozvoje kapacit OZE, využití energetického potenciálu biomasy</w:t>
            </w:r>
          </w:p>
          <w:p w14:paraId="2F0F0753"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CC7932" w:rsidRPr="00DD47DF">
              <w:rPr>
                <w:rFonts w:cs="Calibri"/>
                <w:bCs/>
              </w:rPr>
              <w:t>V</w:t>
            </w:r>
            <w:r w:rsidR="00260981" w:rsidRPr="00DD47DF">
              <w:rPr>
                <w:rFonts w:cs="Calibri"/>
                <w:bCs/>
              </w:rPr>
              <w:t xml:space="preserve">yužívání </w:t>
            </w:r>
            <w:r w:rsidR="00CC7932" w:rsidRPr="00DD47DF">
              <w:rPr>
                <w:rFonts w:cs="Calibri"/>
                <w:bCs/>
              </w:rPr>
              <w:t>OZE</w:t>
            </w:r>
            <w:r w:rsidR="00260981" w:rsidRPr="00DD47DF">
              <w:rPr>
                <w:rFonts w:cs="Calibri"/>
                <w:bCs/>
              </w:rPr>
              <w:t xml:space="preserve"> ve výrobě elektric</w:t>
            </w:r>
            <w:r w:rsidR="00CC7932" w:rsidRPr="00DD47DF">
              <w:rPr>
                <w:rFonts w:cs="Calibri"/>
                <w:bCs/>
              </w:rPr>
              <w:t>ké energie, vytápění a chlazení</w:t>
            </w:r>
          </w:p>
          <w:p w14:paraId="6E98D6DD" w14:textId="77777777" w:rsidR="00066396" w:rsidRPr="00DD47DF" w:rsidRDefault="00066396" w:rsidP="0022028B">
            <w:pPr>
              <w:pStyle w:val="Tabulka"/>
              <w:jc w:val="left"/>
              <w:rPr>
                <w:rFonts w:cs="Calibri"/>
                <w:bCs/>
              </w:rPr>
            </w:pPr>
            <w:r w:rsidRPr="00DD47DF">
              <w:rPr>
                <w:rFonts w:cs="Calibri"/>
                <w:bCs/>
                <w:u w:val="single"/>
              </w:rPr>
              <w:t>S</w:t>
            </w:r>
            <w:r w:rsidR="00EF27CE" w:rsidRPr="00DD47DF">
              <w:rPr>
                <w:rFonts w:cs="Calibri"/>
                <w:bCs/>
                <w:u w:val="single"/>
              </w:rPr>
              <w:t>MK</w:t>
            </w:r>
            <w:r w:rsidRPr="00DD47DF">
              <w:rPr>
                <w:rFonts w:cs="Calibri"/>
                <w:bCs/>
              </w:rPr>
              <w:t xml:space="preserve">: </w:t>
            </w:r>
            <w:r w:rsidR="00CC7932" w:rsidRPr="00DD47DF">
              <w:rPr>
                <w:rFonts w:cs="Calibri"/>
                <w:bCs/>
              </w:rPr>
              <w:t>D</w:t>
            </w:r>
            <w:r w:rsidR="005102BB" w:rsidRPr="00DD47DF">
              <w:rPr>
                <w:rFonts w:cs="Calibri"/>
              </w:rPr>
              <w:t xml:space="preserve">osažení vyváženého energetického mixu, zvýšení využívání </w:t>
            </w:r>
            <w:r w:rsidR="00CC7932" w:rsidRPr="00DD47DF">
              <w:rPr>
                <w:rFonts w:cs="Calibri"/>
              </w:rPr>
              <w:t>OZE</w:t>
            </w:r>
          </w:p>
          <w:p w14:paraId="7877C2B6" w14:textId="77777777" w:rsidR="00066396" w:rsidRPr="00DD47DF" w:rsidRDefault="00066396" w:rsidP="00EF27CE">
            <w:pPr>
              <w:pStyle w:val="Tabulka"/>
              <w:jc w:val="left"/>
              <w:rPr>
                <w:rFonts w:cs="Calibri"/>
              </w:rPr>
            </w:pPr>
            <w:r w:rsidRPr="00DD47DF">
              <w:rPr>
                <w:rFonts w:cs="Calibri"/>
                <w:bCs/>
                <w:u w:val="single"/>
              </w:rPr>
              <w:t xml:space="preserve">Aktualizace </w:t>
            </w:r>
            <w:r w:rsidR="00EF27CE" w:rsidRPr="00DD47DF">
              <w:rPr>
                <w:rFonts w:cs="Calibri"/>
                <w:bCs/>
                <w:u w:val="single"/>
              </w:rPr>
              <w:t>SEK</w:t>
            </w:r>
            <w:r w:rsidRPr="00DD47DF">
              <w:rPr>
                <w:rFonts w:cs="Calibri"/>
                <w:bCs/>
              </w:rPr>
              <w:t xml:space="preserve">: </w:t>
            </w:r>
            <w:r w:rsidR="00EF27CE" w:rsidRPr="00DD47DF">
              <w:rPr>
                <w:rFonts w:cs="Calibri"/>
                <w:bCs/>
              </w:rPr>
              <w:t>R</w:t>
            </w:r>
            <w:r w:rsidR="004611C2" w:rsidRPr="00DD47DF">
              <w:rPr>
                <w:rFonts w:cs="Calibri"/>
              </w:rPr>
              <w:t xml:space="preserve">ozvoj a efektivní využití </w:t>
            </w:r>
            <w:r w:rsidR="00EF27CE" w:rsidRPr="00DD47DF">
              <w:rPr>
                <w:rFonts w:cs="Calibri"/>
              </w:rPr>
              <w:t>OZE</w:t>
            </w:r>
            <w:r w:rsidR="004611C2" w:rsidRPr="00DD47DF">
              <w:rPr>
                <w:rFonts w:cs="Calibri"/>
              </w:rPr>
              <w:t xml:space="preserve"> v souladu s ekonomickými možnostm</w:t>
            </w:r>
            <w:r w:rsidR="00F1702B" w:rsidRPr="00DD47DF">
              <w:rPr>
                <w:rFonts w:cs="Calibri"/>
              </w:rPr>
              <w:t>i</w:t>
            </w:r>
            <w:r w:rsidR="00193331" w:rsidRPr="00DD47DF">
              <w:rPr>
                <w:rFonts w:cs="Calibri"/>
              </w:rPr>
              <w:t xml:space="preserve"> a přírodními geograficko-geologicko-klimatickými podmínkami ČR</w:t>
            </w:r>
            <w:r w:rsidR="00F1702B" w:rsidRPr="00DD47DF">
              <w:rPr>
                <w:rFonts w:cs="Calibri"/>
              </w:rPr>
              <w:t>;</w:t>
            </w:r>
            <w:r w:rsidR="004611C2" w:rsidRPr="00DD47DF">
              <w:rPr>
                <w:rFonts w:cs="Calibri"/>
              </w:rPr>
              <w:t xml:space="preserve"> využít potenciál biomasy</w:t>
            </w:r>
          </w:p>
          <w:p w14:paraId="2575A5A6"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2D608994"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Energetická infrastruktura</w:t>
            </w:r>
          </w:p>
          <w:p w14:paraId="6B8AB60D"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Závislost na neobnovitelných zdrojích energie, nízká orientace na využití obnovitelných zdrojů energie</w:t>
            </w:r>
          </w:p>
          <w:p w14:paraId="4376EEE8" w14:textId="77777777" w:rsidR="00CC45C6" w:rsidRPr="00DD47DF" w:rsidRDefault="00CC45C6" w:rsidP="00CC45C6">
            <w:pPr>
              <w:pStyle w:val="Tabulka"/>
              <w:jc w:val="left"/>
              <w:rPr>
                <w:rFonts w:cs="Calibri"/>
                <w:color w:val="000000"/>
              </w:rPr>
            </w:pPr>
            <w:r w:rsidRPr="00DD47DF">
              <w:rPr>
                <w:rFonts w:cs="Calibri"/>
                <w:b/>
                <w:bCs/>
              </w:rPr>
              <w:t xml:space="preserve">Priorita financování: </w:t>
            </w:r>
            <w:r w:rsidRPr="00DD47DF">
              <w:rPr>
                <w:szCs w:val="24"/>
              </w:rPr>
              <w:t>Udržitelná infrastruktura umožňující konkurenceschopnost ekonomiky a odpovídající obslužnost území</w:t>
            </w:r>
          </w:p>
        </w:tc>
      </w:tr>
      <w:tr w:rsidR="00066396" w:rsidRPr="00DD47DF" w14:paraId="1A2AE137" w14:textId="77777777">
        <w:trPr>
          <w:jc w:val="center"/>
        </w:trPr>
        <w:tc>
          <w:tcPr>
            <w:tcW w:w="567" w:type="pct"/>
            <w:vMerge/>
            <w:shd w:val="clear" w:color="auto" w:fill="B8CCE4"/>
            <w:vAlign w:val="center"/>
          </w:tcPr>
          <w:p w14:paraId="66C5E577" w14:textId="77777777" w:rsidR="00066396" w:rsidRPr="00DD47DF" w:rsidRDefault="00066396" w:rsidP="0022028B">
            <w:pPr>
              <w:pStyle w:val="Tabulka"/>
              <w:jc w:val="left"/>
              <w:rPr>
                <w:rFonts w:cs="Calibri"/>
              </w:rPr>
            </w:pPr>
          </w:p>
        </w:tc>
        <w:tc>
          <w:tcPr>
            <w:tcW w:w="1441" w:type="pct"/>
            <w:shd w:val="clear" w:color="auto" w:fill="DBE5F1"/>
            <w:vAlign w:val="center"/>
          </w:tcPr>
          <w:p w14:paraId="5100E610" w14:textId="77777777" w:rsidR="00066396" w:rsidRPr="00DD47DF" w:rsidRDefault="00B54D2B" w:rsidP="0022028B">
            <w:pPr>
              <w:pStyle w:val="Tabulka"/>
              <w:jc w:val="left"/>
              <w:rPr>
                <w:rFonts w:cs="Calibri"/>
              </w:rPr>
            </w:pPr>
            <w:r w:rsidRPr="00DD47DF">
              <w:rPr>
                <w:rFonts w:cs="Calibri"/>
              </w:rPr>
              <w:t xml:space="preserve">4 b) </w:t>
            </w:r>
            <w:r w:rsidR="00066396" w:rsidRPr="00DD47DF">
              <w:rPr>
                <w:rFonts w:cs="Calibri"/>
              </w:rPr>
              <w:t>Podpora energetické účinnosti a využívání energie z obnovitelných zdrojů v podnicích</w:t>
            </w:r>
          </w:p>
          <w:p w14:paraId="2A86D9DE" w14:textId="77777777" w:rsidR="00066396" w:rsidRPr="00DD47DF" w:rsidRDefault="00066396" w:rsidP="0022028B">
            <w:pPr>
              <w:pStyle w:val="Tabulka"/>
              <w:jc w:val="left"/>
              <w:rPr>
                <w:rFonts w:cs="Calibri"/>
              </w:rPr>
            </w:pPr>
          </w:p>
        </w:tc>
        <w:tc>
          <w:tcPr>
            <w:tcW w:w="2992" w:type="pct"/>
            <w:shd w:val="clear" w:color="auto" w:fill="auto"/>
          </w:tcPr>
          <w:p w14:paraId="1260DC43" w14:textId="77777777" w:rsidR="00066396" w:rsidRPr="00DD47DF" w:rsidRDefault="00EF27CE" w:rsidP="0022028B">
            <w:pPr>
              <w:pStyle w:val="Tabulka"/>
              <w:jc w:val="left"/>
              <w:rPr>
                <w:rFonts w:cs="Calibri"/>
                <w:bCs/>
              </w:rPr>
            </w:pPr>
            <w:r w:rsidRPr="00DD47DF">
              <w:rPr>
                <w:rFonts w:cs="Calibri"/>
                <w:bCs/>
                <w:u w:val="single"/>
              </w:rPr>
              <w:t>EU</w:t>
            </w:r>
            <w:r w:rsidR="00066396" w:rsidRPr="00DD47DF">
              <w:rPr>
                <w:rFonts w:cs="Calibri"/>
                <w:bCs/>
                <w:u w:val="single"/>
              </w:rPr>
              <w:t xml:space="preserve"> 2020</w:t>
            </w:r>
            <w:r w:rsidR="00066396" w:rsidRPr="00DD47DF">
              <w:rPr>
                <w:rFonts w:cs="Calibri"/>
                <w:bCs/>
              </w:rPr>
              <w:t xml:space="preserve">: </w:t>
            </w:r>
            <w:r w:rsidRPr="00DD47DF">
              <w:rPr>
                <w:rFonts w:cs="Calibri"/>
                <w:bCs/>
              </w:rPr>
              <w:t>Z</w:t>
            </w:r>
            <w:r w:rsidR="00066396" w:rsidRPr="00DD47DF">
              <w:rPr>
                <w:rFonts w:cs="Calibri"/>
                <w:bCs/>
              </w:rPr>
              <w:t>výšit energetickou účinnost v EU o 20 %</w:t>
            </w:r>
            <w:r w:rsidRPr="00DD47DF">
              <w:rPr>
                <w:rFonts w:cs="Calibri"/>
                <w:bCs/>
              </w:rPr>
              <w:t xml:space="preserve"> do roku 2020</w:t>
            </w:r>
            <w:r w:rsidR="001C4C18" w:rsidRPr="00DD47DF">
              <w:rPr>
                <w:rFonts w:cs="Calibri"/>
                <w:bCs/>
              </w:rPr>
              <w:t xml:space="preserve">, </w:t>
            </w:r>
            <w:r w:rsidR="001C4C18" w:rsidRPr="00DD47DF">
              <w:rPr>
                <w:rFonts w:cs="Calibri"/>
              </w:rPr>
              <w:t xml:space="preserve">stěžejní iniciativa </w:t>
            </w:r>
            <w:r w:rsidR="001C4C18" w:rsidRPr="00DD47DF">
              <w:rPr>
                <w:rFonts w:cs="Calibri"/>
                <w:i/>
              </w:rPr>
              <w:t>Evropa méně náročná na zdroje</w:t>
            </w:r>
          </w:p>
          <w:p w14:paraId="28EEBC2D" w14:textId="77777777" w:rsidR="00066396" w:rsidRPr="00DD47DF" w:rsidRDefault="009648EE" w:rsidP="0022028B">
            <w:pPr>
              <w:pStyle w:val="Tabulka"/>
              <w:jc w:val="left"/>
              <w:rPr>
                <w:rFonts w:cs="Calibri"/>
                <w:bCs/>
              </w:rPr>
            </w:pPr>
            <w:r w:rsidRPr="00DD47DF">
              <w:rPr>
                <w:rFonts w:cs="Calibri"/>
                <w:bCs/>
                <w:u w:val="single"/>
              </w:rPr>
              <w:t>N</w:t>
            </w:r>
            <w:r w:rsidR="009B50CC" w:rsidRPr="00DD47DF">
              <w:rPr>
                <w:rFonts w:cs="Calibri"/>
                <w:bCs/>
                <w:u w:val="single"/>
              </w:rPr>
              <w:t xml:space="preserve">PR </w:t>
            </w:r>
            <w:r w:rsidRPr="00DD47DF">
              <w:rPr>
                <w:rFonts w:cs="Calibri"/>
                <w:bCs/>
                <w:u w:val="single"/>
              </w:rPr>
              <w:t>2013</w:t>
            </w:r>
            <w:r w:rsidRPr="00DD47DF">
              <w:rPr>
                <w:rFonts w:cs="Calibri"/>
                <w:bCs/>
              </w:rPr>
              <w:t xml:space="preserve">: </w:t>
            </w:r>
            <w:r w:rsidR="009B50CC" w:rsidRPr="00DD47DF">
              <w:rPr>
                <w:rFonts w:cs="Calibri"/>
                <w:bCs/>
              </w:rPr>
              <w:t>Dosažení cíle vyplývajícího z i</w:t>
            </w:r>
            <w:r w:rsidRPr="00DD47DF">
              <w:rPr>
                <w:rFonts w:cs="Calibri"/>
                <w:bCs/>
              </w:rPr>
              <w:t>mplementace směrnice o energetické účinnosti</w:t>
            </w:r>
          </w:p>
          <w:p w14:paraId="69B5C8E9" w14:textId="77777777" w:rsidR="009B50CC"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260981" w:rsidRPr="00DD47DF">
              <w:rPr>
                <w:rFonts w:cs="Calibri"/>
                <w:bCs/>
              </w:rPr>
              <w:t>Zlepšení energetické náročnosti budov zvýšením jejich energetické účinnosti a využívání</w:t>
            </w:r>
            <w:r w:rsidR="009B50CC" w:rsidRPr="00DD47DF">
              <w:rPr>
                <w:rFonts w:cs="Calibri"/>
                <w:bCs/>
              </w:rPr>
              <w:t>m OZE</w:t>
            </w:r>
          </w:p>
          <w:p w14:paraId="7DE9862E" w14:textId="77777777" w:rsidR="00066396" w:rsidRPr="00DD47DF" w:rsidRDefault="00066396" w:rsidP="009B50CC">
            <w:pPr>
              <w:pStyle w:val="Tabulka"/>
              <w:jc w:val="left"/>
              <w:rPr>
                <w:rFonts w:cs="Calibri"/>
                <w:bCs/>
              </w:rPr>
            </w:pPr>
            <w:r w:rsidRPr="00DD47DF">
              <w:rPr>
                <w:rFonts w:cs="Calibri"/>
                <w:bCs/>
                <w:u w:val="single"/>
              </w:rPr>
              <w:t>Aktualizace S</w:t>
            </w:r>
            <w:r w:rsidR="009B50CC" w:rsidRPr="00DD47DF">
              <w:rPr>
                <w:rFonts w:cs="Calibri"/>
                <w:bCs/>
                <w:u w:val="single"/>
              </w:rPr>
              <w:t>EK</w:t>
            </w:r>
            <w:r w:rsidRPr="00DD47DF">
              <w:rPr>
                <w:rFonts w:cs="Calibri"/>
                <w:bCs/>
              </w:rPr>
              <w:t>:</w:t>
            </w:r>
            <w:r w:rsidR="00BA4E72" w:rsidRPr="00DD47DF">
              <w:rPr>
                <w:rFonts w:cs="Calibri"/>
                <w:bCs/>
              </w:rPr>
              <w:t xml:space="preserve"> </w:t>
            </w:r>
            <w:r w:rsidR="00852093" w:rsidRPr="00DD47DF">
              <w:rPr>
                <w:rFonts w:cs="Calibri"/>
                <w:bCs/>
              </w:rPr>
              <w:t xml:space="preserve">Podporovat procesy vedoucí k energetickým úsporám a </w:t>
            </w:r>
            <w:r w:rsidR="0007268F" w:rsidRPr="00DD47DF">
              <w:rPr>
                <w:rFonts w:cs="Calibri"/>
                <w:bCs/>
              </w:rPr>
              <w:t>rekonstrukce zařízení a technologií za úč</w:t>
            </w:r>
            <w:r w:rsidR="009B50CC" w:rsidRPr="00DD47DF">
              <w:rPr>
                <w:rFonts w:cs="Calibri"/>
                <w:bCs/>
              </w:rPr>
              <w:t>elem zvýšení jejich efektivity; p</w:t>
            </w:r>
            <w:r w:rsidR="00852093" w:rsidRPr="00DD47DF">
              <w:rPr>
                <w:rFonts w:cs="Calibri"/>
                <w:bCs/>
              </w:rPr>
              <w:t xml:space="preserve">odporovat zavádění energetického </w:t>
            </w:r>
            <w:r w:rsidR="00852093" w:rsidRPr="00DD47DF">
              <w:rPr>
                <w:rFonts w:cs="Calibri"/>
                <w:bCs/>
              </w:rPr>
              <w:lastRenderedPageBreak/>
              <w:t>managementu a metody EPC ve veř</w:t>
            </w:r>
            <w:r w:rsidR="009B50CC" w:rsidRPr="00DD47DF">
              <w:rPr>
                <w:rFonts w:cs="Calibri"/>
                <w:bCs/>
              </w:rPr>
              <w:t>ejném a podnikatelském sektoru</w:t>
            </w:r>
          </w:p>
          <w:p w14:paraId="02CD965D"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240E26CF"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Konkurenceschopné podniky</w:t>
            </w:r>
          </w:p>
          <w:p w14:paraId="4DF38F72"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Vysoká energetická a surovinová náročnost hospodářství a rostoucí ceny energií</w:t>
            </w:r>
          </w:p>
          <w:p w14:paraId="13D2D465" w14:textId="77777777" w:rsidR="00CC45C6" w:rsidRPr="00DD47DF" w:rsidRDefault="00CC45C6" w:rsidP="00CC45C6">
            <w:pPr>
              <w:pStyle w:val="Tabulka"/>
              <w:jc w:val="left"/>
              <w:rPr>
                <w:rFonts w:cs="Calibri"/>
                <w:bCs/>
              </w:rPr>
            </w:pPr>
            <w:r w:rsidRPr="00DD47DF">
              <w:rPr>
                <w:rFonts w:cs="Calibri"/>
                <w:b/>
                <w:bCs/>
              </w:rPr>
              <w:t xml:space="preserve">Priorita financování: </w:t>
            </w:r>
            <w:r w:rsidRPr="00DD47DF">
              <w:rPr>
                <w:szCs w:val="24"/>
              </w:rPr>
              <w:t>Podniky využívající výsledků VaV, konkurenceschopné na globálním trhu a přispívající k nízkouhlíkovému hospodářství, Udržitelná infrastruktura umožňující konkurenceschopnost ekonomiky a odpovídající obslužnost území</w:t>
            </w:r>
          </w:p>
        </w:tc>
      </w:tr>
      <w:tr w:rsidR="00066396" w:rsidRPr="00DD47DF" w14:paraId="4DD91E30" w14:textId="77777777">
        <w:trPr>
          <w:jc w:val="center"/>
        </w:trPr>
        <w:tc>
          <w:tcPr>
            <w:tcW w:w="567" w:type="pct"/>
            <w:vMerge/>
            <w:shd w:val="clear" w:color="auto" w:fill="auto"/>
            <w:vAlign w:val="center"/>
          </w:tcPr>
          <w:p w14:paraId="7A0EA922" w14:textId="77777777" w:rsidR="00066396" w:rsidRPr="00DD47DF" w:rsidRDefault="00066396" w:rsidP="0022028B">
            <w:pPr>
              <w:pStyle w:val="Tabulka"/>
              <w:jc w:val="left"/>
              <w:rPr>
                <w:rFonts w:cs="Calibri"/>
              </w:rPr>
            </w:pPr>
          </w:p>
        </w:tc>
        <w:tc>
          <w:tcPr>
            <w:tcW w:w="1441" w:type="pct"/>
            <w:shd w:val="clear" w:color="auto" w:fill="DBE5F1"/>
            <w:vAlign w:val="center"/>
          </w:tcPr>
          <w:p w14:paraId="1F7B795C" w14:textId="77777777" w:rsidR="00066396" w:rsidRPr="00DD47DF" w:rsidRDefault="00B54D2B" w:rsidP="0022028B">
            <w:pPr>
              <w:pStyle w:val="Tabulka"/>
              <w:jc w:val="left"/>
              <w:rPr>
                <w:rFonts w:cs="Calibri"/>
              </w:rPr>
            </w:pPr>
            <w:r w:rsidRPr="00DD47DF">
              <w:rPr>
                <w:rFonts w:cs="Calibri"/>
              </w:rPr>
              <w:t xml:space="preserve">4 d) </w:t>
            </w:r>
            <w:r w:rsidR="00AA66A2" w:rsidRPr="00DD47DF">
              <w:rPr>
                <w:rFonts w:cs="Calibri"/>
              </w:rPr>
              <w:t>Rozvoj a zavádění inteligentních distribučních soustav, jež fungují na hladině nízkého a středního napětí</w:t>
            </w:r>
          </w:p>
          <w:p w14:paraId="5EEB8993" w14:textId="77777777" w:rsidR="00066396" w:rsidRPr="00DD47DF" w:rsidRDefault="00066396" w:rsidP="0022028B">
            <w:pPr>
              <w:pStyle w:val="Tabulka"/>
              <w:jc w:val="left"/>
              <w:rPr>
                <w:rFonts w:cs="Calibri"/>
              </w:rPr>
            </w:pPr>
          </w:p>
        </w:tc>
        <w:tc>
          <w:tcPr>
            <w:tcW w:w="2992" w:type="pct"/>
            <w:shd w:val="clear" w:color="auto" w:fill="auto"/>
          </w:tcPr>
          <w:p w14:paraId="0D09AD5D" w14:textId="77777777" w:rsidR="00CC256A"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260981" w:rsidRPr="00DD47DF">
              <w:rPr>
                <w:rFonts w:cs="Calibri"/>
                <w:bCs/>
              </w:rPr>
              <w:t>Podpora dalšího rozvoje distribučních sítí nízkovoltaické elektrické energie, včetně uvedení inteligentních měřičů e</w:t>
            </w:r>
            <w:r w:rsidR="00CC256A" w:rsidRPr="00DD47DF">
              <w:rPr>
                <w:rFonts w:cs="Calibri"/>
                <w:bCs/>
              </w:rPr>
              <w:t>lektrické energie</w:t>
            </w:r>
          </w:p>
          <w:p w14:paraId="474C7DE9" w14:textId="77777777" w:rsidR="00CC256A" w:rsidRPr="00DD47DF" w:rsidRDefault="00CC256A" w:rsidP="0022028B">
            <w:pPr>
              <w:pStyle w:val="Tabulka"/>
              <w:jc w:val="left"/>
              <w:rPr>
                <w:rFonts w:cs="Calibri"/>
                <w:bCs/>
              </w:rPr>
            </w:pPr>
            <w:r w:rsidRPr="00DD47DF">
              <w:rPr>
                <w:rFonts w:cs="Calibri"/>
                <w:bCs/>
                <w:u w:val="single"/>
              </w:rPr>
              <w:t>SMK</w:t>
            </w:r>
            <w:r w:rsidRPr="00DD47DF">
              <w:rPr>
                <w:rFonts w:cs="Calibri"/>
                <w:bCs/>
              </w:rPr>
              <w:t xml:space="preserve">: </w:t>
            </w:r>
            <w:r w:rsidR="009636EC" w:rsidRPr="00DD47DF">
              <w:rPr>
                <w:rFonts w:cs="Calibri"/>
                <w:bCs/>
              </w:rPr>
              <w:t xml:space="preserve">Posílení </w:t>
            </w:r>
            <w:r w:rsidR="009636EC" w:rsidRPr="00DD47DF">
              <w:rPr>
                <w:rFonts w:cs="Calibri"/>
              </w:rPr>
              <w:t>energetické</w:t>
            </w:r>
            <w:r w:rsidR="00F26347" w:rsidRPr="00DD47DF">
              <w:rPr>
                <w:rFonts w:cs="Calibri"/>
              </w:rPr>
              <w:t xml:space="preserve"> bezpečnosti ČR prostřednictvím</w:t>
            </w:r>
            <w:r w:rsidRPr="00DD47DF">
              <w:rPr>
                <w:rFonts w:cs="Calibri"/>
              </w:rPr>
              <w:t xml:space="preserve"> posilování energetických sítí</w:t>
            </w:r>
          </w:p>
          <w:p w14:paraId="5C87252A" w14:textId="77777777" w:rsidR="00066396" w:rsidRPr="00DD47DF" w:rsidRDefault="00066396" w:rsidP="00CC256A">
            <w:pPr>
              <w:pStyle w:val="Tabulka"/>
              <w:jc w:val="left"/>
              <w:rPr>
                <w:rFonts w:cs="Calibri"/>
                <w:bCs/>
              </w:rPr>
            </w:pPr>
            <w:r w:rsidRPr="00DD47DF">
              <w:rPr>
                <w:rFonts w:cs="Calibri"/>
                <w:bCs/>
                <w:u w:val="single"/>
              </w:rPr>
              <w:t xml:space="preserve">Aktualizace </w:t>
            </w:r>
            <w:r w:rsidR="00CC256A" w:rsidRPr="00DD47DF">
              <w:rPr>
                <w:rFonts w:cs="Calibri"/>
                <w:bCs/>
                <w:u w:val="single"/>
              </w:rPr>
              <w:t>SEK</w:t>
            </w:r>
            <w:r w:rsidRPr="00DD47DF">
              <w:rPr>
                <w:rFonts w:cs="Calibri"/>
                <w:bCs/>
              </w:rPr>
              <w:t>:</w:t>
            </w:r>
            <w:r w:rsidR="00BA4E72" w:rsidRPr="00DD47DF">
              <w:rPr>
                <w:rFonts w:cs="Calibri"/>
                <w:bCs/>
              </w:rPr>
              <w:t xml:space="preserve"> </w:t>
            </w:r>
            <w:r w:rsidR="0007268F" w:rsidRPr="00DD47DF">
              <w:rPr>
                <w:rFonts w:cs="Calibri"/>
                <w:bCs/>
              </w:rPr>
              <w:t xml:space="preserve">Zajistit obnovu a rozvoj distribučních soustav včetně </w:t>
            </w:r>
            <w:r w:rsidR="00F26347" w:rsidRPr="00DD47DF">
              <w:rPr>
                <w:rFonts w:cs="Calibri"/>
                <w:bCs/>
              </w:rPr>
              <w:t>nasazení tzv. smart prvků</w:t>
            </w:r>
          </w:p>
          <w:p w14:paraId="47A9AE13" w14:textId="77777777" w:rsidR="00FA6499" w:rsidRPr="00DD47DF" w:rsidRDefault="00FA6499" w:rsidP="00CC45C6">
            <w:pPr>
              <w:pStyle w:val="Tabulka"/>
              <w:jc w:val="left"/>
              <w:rPr>
                <w:rFonts w:cs="Calibri"/>
                <w:b/>
                <w:bCs/>
              </w:rPr>
            </w:pPr>
            <w:r w:rsidRPr="00DD47DF">
              <w:rPr>
                <w:rFonts w:cs="Calibri"/>
                <w:bCs/>
                <w:u w:val="single"/>
              </w:rPr>
              <w:t>Dohoda o partnerství:</w:t>
            </w:r>
          </w:p>
          <w:p w14:paraId="5387E55E"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Energetická infrastruktura</w:t>
            </w:r>
          </w:p>
          <w:p w14:paraId="1F773884"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w:t>
            </w:r>
            <w:r w:rsidR="00050A91" w:rsidRPr="00DD47DF">
              <w:rPr>
                <w:rFonts w:cs="Calibri"/>
                <w:bCs/>
              </w:rPr>
              <w:t>Nedostatečná modernost a kapacita distribučních soustav z pohledu připojení distribuovaných (včetně intermitentních) zdrojů energie, dálkové spotřeby, spolehlivosti provozu a akumulace energie</w:t>
            </w:r>
          </w:p>
          <w:p w14:paraId="3BBFF2F9" w14:textId="77777777" w:rsidR="00CC45C6" w:rsidRPr="00DD47DF" w:rsidRDefault="00CC45C6" w:rsidP="00CC45C6">
            <w:pPr>
              <w:pStyle w:val="Tabulka"/>
              <w:jc w:val="left"/>
              <w:rPr>
                <w:rFonts w:cs="Calibri"/>
              </w:rPr>
            </w:pPr>
            <w:r w:rsidRPr="00DD47DF">
              <w:rPr>
                <w:rFonts w:cs="Calibri"/>
                <w:b/>
                <w:bCs/>
              </w:rPr>
              <w:t>Priorita financování:</w:t>
            </w:r>
            <w:r w:rsidRPr="00DD47DF">
              <w:rPr>
                <w:szCs w:val="24"/>
              </w:rPr>
              <w:t xml:space="preserve"> Udržitelná infrastruktura umožňující konkurenceschopnost ekonomiky a odpovídající obslužnost území</w:t>
            </w:r>
          </w:p>
        </w:tc>
      </w:tr>
      <w:tr w:rsidR="00066396" w:rsidRPr="00DD47DF" w14:paraId="0D43545F" w14:textId="77777777">
        <w:trPr>
          <w:jc w:val="center"/>
        </w:trPr>
        <w:tc>
          <w:tcPr>
            <w:tcW w:w="567" w:type="pct"/>
            <w:vMerge/>
            <w:shd w:val="clear" w:color="auto" w:fill="auto"/>
            <w:vAlign w:val="center"/>
          </w:tcPr>
          <w:p w14:paraId="1D67E836" w14:textId="77777777" w:rsidR="00066396" w:rsidRPr="00DD47DF" w:rsidRDefault="00066396" w:rsidP="0022028B">
            <w:pPr>
              <w:pStyle w:val="Tabulka"/>
              <w:jc w:val="left"/>
              <w:rPr>
                <w:rFonts w:cs="Calibri"/>
              </w:rPr>
            </w:pPr>
          </w:p>
        </w:tc>
        <w:tc>
          <w:tcPr>
            <w:tcW w:w="1441" w:type="pct"/>
            <w:shd w:val="clear" w:color="auto" w:fill="DBE5F1"/>
            <w:vAlign w:val="center"/>
          </w:tcPr>
          <w:p w14:paraId="3644321D" w14:textId="77777777" w:rsidR="00066396" w:rsidRPr="00DD47DF" w:rsidRDefault="00B54D2B" w:rsidP="0022028B">
            <w:pPr>
              <w:pStyle w:val="Tabulka"/>
              <w:jc w:val="left"/>
              <w:rPr>
                <w:rFonts w:cs="Calibri"/>
              </w:rPr>
            </w:pPr>
            <w:r w:rsidRPr="00DD47DF">
              <w:rPr>
                <w:rFonts w:cs="Calibri"/>
              </w:rPr>
              <w:t xml:space="preserve">4 f) </w:t>
            </w:r>
            <w:r w:rsidR="002641C7" w:rsidRPr="00DD47DF">
              <w:rPr>
                <w:rFonts w:cs="Calibri"/>
              </w:rPr>
              <w:t>Podpora výzkumu a inovací a zavádění nízkouhlíkových technologií</w:t>
            </w:r>
          </w:p>
          <w:p w14:paraId="71435BD9" w14:textId="77777777" w:rsidR="00066396" w:rsidRPr="00DD47DF" w:rsidRDefault="00066396" w:rsidP="0022028B">
            <w:pPr>
              <w:pStyle w:val="Tabulka"/>
              <w:jc w:val="left"/>
              <w:rPr>
                <w:rFonts w:cs="Calibri"/>
              </w:rPr>
            </w:pPr>
          </w:p>
        </w:tc>
        <w:tc>
          <w:tcPr>
            <w:tcW w:w="2992" w:type="pct"/>
            <w:shd w:val="clear" w:color="auto" w:fill="auto"/>
          </w:tcPr>
          <w:p w14:paraId="40278174" w14:textId="77777777" w:rsidR="00BA292F" w:rsidRPr="00DD47DF" w:rsidRDefault="00511660" w:rsidP="0022028B">
            <w:pPr>
              <w:pStyle w:val="Tabulka"/>
              <w:jc w:val="left"/>
              <w:rPr>
                <w:rFonts w:cs="Calibri"/>
              </w:rPr>
            </w:pPr>
            <w:r w:rsidRPr="00DD47DF">
              <w:rPr>
                <w:rFonts w:cs="Calibri"/>
                <w:bCs/>
                <w:u w:val="single"/>
              </w:rPr>
              <w:t>N</w:t>
            </w:r>
            <w:r w:rsidR="00BA292F" w:rsidRPr="00DD47DF">
              <w:rPr>
                <w:rFonts w:cs="Calibri"/>
                <w:bCs/>
                <w:u w:val="single"/>
              </w:rPr>
              <w:t>PR</w:t>
            </w:r>
            <w:r w:rsidRPr="00DD47DF">
              <w:rPr>
                <w:rFonts w:cs="Calibri"/>
                <w:bCs/>
                <w:u w:val="single"/>
              </w:rPr>
              <w:t xml:space="preserve"> 201</w:t>
            </w:r>
            <w:r w:rsidR="00C12521" w:rsidRPr="00DD47DF">
              <w:rPr>
                <w:rFonts w:cs="Calibri"/>
                <w:bCs/>
                <w:u w:val="single"/>
              </w:rPr>
              <w:t>4</w:t>
            </w:r>
            <w:r w:rsidRPr="00DD47DF">
              <w:rPr>
                <w:rFonts w:cs="Calibri"/>
                <w:bCs/>
              </w:rPr>
              <w:t>:</w:t>
            </w:r>
            <w:r w:rsidR="008C3E51" w:rsidRPr="00DD47DF">
              <w:rPr>
                <w:rFonts w:cs="Calibri"/>
              </w:rPr>
              <w:t xml:space="preserve"> </w:t>
            </w:r>
            <w:r w:rsidR="00C12521" w:rsidRPr="00DD47DF">
              <w:rPr>
                <w:rFonts w:cs="Calibri"/>
              </w:rPr>
              <w:t>Podpora technologií umožňujících efektivní využívání druhotných surovin</w:t>
            </w:r>
          </w:p>
          <w:p w14:paraId="469E0F17" w14:textId="77777777" w:rsidR="00066396" w:rsidRPr="00DD47DF" w:rsidRDefault="00066396" w:rsidP="0022028B">
            <w:pPr>
              <w:pStyle w:val="Tabulka"/>
              <w:jc w:val="left"/>
              <w:rPr>
                <w:rFonts w:cs="Calibri"/>
                <w:bCs/>
              </w:rPr>
            </w:pPr>
            <w:r w:rsidRPr="00DD47DF">
              <w:rPr>
                <w:rFonts w:cs="Calibri"/>
                <w:bCs/>
                <w:u w:val="single"/>
              </w:rPr>
              <w:t xml:space="preserve">Koncepce podpory </w:t>
            </w:r>
            <w:r w:rsidR="00BA292F" w:rsidRPr="00DD47DF">
              <w:rPr>
                <w:rFonts w:cs="Calibri"/>
                <w:bCs/>
                <w:u w:val="single"/>
              </w:rPr>
              <w:t>MSP</w:t>
            </w:r>
            <w:r w:rsidRPr="00DD47DF">
              <w:rPr>
                <w:rFonts w:cs="Calibri"/>
                <w:bCs/>
              </w:rPr>
              <w:t xml:space="preserve">: </w:t>
            </w:r>
            <w:r w:rsidR="00BA292F" w:rsidRPr="00DD47DF">
              <w:rPr>
                <w:rFonts w:cs="Calibri"/>
                <w:bCs/>
              </w:rPr>
              <w:t>Z</w:t>
            </w:r>
            <w:r w:rsidR="00B33473" w:rsidRPr="00DD47DF">
              <w:rPr>
                <w:rFonts w:cs="Calibri"/>
                <w:bCs/>
              </w:rPr>
              <w:t>avádění inovací v hledán</w:t>
            </w:r>
            <w:r w:rsidR="00BA292F" w:rsidRPr="00DD47DF">
              <w:rPr>
                <w:rFonts w:cs="Calibri"/>
                <w:bCs/>
              </w:rPr>
              <w:t>í nových alternativních zdrojů,</w:t>
            </w:r>
            <w:r w:rsidR="00B33473" w:rsidRPr="00DD47DF">
              <w:rPr>
                <w:rFonts w:cs="Calibri"/>
                <w:bCs/>
              </w:rPr>
              <w:t xml:space="preserve"> v oblasti úspor energie a vyšší</w:t>
            </w:r>
            <w:r w:rsidR="00BA292F" w:rsidRPr="00DD47DF">
              <w:rPr>
                <w:rFonts w:cs="Calibri"/>
                <w:bCs/>
              </w:rPr>
              <w:t>ho využívání druhotných surovin</w:t>
            </w:r>
          </w:p>
          <w:p w14:paraId="38B5B7ED" w14:textId="77777777" w:rsidR="002356D6" w:rsidRPr="00DD47DF" w:rsidRDefault="002356D6" w:rsidP="0022028B">
            <w:pPr>
              <w:pStyle w:val="Tabulka"/>
              <w:jc w:val="left"/>
              <w:rPr>
                <w:rFonts w:cs="Calibri"/>
                <w:bCs/>
              </w:rPr>
            </w:pPr>
            <w:r w:rsidRPr="00DD47DF">
              <w:rPr>
                <w:rFonts w:cs="Calibri"/>
                <w:bCs/>
                <w:u w:val="single"/>
              </w:rPr>
              <w:t>Politika druhotných surovin ČR</w:t>
            </w:r>
            <w:r w:rsidRPr="00DD47DF">
              <w:rPr>
                <w:rFonts w:cs="Calibri"/>
                <w:bCs/>
              </w:rPr>
              <w:t>: Podpořit inovace zabezpečující získávání druhotných surovin v kvalitě vhodné pro další využití v průmyslu a podpořit využívání druhotných surovin jako nástroje pro snižování energetické a materiálové náročnosti průmyslové výroby</w:t>
            </w:r>
          </w:p>
          <w:p w14:paraId="2E5DDF62"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624F75BC"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Konkurenceschopné podniky a částečně Ochrana životního prostředí</w:t>
            </w:r>
          </w:p>
          <w:p w14:paraId="1D64A3E9" w14:textId="77777777" w:rsidR="00CC45C6" w:rsidRPr="00DD47DF" w:rsidRDefault="00CC45C6" w:rsidP="00CC45C6">
            <w:pPr>
              <w:pStyle w:val="Tabulka"/>
              <w:jc w:val="left"/>
              <w:rPr>
                <w:rFonts w:cs="Calibri"/>
                <w:bCs/>
              </w:rPr>
            </w:pPr>
            <w:r w:rsidRPr="00DD47DF">
              <w:rPr>
                <w:rFonts w:cs="Calibri"/>
                <w:b/>
                <w:bCs/>
              </w:rPr>
              <w:lastRenderedPageBreak/>
              <w:t>Identifikované problémy relevantní pro OP PIK:</w:t>
            </w:r>
            <w:r w:rsidRPr="00DD47DF">
              <w:rPr>
                <w:rFonts w:cs="Calibri"/>
                <w:bCs/>
              </w:rPr>
              <w:t xml:space="preserve"> Vysoká energetická a surovinová náročnost hospodářství a rostoucí ceny energií</w:t>
            </w:r>
          </w:p>
          <w:p w14:paraId="38F0E9BA" w14:textId="77777777" w:rsidR="00CC45C6" w:rsidRPr="00DD47DF" w:rsidRDefault="00CC45C6" w:rsidP="00CC45C6">
            <w:pPr>
              <w:pStyle w:val="Tabulka"/>
              <w:jc w:val="left"/>
              <w:rPr>
                <w:rFonts w:cs="Calibri"/>
                <w:color w:val="000000"/>
              </w:rPr>
            </w:pPr>
            <w:r w:rsidRPr="00DD47DF">
              <w:rPr>
                <w:rFonts w:cs="Calibri"/>
                <w:b/>
                <w:bCs/>
              </w:rPr>
              <w:t xml:space="preserve">Priorita financování: </w:t>
            </w:r>
            <w:r w:rsidRPr="00DD47DF">
              <w:rPr>
                <w:szCs w:val="24"/>
              </w:rPr>
              <w:t>Podniky využívající výsledků VaV, konkurenceschopné na globálním trhu a přispívající k nízkouhlíkovému hospodářství, Udržitelná infrastruktura umožňující konkurenceschopnost ekonomiky, Ochrana životního prostředí a krajiny a přizpůsobení se změně klimatu</w:t>
            </w:r>
          </w:p>
        </w:tc>
      </w:tr>
      <w:tr w:rsidR="00066396" w:rsidRPr="00DD47DF" w14:paraId="27760969" w14:textId="77777777">
        <w:trPr>
          <w:jc w:val="center"/>
        </w:trPr>
        <w:tc>
          <w:tcPr>
            <w:tcW w:w="567" w:type="pct"/>
            <w:vMerge/>
            <w:shd w:val="clear" w:color="auto" w:fill="auto"/>
            <w:vAlign w:val="center"/>
          </w:tcPr>
          <w:p w14:paraId="6B088525" w14:textId="77777777" w:rsidR="00066396" w:rsidRPr="00DD47DF" w:rsidRDefault="00066396" w:rsidP="0022028B">
            <w:pPr>
              <w:pStyle w:val="Tabulka"/>
              <w:jc w:val="left"/>
              <w:rPr>
                <w:rFonts w:cs="Calibri"/>
              </w:rPr>
            </w:pPr>
          </w:p>
        </w:tc>
        <w:tc>
          <w:tcPr>
            <w:tcW w:w="1441" w:type="pct"/>
            <w:shd w:val="clear" w:color="auto" w:fill="DBE5F1"/>
            <w:vAlign w:val="center"/>
          </w:tcPr>
          <w:p w14:paraId="40E8C4F7" w14:textId="77777777" w:rsidR="00066396" w:rsidRPr="00DD47DF" w:rsidRDefault="00B54D2B" w:rsidP="0022028B">
            <w:pPr>
              <w:pStyle w:val="Tabulka"/>
              <w:jc w:val="left"/>
              <w:rPr>
                <w:rFonts w:cs="Calibri"/>
              </w:rPr>
            </w:pPr>
            <w:r w:rsidRPr="00DD47DF">
              <w:rPr>
                <w:rFonts w:cs="Calibri"/>
              </w:rPr>
              <w:t xml:space="preserve">4 g) </w:t>
            </w:r>
            <w:r w:rsidR="00066396" w:rsidRPr="00DD47DF">
              <w:rPr>
                <w:rFonts w:cs="Calibri"/>
              </w:rPr>
              <w:t>Podpora využívání vysoce účinné kombinované výroby tepla a elektřiny na základě poptávky po užitečném teple</w:t>
            </w:r>
          </w:p>
          <w:p w14:paraId="3CD9208E" w14:textId="77777777" w:rsidR="00066396" w:rsidRPr="00DD47DF" w:rsidRDefault="00066396" w:rsidP="0022028B">
            <w:pPr>
              <w:pStyle w:val="Tabulka"/>
              <w:jc w:val="left"/>
              <w:rPr>
                <w:rFonts w:cs="Calibri"/>
              </w:rPr>
            </w:pPr>
          </w:p>
        </w:tc>
        <w:tc>
          <w:tcPr>
            <w:tcW w:w="2992" w:type="pct"/>
            <w:shd w:val="clear" w:color="auto" w:fill="auto"/>
          </w:tcPr>
          <w:p w14:paraId="70C2C5D8"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FB134C" w:rsidRPr="00DD47DF">
              <w:rPr>
                <w:rFonts w:cs="Calibri"/>
                <w:bCs/>
              </w:rPr>
              <w:t>Zlepšení</w:t>
            </w:r>
            <w:r w:rsidR="00A1474A" w:rsidRPr="00DD47DF">
              <w:rPr>
                <w:rFonts w:cs="Calibri"/>
                <w:bCs/>
              </w:rPr>
              <w:t xml:space="preserve"> účinnosti místních zařízení pro dálkové vytápění a z</w:t>
            </w:r>
            <w:r w:rsidR="00260981" w:rsidRPr="00DD47DF">
              <w:rPr>
                <w:rFonts w:cs="Calibri"/>
                <w:bCs/>
              </w:rPr>
              <w:t>výšení účinnos</w:t>
            </w:r>
            <w:r w:rsidR="00FB134C" w:rsidRPr="00DD47DF">
              <w:rPr>
                <w:rFonts w:cs="Calibri"/>
                <w:bCs/>
              </w:rPr>
              <w:t>ti distribučních tepelných sítí</w:t>
            </w:r>
          </w:p>
          <w:p w14:paraId="7B2CDCA3" w14:textId="77777777" w:rsidR="00066396" w:rsidRPr="00DD47DF" w:rsidRDefault="00066396" w:rsidP="0022028B">
            <w:pPr>
              <w:pStyle w:val="Tabulka"/>
              <w:jc w:val="left"/>
              <w:rPr>
                <w:rFonts w:cs="Calibri"/>
                <w:bCs/>
              </w:rPr>
            </w:pPr>
            <w:r w:rsidRPr="00DD47DF">
              <w:rPr>
                <w:rFonts w:cs="Calibri"/>
                <w:bCs/>
                <w:u w:val="single"/>
              </w:rPr>
              <w:t xml:space="preserve">Koncepce podpory </w:t>
            </w:r>
            <w:r w:rsidR="00FB134C" w:rsidRPr="00DD47DF">
              <w:rPr>
                <w:rFonts w:cs="Calibri"/>
                <w:bCs/>
                <w:u w:val="single"/>
              </w:rPr>
              <w:t>MSP</w:t>
            </w:r>
            <w:r w:rsidRPr="00DD47DF">
              <w:rPr>
                <w:rFonts w:cs="Calibri"/>
                <w:bCs/>
              </w:rPr>
              <w:t xml:space="preserve">: </w:t>
            </w:r>
            <w:r w:rsidR="00D93658" w:rsidRPr="00DD47DF">
              <w:rPr>
                <w:rFonts w:cs="Calibri"/>
                <w:bCs/>
              </w:rPr>
              <w:t>Z</w:t>
            </w:r>
            <w:r w:rsidR="00B33473" w:rsidRPr="00DD47DF">
              <w:rPr>
                <w:rFonts w:cs="Calibri"/>
                <w:bCs/>
              </w:rPr>
              <w:t>vyšování energetické účinnosti zaváděním kombinované výroby elektřiny a tepla</w:t>
            </w:r>
            <w:r w:rsidR="00D93658" w:rsidRPr="00DD47DF">
              <w:rPr>
                <w:rFonts w:cs="Calibri"/>
                <w:bCs/>
              </w:rPr>
              <w:t>;</w:t>
            </w:r>
            <w:r w:rsidR="00B33473" w:rsidRPr="00DD47DF">
              <w:rPr>
                <w:rFonts w:cs="Calibri"/>
                <w:bCs/>
              </w:rPr>
              <w:t xml:space="preserve"> </w:t>
            </w:r>
            <w:r w:rsidR="00D846F4" w:rsidRPr="00DD47DF">
              <w:rPr>
                <w:rFonts w:cs="Calibri"/>
                <w:bCs/>
              </w:rPr>
              <w:t>modernizace, rekonstrukce a sn</w:t>
            </w:r>
            <w:r w:rsidR="00D93658" w:rsidRPr="00DD47DF">
              <w:rPr>
                <w:rFonts w:cs="Calibri"/>
                <w:bCs/>
              </w:rPr>
              <w:t>ižování ztrát v rozvodech tepla</w:t>
            </w:r>
          </w:p>
          <w:p w14:paraId="03194C15" w14:textId="77777777" w:rsidR="00066396" w:rsidRPr="00DD47DF" w:rsidRDefault="00066396" w:rsidP="00FB134C">
            <w:pPr>
              <w:pStyle w:val="Tabulka"/>
              <w:jc w:val="left"/>
              <w:rPr>
                <w:rFonts w:cs="Calibri"/>
                <w:bCs/>
              </w:rPr>
            </w:pPr>
            <w:r w:rsidRPr="00DD47DF">
              <w:rPr>
                <w:rFonts w:cs="Calibri"/>
                <w:bCs/>
                <w:u w:val="single"/>
              </w:rPr>
              <w:t xml:space="preserve">Aktualizace </w:t>
            </w:r>
            <w:r w:rsidR="00FB134C" w:rsidRPr="00DD47DF">
              <w:rPr>
                <w:rFonts w:cs="Calibri"/>
                <w:bCs/>
                <w:u w:val="single"/>
              </w:rPr>
              <w:t>SEK</w:t>
            </w:r>
            <w:r w:rsidRPr="00DD47DF">
              <w:rPr>
                <w:rFonts w:cs="Calibri"/>
                <w:bCs/>
              </w:rPr>
              <w:t>:</w:t>
            </w:r>
            <w:r w:rsidR="006A7841" w:rsidRPr="00DD47DF">
              <w:rPr>
                <w:rFonts w:cs="Calibri"/>
                <w:bCs/>
              </w:rPr>
              <w:t xml:space="preserve"> </w:t>
            </w:r>
            <w:r w:rsidR="00852093" w:rsidRPr="00DD47DF">
              <w:rPr>
                <w:rFonts w:cs="Calibri"/>
                <w:bCs/>
              </w:rPr>
              <w:t>Dlouhodobě udržet rozsah soustav zásobování teplem</w:t>
            </w:r>
            <w:r w:rsidR="00FB134C" w:rsidRPr="00DD47DF">
              <w:rPr>
                <w:rFonts w:cs="Calibri"/>
                <w:bCs/>
              </w:rPr>
              <w:t>; p</w:t>
            </w:r>
            <w:r w:rsidR="00852093" w:rsidRPr="00DD47DF">
              <w:rPr>
                <w:rFonts w:cs="Calibri"/>
                <w:bCs/>
              </w:rPr>
              <w:t xml:space="preserve">odporovat vysoce účinnou kogenerační výrobu </w:t>
            </w:r>
            <w:r w:rsidR="006A7841" w:rsidRPr="00DD47DF">
              <w:rPr>
                <w:rFonts w:cs="Calibri"/>
                <w:bCs/>
              </w:rPr>
              <w:t>s efektivním využitím tepelných čerpadel a související sn</w:t>
            </w:r>
            <w:r w:rsidR="00FB134C" w:rsidRPr="00DD47DF">
              <w:rPr>
                <w:rFonts w:cs="Calibri"/>
                <w:bCs/>
              </w:rPr>
              <w:t>ížení ztrát v distribuci tepla</w:t>
            </w:r>
          </w:p>
          <w:p w14:paraId="7C8886A2"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1CA20039"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Energetická infrastruktura</w:t>
            </w:r>
          </w:p>
          <w:p w14:paraId="0DEF4F92"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Vysoký podíl ztrát tepelné energie v tepelných rozvodných zařízeních a nevyužitý potenciál kombinované výroby elektřiny a tepla</w:t>
            </w:r>
          </w:p>
          <w:p w14:paraId="30CC44BE" w14:textId="77777777" w:rsidR="00CC45C6" w:rsidRPr="00DD47DF" w:rsidRDefault="00CC45C6" w:rsidP="00CC45C6">
            <w:pPr>
              <w:pStyle w:val="Tabulka"/>
              <w:jc w:val="left"/>
              <w:rPr>
                <w:rFonts w:cs="Calibri"/>
                <w:color w:val="000000"/>
              </w:rPr>
            </w:pPr>
            <w:r w:rsidRPr="00DD47DF">
              <w:rPr>
                <w:rFonts w:cs="Calibri"/>
                <w:b/>
                <w:bCs/>
              </w:rPr>
              <w:t>Priorita financování:</w:t>
            </w:r>
            <w:r w:rsidRPr="00DD47DF">
              <w:rPr>
                <w:szCs w:val="24"/>
              </w:rPr>
              <w:t xml:space="preserve"> Udržitelná infrastruktura umožňující konkurenceschopnost ekonomiky a odpovídající obslužnost území</w:t>
            </w:r>
          </w:p>
        </w:tc>
      </w:tr>
      <w:tr w:rsidR="00DB5E8B" w:rsidRPr="00DD47DF" w14:paraId="5A64AAE5" w14:textId="77777777">
        <w:trPr>
          <w:jc w:val="center"/>
        </w:trPr>
        <w:tc>
          <w:tcPr>
            <w:tcW w:w="567" w:type="pct"/>
            <w:shd w:val="clear" w:color="auto" w:fill="B8CCE4"/>
            <w:vAlign w:val="center"/>
          </w:tcPr>
          <w:p w14:paraId="7653D98F" w14:textId="77777777" w:rsidR="00DB5E8B" w:rsidRPr="00DD47DF" w:rsidRDefault="00DB5E8B" w:rsidP="0022028B">
            <w:pPr>
              <w:pStyle w:val="Tabulka"/>
              <w:jc w:val="left"/>
              <w:rPr>
                <w:rFonts w:cs="Calibri"/>
              </w:rPr>
            </w:pPr>
            <w:r w:rsidRPr="00DD47DF">
              <w:rPr>
                <w:rFonts w:cs="Calibri"/>
              </w:rPr>
              <w:t>7</w:t>
            </w:r>
            <w:r w:rsidR="00CC5E04" w:rsidRPr="00DD47DF">
              <w:rPr>
                <w:rFonts w:cs="Calibri"/>
              </w:rPr>
              <w:t>)</w:t>
            </w:r>
            <w:r w:rsidRPr="00DD47DF">
              <w:rPr>
                <w:rFonts w:cs="Calibri"/>
              </w:rPr>
              <w:t xml:space="preserve"> Podpora udržitelné dopravy a odstraňování překážek v klíčových síťových infrastrukturách</w:t>
            </w:r>
          </w:p>
        </w:tc>
        <w:tc>
          <w:tcPr>
            <w:tcW w:w="1441" w:type="pct"/>
            <w:shd w:val="clear" w:color="auto" w:fill="DBE5F1"/>
            <w:vAlign w:val="center"/>
          </w:tcPr>
          <w:p w14:paraId="09CE29AE" w14:textId="77777777" w:rsidR="00DB5E8B" w:rsidRPr="00DD47DF" w:rsidRDefault="00B54D2B" w:rsidP="0022028B">
            <w:pPr>
              <w:pStyle w:val="Tabulka"/>
              <w:jc w:val="left"/>
              <w:rPr>
                <w:rFonts w:cs="Calibri"/>
              </w:rPr>
            </w:pPr>
            <w:r w:rsidRPr="00DD47DF">
              <w:rPr>
                <w:rFonts w:cs="Calibri"/>
              </w:rPr>
              <w:t xml:space="preserve">7 e) </w:t>
            </w:r>
            <w:r w:rsidR="00DB5E8B" w:rsidRPr="00DD47DF">
              <w:rPr>
                <w:rFonts w:cs="Calibri"/>
              </w:rPr>
              <w:t>Zvyšování energetické účinnosti a zabezpečení dodávek prostřednictvím rozvoje inteligentních systémů pro distribuci, skladování a přenos energie a prostřednictvím integrace distribuované výroby z obnovitelných zdrojů</w:t>
            </w:r>
          </w:p>
        </w:tc>
        <w:tc>
          <w:tcPr>
            <w:tcW w:w="2992" w:type="pct"/>
            <w:shd w:val="clear" w:color="auto" w:fill="auto"/>
          </w:tcPr>
          <w:p w14:paraId="4521ACE3" w14:textId="77777777" w:rsidR="00DB5E8B" w:rsidRPr="00DD47DF" w:rsidRDefault="00DB5E8B" w:rsidP="00DB5E8B">
            <w:pPr>
              <w:pStyle w:val="Tabulka"/>
              <w:jc w:val="left"/>
              <w:rPr>
                <w:rFonts w:cs="Calibri"/>
                <w:bCs/>
              </w:rPr>
            </w:pPr>
            <w:r w:rsidRPr="00DD47DF">
              <w:rPr>
                <w:rFonts w:cs="Calibri"/>
                <w:bCs/>
                <w:u w:val="single"/>
              </w:rPr>
              <w:t>NPR 201</w:t>
            </w:r>
            <w:r w:rsidR="00C12521" w:rsidRPr="00DD47DF">
              <w:rPr>
                <w:rFonts w:cs="Calibri"/>
                <w:bCs/>
                <w:u w:val="single"/>
              </w:rPr>
              <w:t>4</w:t>
            </w:r>
            <w:r w:rsidRPr="00DD47DF">
              <w:rPr>
                <w:rFonts w:cs="Calibri"/>
                <w:bCs/>
              </w:rPr>
              <w:t>:</w:t>
            </w:r>
            <w:r w:rsidRPr="00DD47DF">
              <w:rPr>
                <w:rFonts w:cs="Calibri"/>
              </w:rPr>
              <w:t xml:space="preserve"> </w:t>
            </w:r>
            <w:r w:rsidR="00050A91" w:rsidRPr="00DD47DF">
              <w:rPr>
                <w:rFonts w:cs="Calibri"/>
              </w:rPr>
              <w:t>Posílení kapacity přenosových sítí</w:t>
            </w:r>
          </w:p>
          <w:p w14:paraId="37F24E8A" w14:textId="77777777" w:rsidR="00DB5E8B" w:rsidRPr="00DD47DF" w:rsidRDefault="00DB5E8B" w:rsidP="00DB5E8B">
            <w:pPr>
              <w:pStyle w:val="Tabulka"/>
              <w:jc w:val="left"/>
              <w:rPr>
                <w:rFonts w:cs="Calibri"/>
              </w:rPr>
            </w:pPr>
            <w:r w:rsidRPr="00DD47DF">
              <w:rPr>
                <w:rFonts w:cs="Calibri"/>
                <w:bCs/>
                <w:u w:val="single"/>
              </w:rPr>
              <w:t>SMK</w:t>
            </w:r>
            <w:r w:rsidRPr="00DD47DF">
              <w:rPr>
                <w:rFonts w:cs="Calibri"/>
                <w:bCs/>
              </w:rPr>
              <w:t xml:space="preserve">: Posílení </w:t>
            </w:r>
            <w:r w:rsidRPr="00DD47DF">
              <w:rPr>
                <w:rFonts w:cs="Calibri"/>
              </w:rPr>
              <w:t>energetické bezpečnosti ČR, opatření v oblasti výstavby zálohových zdrojů, posilování energetických sítí</w:t>
            </w:r>
          </w:p>
          <w:p w14:paraId="65BBE84F" w14:textId="77777777" w:rsidR="00F26347" w:rsidRPr="00DD47DF" w:rsidRDefault="00F26347" w:rsidP="00F26347">
            <w:pPr>
              <w:pStyle w:val="Tabulka"/>
              <w:jc w:val="left"/>
              <w:rPr>
                <w:rFonts w:cs="Calibri"/>
              </w:rPr>
            </w:pPr>
            <w:r w:rsidRPr="00DD47DF">
              <w:rPr>
                <w:rFonts w:cs="Calibri"/>
                <w:u w:val="single"/>
              </w:rPr>
              <w:t>SRR</w:t>
            </w:r>
            <w:r w:rsidRPr="00DD47DF">
              <w:rPr>
                <w:rFonts w:cs="Calibri"/>
              </w:rPr>
              <w:t xml:space="preserve">: </w:t>
            </w:r>
            <w:r w:rsidR="00FA6499" w:rsidRPr="00DD47DF">
              <w:rPr>
                <w:rFonts w:cs="Calibri"/>
              </w:rPr>
              <w:t>M</w:t>
            </w:r>
            <w:r w:rsidRPr="00DD47DF">
              <w:rPr>
                <w:rFonts w:cs="Calibri"/>
              </w:rPr>
              <w:t>odernizace energetických sítí a zajištění bezpečnosti dodávek energií vzhledem k </w:t>
            </w:r>
            <w:r w:rsidR="007419E7" w:rsidRPr="00DD47DF">
              <w:rPr>
                <w:rFonts w:cs="Calibri"/>
              </w:rPr>
              <w:t>nárůstu</w:t>
            </w:r>
            <w:r w:rsidRPr="00DD47DF">
              <w:rPr>
                <w:rFonts w:cs="Calibri"/>
              </w:rPr>
              <w:t xml:space="preserve"> nárok</w:t>
            </w:r>
            <w:r w:rsidR="007419E7" w:rsidRPr="00DD47DF">
              <w:rPr>
                <w:rFonts w:cs="Calibri"/>
              </w:rPr>
              <w:t>ů</w:t>
            </w:r>
            <w:r w:rsidRPr="00DD47DF">
              <w:rPr>
                <w:rFonts w:cs="Calibri"/>
              </w:rPr>
              <w:t xml:space="preserve"> na přenosovou soustavu v důsledku rozvoje OZE v </w:t>
            </w:r>
            <w:r w:rsidR="00FA6499" w:rsidRPr="00DD47DF">
              <w:rPr>
                <w:rFonts w:cs="Calibri"/>
              </w:rPr>
              <w:t>Německu</w:t>
            </w:r>
          </w:p>
          <w:p w14:paraId="74CC1947" w14:textId="77777777" w:rsidR="00DB5E8B" w:rsidRPr="00DD47DF" w:rsidRDefault="00DB5E8B" w:rsidP="00F26347">
            <w:pPr>
              <w:pStyle w:val="Tabulka"/>
              <w:jc w:val="left"/>
              <w:rPr>
                <w:rFonts w:cs="Calibri"/>
                <w:bCs/>
              </w:rPr>
            </w:pPr>
            <w:r w:rsidRPr="00DD47DF">
              <w:rPr>
                <w:rFonts w:cs="Calibri"/>
                <w:bCs/>
                <w:u w:val="single"/>
              </w:rPr>
              <w:t>Aktualizace SEK</w:t>
            </w:r>
            <w:r w:rsidRPr="00DD47DF">
              <w:rPr>
                <w:rFonts w:cs="Calibri"/>
                <w:bCs/>
              </w:rPr>
              <w:t>:</w:t>
            </w:r>
            <w:r w:rsidR="00BA4E72" w:rsidRPr="00DD47DF">
              <w:rPr>
                <w:rFonts w:cs="Calibri"/>
                <w:bCs/>
              </w:rPr>
              <w:t xml:space="preserve"> </w:t>
            </w:r>
            <w:r w:rsidR="00F26347" w:rsidRPr="00DD47DF">
              <w:rPr>
                <w:rFonts w:cs="Calibri"/>
                <w:bCs/>
              </w:rPr>
              <w:t>Obnova a modernizace přenosové soustavy a zvyšování její odolnosti při vzniku krizových situací, zajištění</w:t>
            </w:r>
            <w:r w:rsidRPr="00DD47DF">
              <w:rPr>
                <w:rFonts w:cs="Calibri"/>
                <w:bCs/>
              </w:rPr>
              <w:t xml:space="preserve"> připravenost</w:t>
            </w:r>
            <w:r w:rsidR="00F26347" w:rsidRPr="00DD47DF">
              <w:rPr>
                <w:rFonts w:cs="Calibri"/>
                <w:bCs/>
              </w:rPr>
              <w:t>i</w:t>
            </w:r>
            <w:r w:rsidRPr="00DD47DF">
              <w:rPr>
                <w:rFonts w:cs="Calibri"/>
                <w:bCs/>
              </w:rPr>
              <w:t xml:space="preserve"> přenosové soustavy k připojení nových výrobních kapacit</w:t>
            </w:r>
          </w:p>
          <w:p w14:paraId="54F2BF4A" w14:textId="77777777" w:rsidR="00FA6499" w:rsidRPr="00DD47DF" w:rsidRDefault="00FA6499" w:rsidP="00DB5E8B">
            <w:pPr>
              <w:pStyle w:val="Tabulka"/>
              <w:jc w:val="left"/>
              <w:rPr>
                <w:rFonts w:cs="Calibri"/>
                <w:b/>
                <w:bCs/>
              </w:rPr>
            </w:pPr>
            <w:r w:rsidRPr="00DD47DF">
              <w:rPr>
                <w:rFonts w:cs="Calibri"/>
                <w:bCs/>
                <w:u w:val="single"/>
              </w:rPr>
              <w:t>Dohoda o partnerství:</w:t>
            </w:r>
          </w:p>
          <w:p w14:paraId="7FA15584" w14:textId="77777777" w:rsidR="00DB5E8B" w:rsidRPr="00DD47DF" w:rsidRDefault="00DB5E8B" w:rsidP="00DB5E8B">
            <w:pPr>
              <w:pStyle w:val="Tabulka"/>
              <w:jc w:val="left"/>
              <w:rPr>
                <w:rFonts w:cs="Calibri"/>
                <w:b/>
                <w:bCs/>
              </w:rPr>
            </w:pPr>
            <w:r w:rsidRPr="00DD47DF">
              <w:rPr>
                <w:rFonts w:cs="Calibri"/>
                <w:b/>
                <w:bCs/>
              </w:rPr>
              <w:t>Problémová oblast:</w:t>
            </w:r>
            <w:r w:rsidRPr="00DD47DF">
              <w:rPr>
                <w:rFonts w:cs="Calibri"/>
                <w:bCs/>
              </w:rPr>
              <w:t xml:space="preserve"> Energetická infrastruktura</w:t>
            </w:r>
          </w:p>
          <w:p w14:paraId="6B5AAEC6" w14:textId="77777777" w:rsidR="00DB5E8B" w:rsidRPr="00DD47DF" w:rsidRDefault="00DB5E8B" w:rsidP="00DB5E8B">
            <w:pPr>
              <w:pStyle w:val="Tabulka"/>
              <w:jc w:val="left"/>
              <w:rPr>
                <w:rFonts w:cs="Calibri"/>
                <w:bCs/>
              </w:rPr>
            </w:pPr>
            <w:r w:rsidRPr="00DD47DF">
              <w:rPr>
                <w:rFonts w:cs="Calibri"/>
                <w:b/>
                <w:bCs/>
              </w:rPr>
              <w:lastRenderedPageBreak/>
              <w:t>Identifikované problémy relevantní pro OP PIK:</w:t>
            </w:r>
            <w:r w:rsidRPr="00DD47DF">
              <w:rPr>
                <w:rFonts w:cs="Calibri"/>
                <w:bCs/>
              </w:rPr>
              <w:t xml:space="preserve"> Nedostatečná modernost a kapacita přenosové soustavy </w:t>
            </w:r>
            <w:r w:rsidR="00050A91" w:rsidRPr="00DD47DF">
              <w:rPr>
                <w:rFonts w:cs="Calibri"/>
                <w:bCs/>
              </w:rPr>
              <w:t>zajišťující nárůst spotřeby, připojení nových zdrojů a tranzitní nároky na přenosovou soustavu v ČR ve směru sever – jih, garantující bezpečnost, odolnost a spolehlivost provozu na současné úrovni</w:t>
            </w:r>
          </w:p>
          <w:p w14:paraId="10EFCBA8" w14:textId="77777777" w:rsidR="00DB5E8B" w:rsidRPr="00DD47DF" w:rsidRDefault="00DB5E8B" w:rsidP="00DB5E8B">
            <w:pPr>
              <w:pStyle w:val="Tabulka"/>
              <w:jc w:val="left"/>
              <w:rPr>
                <w:rFonts w:cs="Calibri"/>
                <w:bCs/>
                <w:u w:val="single"/>
              </w:rPr>
            </w:pPr>
            <w:r w:rsidRPr="00DD47DF">
              <w:rPr>
                <w:rFonts w:cs="Calibri"/>
                <w:b/>
                <w:bCs/>
              </w:rPr>
              <w:t>Priorita financování:</w:t>
            </w:r>
            <w:r w:rsidRPr="00DD47DF">
              <w:rPr>
                <w:szCs w:val="24"/>
              </w:rPr>
              <w:t xml:space="preserve"> Udržitelná infrastruktura umožňující konkurenceschopnost ekonomiky a odpovídající obslužnost území</w:t>
            </w:r>
          </w:p>
        </w:tc>
      </w:tr>
    </w:tbl>
    <w:p w14:paraId="62FCFC3D" w14:textId="77777777" w:rsidR="00297A5A" w:rsidRPr="00DD47DF" w:rsidRDefault="00066396" w:rsidP="00906900">
      <w:pPr>
        <w:pStyle w:val="Standardntext"/>
        <w:spacing w:before="120"/>
        <w:sectPr w:rsidR="00297A5A" w:rsidRPr="00DD47DF" w:rsidSect="00E963F0">
          <w:headerReference w:type="default" r:id="rId23"/>
          <w:footerReference w:type="default" r:id="rId24"/>
          <w:pgSz w:w="16838" w:h="11906" w:orient="landscape" w:code="9"/>
          <w:pgMar w:top="1418" w:right="1418" w:bottom="1276" w:left="1276" w:header="709" w:footer="709" w:gutter="0"/>
          <w:cols w:space="708"/>
          <w:docGrid w:linePitch="272"/>
        </w:sectPr>
      </w:pPr>
      <w:r w:rsidRPr="00DD47DF">
        <w:rPr>
          <w:b/>
        </w:rPr>
        <w:lastRenderedPageBreak/>
        <w:t>Pozn.:</w:t>
      </w:r>
      <w:r w:rsidRPr="00DD47DF">
        <w:t xml:space="preserve"> </w:t>
      </w:r>
      <w:r w:rsidR="00981FDB" w:rsidRPr="00DD47DF">
        <w:t>Znění tematických cílů</w:t>
      </w:r>
      <w:r w:rsidRPr="00DD47DF">
        <w:t xml:space="preserve"> dle čl. 9 </w:t>
      </w:r>
      <w:r w:rsidR="00981FDB" w:rsidRPr="00DD47DF">
        <w:t>obecného nařízení a investičních priorit</w:t>
      </w:r>
      <w:r w:rsidRPr="00DD47DF">
        <w:t xml:space="preserve"> dle čl. 5 </w:t>
      </w:r>
      <w:r w:rsidR="00A30521" w:rsidRPr="00DD47DF">
        <w:t xml:space="preserve">nařízení </w:t>
      </w:r>
      <w:r w:rsidR="00BF360E" w:rsidRPr="00DD47DF">
        <w:t>o</w:t>
      </w:r>
      <w:r w:rsidR="0017188B" w:rsidRPr="00DD47DF">
        <w:t> </w:t>
      </w:r>
      <w:r w:rsidR="0059287E" w:rsidRPr="00DD47DF">
        <w:t>EFRR</w:t>
      </w:r>
      <w:r w:rsidRPr="00DD47DF">
        <w:t>.</w:t>
      </w:r>
    </w:p>
    <w:p w14:paraId="1E65A354" w14:textId="77777777" w:rsidR="00DD0FDA" w:rsidRPr="00DD47DF" w:rsidRDefault="006271CC" w:rsidP="009C7BE0">
      <w:pPr>
        <w:pStyle w:val="Nadpis2"/>
        <w:spacing w:line="240" w:lineRule="auto"/>
        <w:rPr>
          <w:rFonts w:cs="Calibri"/>
        </w:rPr>
      </w:pPr>
      <w:bookmarkStart w:id="18" w:name="_Toc351464354"/>
      <w:bookmarkStart w:id="19" w:name="_Toc506884974"/>
      <w:r w:rsidRPr="00DD47DF">
        <w:rPr>
          <w:rFonts w:cs="Calibri"/>
        </w:rPr>
        <w:lastRenderedPageBreak/>
        <w:t>O</w:t>
      </w:r>
      <w:r w:rsidR="001E2583" w:rsidRPr="00DD47DF">
        <w:rPr>
          <w:rFonts w:cs="Calibri"/>
        </w:rPr>
        <w:t xml:space="preserve">důvodnění </w:t>
      </w:r>
      <w:r w:rsidRPr="00DD47DF">
        <w:rPr>
          <w:rFonts w:cs="Calibri"/>
        </w:rPr>
        <w:t xml:space="preserve">přidělení </w:t>
      </w:r>
      <w:r w:rsidR="001E2583" w:rsidRPr="00DD47DF">
        <w:rPr>
          <w:rFonts w:cs="Calibri"/>
        </w:rPr>
        <w:t>finančních alokací</w:t>
      </w:r>
      <w:bookmarkEnd w:id="18"/>
      <w:bookmarkEnd w:id="19"/>
      <w:r w:rsidR="001E2583" w:rsidRPr="00DD47DF">
        <w:rPr>
          <w:rFonts w:cs="Calibri"/>
        </w:rPr>
        <w:t xml:space="preserve"> </w:t>
      </w:r>
    </w:p>
    <w:p w14:paraId="3C3787F6" w14:textId="77777777" w:rsidR="00BE7303" w:rsidRPr="00DD47DF" w:rsidRDefault="00BE7303" w:rsidP="00BE7303">
      <w:pPr>
        <w:pStyle w:val="Standardntext"/>
      </w:pPr>
      <w:r w:rsidRPr="00DD47DF">
        <w:t>OP PIK disponuje alokací 4 331 mil. EUR (EFRR) přidělené z národní obálky na základě:</w:t>
      </w:r>
    </w:p>
    <w:p w14:paraId="3967B5EB" w14:textId="77777777" w:rsidR="00BE7303" w:rsidRPr="00DD47DF" w:rsidRDefault="00BE7303" w:rsidP="00DA3512">
      <w:pPr>
        <w:pStyle w:val="Standardntext"/>
        <w:numPr>
          <w:ilvl w:val="0"/>
          <w:numId w:val="95"/>
        </w:numPr>
        <w:spacing w:after="0"/>
      </w:pPr>
      <w:r w:rsidRPr="00DD47DF">
        <w:t xml:space="preserve">analýzy disparit a rozvojových potřeb, v návaznosti na to stanovených priorit financování ČR v Dohodě o partnerství, </w:t>
      </w:r>
    </w:p>
    <w:p w14:paraId="5ABAD222" w14:textId="77777777" w:rsidR="00BE7303" w:rsidRPr="00DD47DF" w:rsidRDefault="00BE7303" w:rsidP="00DA3512">
      <w:pPr>
        <w:pStyle w:val="Standardntext"/>
        <w:numPr>
          <w:ilvl w:val="0"/>
          <w:numId w:val="95"/>
        </w:numPr>
        <w:spacing w:after="0"/>
      </w:pPr>
      <w:r w:rsidRPr="00DD47DF">
        <w:t>doporučení útvarů EK k prioritám financování ČR v období 2014-2020,</w:t>
      </w:r>
    </w:p>
    <w:p w14:paraId="4C1C536B" w14:textId="77777777" w:rsidR="00BE7303" w:rsidRPr="00DD47DF" w:rsidRDefault="00BE7303" w:rsidP="00DA3512">
      <w:pPr>
        <w:pStyle w:val="Standardntext"/>
        <w:numPr>
          <w:ilvl w:val="0"/>
          <w:numId w:val="95"/>
        </w:numPr>
        <w:ind w:left="714" w:hanging="357"/>
      </w:pPr>
      <w:r w:rsidRPr="00DD47DF">
        <w:t>věcného zaměření OP PIK, jeho úlohy jako programu přispívajícího k naplňování tematických cílů (TC) 1, 2, 3, 4 a 7, při respektování požadavků na tematickou koncentraci.</w:t>
      </w:r>
    </w:p>
    <w:p w14:paraId="75B90D61" w14:textId="77777777" w:rsidR="00BE7303" w:rsidRPr="00DD47DF" w:rsidRDefault="00BE7303" w:rsidP="00BE7303">
      <w:pPr>
        <w:pStyle w:val="Standardntext"/>
        <w:spacing w:after="0"/>
      </w:pPr>
      <w:r w:rsidRPr="00DD47DF">
        <w:t>Rozdělení alokace OP PIK mezi prioritní osy a investiční priority vychází ze:</w:t>
      </w:r>
    </w:p>
    <w:p w14:paraId="57433673" w14:textId="77777777" w:rsidR="00BE7303" w:rsidRPr="00DD47DF" w:rsidRDefault="00BE7303" w:rsidP="00DA3512">
      <w:pPr>
        <w:pStyle w:val="Standardntext"/>
        <w:numPr>
          <w:ilvl w:val="0"/>
          <w:numId w:val="96"/>
        </w:numPr>
        <w:spacing w:after="0"/>
      </w:pPr>
      <w:r w:rsidRPr="00DD47DF">
        <w:t>strategie programu a věcného zaměření prioritních os (PO) a specifických cílů,</w:t>
      </w:r>
    </w:p>
    <w:p w14:paraId="488CCF7D" w14:textId="77777777" w:rsidR="00BE7303" w:rsidRPr="00DD47DF" w:rsidRDefault="00BE7303" w:rsidP="00DA3512">
      <w:pPr>
        <w:pStyle w:val="Standardntext"/>
        <w:numPr>
          <w:ilvl w:val="0"/>
          <w:numId w:val="96"/>
        </w:numPr>
        <w:spacing w:after="0"/>
      </w:pPr>
      <w:r w:rsidRPr="00DD47DF">
        <w:t xml:space="preserve">analytických podkladů a strategických dokumentů ČR s vazbou na OP PIK, </w:t>
      </w:r>
    </w:p>
    <w:p w14:paraId="5D00D5F6" w14:textId="77777777" w:rsidR="00BE7303" w:rsidRPr="00DD47DF" w:rsidRDefault="00BE7303" w:rsidP="00DA3512">
      <w:pPr>
        <w:pStyle w:val="Standardntext"/>
        <w:numPr>
          <w:ilvl w:val="0"/>
          <w:numId w:val="96"/>
        </w:numPr>
        <w:spacing w:after="0"/>
      </w:pPr>
      <w:r w:rsidRPr="00DD47DF">
        <w:t>zkušeností z programového období 2007-2013,</w:t>
      </w:r>
    </w:p>
    <w:p w14:paraId="041D1942" w14:textId="77777777" w:rsidR="00BE7303" w:rsidRPr="00DD47DF" w:rsidRDefault="00BE7303" w:rsidP="00DA3512">
      <w:pPr>
        <w:pStyle w:val="Standardntext"/>
        <w:numPr>
          <w:ilvl w:val="0"/>
          <w:numId w:val="96"/>
        </w:numPr>
        <w:spacing w:after="0"/>
      </w:pPr>
      <w:r w:rsidRPr="00DD47DF">
        <w:t>diskusí s partnery,</w:t>
      </w:r>
    </w:p>
    <w:p w14:paraId="6B5EB91D" w14:textId="77777777" w:rsidR="00BE7303" w:rsidRPr="00DD47DF" w:rsidRDefault="00BE7303" w:rsidP="00DA3512">
      <w:pPr>
        <w:pStyle w:val="Standardntext"/>
        <w:numPr>
          <w:ilvl w:val="0"/>
          <w:numId w:val="96"/>
        </w:numPr>
      </w:pPr>
      <w:r w:rsidRPr="00DD47DF">
        <w:t>mapování absorpční kapacity na straně potencionálních příjemců</w:t>
      </w:r>
      <w:r w:rsidRPr="00DD47DF">
        <w:rPr>
          <w:rStyle w:val="Znakapoznpodarou"/>
        </w:rPr>
        <w:footnoteReference w:id="30"/>
      </w:r>
      <w:r w:rsidRPr="00DD47DF">
        <w:t xml:space="preserve">.    </w:t>
      </w:r>
    </w:p>
    <w:p w14:paraId="2BF079F5" w14:textId="77777777" w:rsidR="00BE7303" w:rsidRPr="00DD47DF" w:rsidRDefault="00BE7303" w:rsidP="00BE7303">
      <w:pPr>
        <w:spacing w:after="120"/>
        <w:jc w:val="both"/>
        <w:rPr>
          <w:sz w:val="24"/>
          <w:szCs w:val="24"/>
        </w:rPr>
      </w:pPr>
      <w:r w:rsidRPr="00DD47DF">
        <w:rPr>
          <w:sz w:val="24"/>
          <w:szCs w:val="24"/>
        </w:rPr>
        <w:t>Míra spolufinancování PO 1 – 4 se vztahuje na celkové způsobilé výdaje</w:t>
      </w:r>
      <w:r w:rsidRPr="00DD47DF">
        <w:rPr>
          <w:rStyle w:val="Znakapoznpodarou"/>
          <w:szCs w:val="24"/>
        </w:rPr>
        <w:footnoteReference w:id="31"/>
      </w:r>
      <w:r w:rsidRPr="00DD47DF">
        <w:rPr>
          <w:sz w:val="24"/>
          <w:szCs w:val="24"/>
        </w:rPr>
        <w:t>. Při stanovení národního spolufinancování se vychází z materiálu MF definujícího podíl národního spolufinancování dle příjemců podpory. Pro OP PIK je stanoveno nulové spolufinancování podnikatelských subjektů z veřejných zdrojů s tím, že v případě, že bude prokázána dostatečná absorpční kapacita OP PIK (tzn. zazávazkovaný podíl prostředků z EFRR bude k 31. 12. 2017 minimálně o 15 % vyšší než součet alokací na roky 2014-2017) a zároveň nebude v roce 2017 uplatněno automatické zrušení závazku, vláda ČR rozhodne o zvýšení příspěvku státního rozpočtu až do výše 15 % alokace programu (EFRR)</w:t>
      </w:r>
      <w:r w:rsidRPr="00DD47DF">
        <w:rPr>
          <w:sz w:val="24"/>
          <w:szCs w:val="24"/>
          <w:vertAlign w:val="superscript"/>
        </w:rPr>
        <w:footnoteReference w:id="32"/>
      </w:r>
      <w:r w:rsidRPr="00DD47DF">
        <w:rPr>
          <w:sz w:val="24"/>
          <w:szCs w:val="24"/>
        </w:rPr>
        <w:t xml:space="preserve">. Při splnění této podmínky bude tedy v letech 2018-2020 přiděleno OP PIK národní spolufinancování ze státního rozpočtu až do výše 761 658 109 EUR. </w:t>
      </w:r>
    </w:p>
    <w:p w14:paraId="43837F8D" w14:textId="77777777" w:rsidR="00BE7303" w:rsidRPr="00DD47DF" w:rsidRDefault="00BE7303" w:rsidP="00BE7303">
      <w:pPr>
        <w:pStyle w:val="Standardntext"/>
      </w:pPr>
      <w:r w:rsidRPr="00DD47DF">
        <w:t>Největší část finanční alokace OP PIK (</w:t>
      </w:r>
      <w:r w:rsidR="002756E7" w:rsidRPr="00DD47DF">
        <w:t>téměř</w:t>
      </w:r>
      <w:r w:rsidR="00CA2C89" w:rsidRPr="00DD47DF">
        <w:t xml:space="preserve"> </w:t>
      </w:r>
      <w:r w:rsidRPr="00DD47DF">
        <w:t xml:space="preserve">60 %) připadá na PO 1 a 3, které mají bezprostřední vazbu na plnění vybraných hlavních cílů strategie Evropa 2020. </w:t>
      </w:r>
    </w:p>
    <w:p w14:paraId="26C10C01" w14:textId="7209031A" w:rsidR="00BE7303" w:rsidRPr="00DD47DF" w:rsidRDefault="00BE7303" w:rsidP="00BE7303">
      <w:pPr>
        <w:spacing w:after="120"/>
        <w:jc w:val="both"/>
        <w:rPr>
          <w:sz w:val="24"/>
          <w:szCs w:val="24"/>
        </w:rPr>
      </w:pPr>
      <w:r w:rsidRPr="00DD47DF">
        <w:rPr>
          <w:sz w:val="24"/>
          <w:szCs w:val="24"/>
        </w:rPr>
        <w:t>Intervence v </w:t>
      </w:r>
      <w:r w:rsidRPr="00DD47DF">
        <w:rPr>
          <w:b/>
          <w:sz w:val="24"/>
          <w:szCs w:val="24"/>
        </w:rPr>
        <w:t>PO 1</w:t>
      </w:r>
      <w:r w:rsidRPr="00DD47DF">
        <w:rPr>
          <w:sz w:val="24"/>
          <w:szCs w:val="24"/>
        </w:rPr>
        <w:t xml:space="preserve"> (vazba na TC 1) cílí na zvýšení výdajů soukromého sektoru na výzkumné a inovační činnosti. V souladu s RIS3 je potřeba podpořit investice do zlepšení kvality infrastruktury pro výzkum a technologický rozvoj s prioritou modernizace a rozšíření výzkumného vybavení, dále finančně náročné investice do podnikového VaV a inovací, do vývoje produktů a služeb a obchodování s výsledky výzkumu. Problémem v ČR je nedostatečná spolupráce ve VaV mezi soukromou a veřejnou sférou, proto je zapotřebí podporovat projekty přenosu technologií, vytváření sítí, rozvoje klastrů a aplikovaných inovací prostřednictvím konceptu inteligentní specializace, projekty technologického a aplikovaného výzkumu, mezinárodní spolupráce a také ochrany duševního vlastnictví. Důraz je v OP PIK dáván na větší koncentraci veřejných zdrojů v souladu s RIS3. Výrazně menší objem prostředků než v období 2007-2013 bude směrován do rozvoje infrastruktury pro VaV, což </w:t>
      </w:r>
      <w:r w:rsidRPr="00DD47DF">
        <w:rPr>
          <w:sz w:val="24"/>
          <w:szCs w:val="24"/>
        </w:rPr>
        <w:lastRenderedPageBreak/>
        <w:t>souvisí se změnou zaměření od kvantity k vyšší kvalitě služeb již vybudované infrastruktury. Potenciál pro rozvoj inovačního systému v ČR je naopak spatřován v aplikovaném průmyslovém výzkumu / KETs, který je novou oblastí podpory v OP PIK, přičemž má přímou vazbu na hlavní cíl strategie Evropa 2020 zvýšit investice do VaV. Řádově nižší objemy finančních prostředků jsou směrovány na finančně méně náročné projekty partnerství a spolupráce a také na nové aktivity typu proof-of-concept. Dominantní podíl alokace v rámci PO-1 je předpokládán pro intervence na zvýšení inovační výkonnosti podniků (cca 22,5 % alokace programu), největší podíl půjde tedy na individuální projekty podniků, neboť inovační infrastruktura je již do značné míry vytvořena.</w:t>
      </w:r>
    </w:p>
    <w:p w14:paraId="56F65CA7" w14:textId="77777777" w:rsidR="00BE7303" w:rsidRPr="00DD47DF" w:rsidRDefault="00BE7303" w:rsidP="00BE7303">
      <w:pPr>
        <w:pStyle w:val="Standardntext"/>
      </w:pPr>
      <w:r w:rsidRPr="00DD47DF">
        <w:t>V </w:t>
      </w:r>
      <w:r w:rsidRPr="00DD47DF">
        <w:rPr>
          <w:b/>
        </w:rPr>
        <w:t>PO 2</w:t>
      </w:r>
      <w:r w:rsidRPr="00DD47DF">
        <w:t xml:space="preserve"> (vazba na TC 3) </w:t>
      </w:r>
      <w:r w:rsidR="00FD57C0" w:rsidRPr="00DD47DF">
        <w:t xml:space="preserve">dojde </w:t>
      </w:r>
      <w:r w:rsidRPr="00DD47DF">
        <w:t xml:space="preserve">oproti období 2007-2013 k posunu ve formě podpory poskytované začínajícím a rozvojovým MSP od dotací směrem k finančním nástrojům (FN); </w:t>
      </w:r>
      <w:r w:rsidR="00FD57C0" w:rsidRPr="00DD47DF">
        <w:t>které v této prioritní ose zamýšlí řídící orgán uplatnit. Konkrétní podobu finančních nástrojů stanoví předběžné posouzení podle čl. 37 odst. 2 obecného nařízení.</w:t>
      </w:r>
      <w:r w:rsidRPr="00DD47DF">
        <w:t xml:space="preserve">. Alokace na podporu poradenských služeb a internacionalizaci MSP byly oproti období 2007-2013 mírně redukovány, což mj. souvisí i se snahou o jejich větší koncentraci na specializované, cílené služby. Hlavní důraz by měl být kladen na systémové projekty (nové i pokračování stávajících úspěšných), namísto individuálních podpor. Menšími alokacemi ve srovnání s obdobím 2007-2013 disponuje OP PIK pro modernizaci stávajících průmyslových areálů a brownfieldů a na rozvoj infrastruktury pro odborné vzdělávání v podnicích. Namísto extenzivní podpory těchto projektů by se mělo jednat o cílené intervence reagující na specifické potřeby v regionech ČR.      </w:t>
      </w:r>
    </w:p>
    <w:p w14:paraId="444D47C9" w14:textId="77777777" w:rsidR="00BE7303" w:rsidRPr="00DD47DF" w:rsidRDefault="00BE7303" w:rsidP="00BE7303">
      <w:pPr>
        <w:spacing w:after="120"/>
        <w:jc w:val="both"/>
        <w:rPr>
          <w:sz w:val="24"/>
          <w:szCs w:val="24"/>
        </w:rPr>
      </w:pPr>
      <w:r w:rsidRPr="00DD47DF">
        <w:rPr>
          <w:b/>
          <w:sz w:val="24"/>
          <w:szCs w:val="24"/>
        </w:rPr>
        <w:t xml:space="preserve">PO 3 </w:t>
      </w:r>
      <w:r w:rsidRPr="00DD47DF">
        <w:rPr>
          <w:sz w:val="24"/>
          <w:szCs w:val="24"/>
        </w:rPr>
        <w:t xml:space="preserve">(vazba na TC 4) představuje nástroj pro dosažení nákladově efektivního, nízkouhlíkového hospodářství. PO 3 přímo přispívá k naplňování hlavního cíle strategie Evropa 2020 zaměřeného na nárůst energetické účinnosti (pro PO 3 přidělena druhá nejvyšší alokace OP PIK). Strategické dokumenty ČR i doporučení EK identifikují v oblasti energetiky řadu investičně náročných potřeb spočívajících mj. v modernizaci zařízení na výrobu elektrické energie, distribuce a transformace za účelem zvýšení energetické účinnosti průmyslu, zvýšení účinnosti distribučních tepelných sítí, dále v oblasti úspor energie, kdy je důležité zlepšit energetickou náročnost budov a průmyslových odvětví, a také v oblasti využívání OZE ve výrobě elektrické energie, včetně příslušných investic do energetické infrastruktury a technologií. Potřeby byly identifikovány v oblasti uplatňování ekoinovací a ekologických technologií v MSP. Významných energetických úspor v průmyslu již bylo dosaženo díky podpoře z OPPI, nicméně v procesu zvyšování energetické účinnosti je nutné pokračovat, což potvrzují i podkladové analýzy, které potvrdily stále značný přetrvávající potenciál v této oblasti. Nově budou v OP PIK podpořena klíčová modernizační opatření v přenosové síti (ve vazbě na TC 7) a v distribučních sítích, neboť ČR musí reagovat na významné změny v energetickém mixu, které ohrožují bezpečnost dodávek elektrické energie. </w:t>
      </w:r>
    </w:p>
    <w:p w14:paraId="63C7D10B" w14:textId="77777777" w:rsidR="00BE7303" w:rsidRPr="00DD47DF" w:rsidRDefault="00BE7303" w:rsidP="00BE7303">
      <w:pPr>
        <w:pStyle w:val="Standardntext"/>
      </w:pPr>
      <w:r w:rsidRPr="00DD47DF">
        <w:rPr>
          <w:b/>
        </w:rPr>
        <w:t>PO 4</w:t>
      </w:r>
      <w:r w:rsidRPr="00DD47DF">
        <w:t xml:space="preserve"> (vazba na TC 2) přispěje zvýšením pokrytí vysokorychlostním přístupem k internetu ke zlepšení přístupu k ICT, zejména v méně rozvinutých regionech. Jde o nový typ intervencí, které nebyly dosud z fondů EU v ČR podporovány. Přidělená alokace reflektuje možnosti OP PIK. Intervence budou směřovat do lokalit, ve kterých neexistuje žádný provozovatel sítě pro vysokorychlostní přístup k internetu umožňující zajišťování služby reálnou rychlostí alespoň 30 Mbit/s a není pravděpodobné, že by v ní do tří let nějaký poskytovatel vybudoval infrastrukturu pro poskytování této služby. Očekávané výsledky OP PIK jsou založené na propočtech finanční náročnosti těchto typů investic. Zhruba srovnatelná alokace jako v období 2007-2013 bude přidělena na rozvoj vysoce sofistikovaných ICT řešení, sdílených služeb a datových center.    </w:t>
      </w:r>
    </w:p>
    <w:p w14:paraId="03AB89D6" w14:textId="77777777" w:rsidR="00BE7303" w:rsidRPr="00DD47DF" w:rsidRDefault="00BE7303" w:rsidP="00BE7303">
      <w:pPr>
        <w:pStyle w:val="Standardntext"/>
      </w:pPr>
      <w:r w:rsidRPr="00DD47DF">
        <w:lastRenderedPageBreak/>
        <w:t>Pro</w:t>
      </w:r>
      <w:r w:rsidRPr="00DD47DF">
        <w:rPr>
          <w:b/>
        </w:rPr>
        <w:t xml:space="preserve"> PO 5 </w:t>
      </w:r>
      <w:r w:rsidRPr="00DD47DF">
        <w:t>je předpokládána alokace ve výši 2,9 % z celkové alokace programu. Její rozdělení na specifické cíle vychází ze zkušeností s realizací technické pomoci v OPPI a ve vazbě na alokaci a aktivity OPTP.</w:t>
      </w:r>
    </w:p>
    <w:p w14:paraId="66D38D5D" w14:textId="77777777" w:rsidR="004A17B3" w:rsidRPr="00DD47DF" w:rsidRDefault="004A17B3" w:rsidP="0094785C">
      <w:pPr>
        <w:pStyle w:val="Standardntext"/>
      </w:pPr>
    </w:p>
    <w:p w14:paraId="5CE31295" w14:textId="77777777" w:rsidR="000733A8" w:rsidRPr="00DD47DF" w:rsidRDefault="000733A8" w:rsidP="001D1607">
      <w:pPr>
        <w:pStyle w:val="Standardntext"/>
        <w:rPr>
          <w:bCs/>
          <w:color w:val="FF0000"/>
        </w:rPr>
        <w:sectPr w:rsidR="000733A8" w:rsidRPr="00DD47DF" w:rsidSect="00297A5A">
          <w:headerReference w:type="default" r:id="rId25"/>
          <w:footerReference w:type="default" r:id="rId26"/>
          <w:type w:val="continuous"/>
          <w:pgSz w:w="11906" w:h="16838"/>
          <w:pgMar w:top="1418" w:right="1276" w:bottom="1276" w:left="1418" w:header="709" w:footer="709" w:gutter="0"/>
          <w:cols w:space="708"/>
          <w:docGrid w:linePitch="272"/>
        </w:sectPr>
      </w:pPr>
    </w:p>
    <w:p w14:paraId="0E4CCA41" w14:textId="77777777" w:rsidR="00676C59" w:rsidRPr="00DD47DF" w:rsidRDefault="004C54D5" w:rsidP="001D1607">
      <w:pPr>
        <w:pStyle w:val="Titulek"/>
        <w:keepNext/>
        <w:keepLines/>
      </w:pPr>
      <w:r w:rsidRPr="00DD47DF">
        <w:lastRenderedPageBreak/>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w:t>
      </w:r>
      <w:r w:rsidR="002756E7" w:rsidRPr="00DD47DF">
        <w:rPr>
          <w:noProof/>
        </w:rPr>
        <w:fldChar w:fldCharType="end"/>
      </w:r>
      <w:r w:rsidR="00676C59" w:rsidRPr="00DD47DF">
        <w:t xml:space="preserve">: Přehled investiční strategie </w:t>
      </w:r>
      <w:r w:rsidR="00C277A8" w:rsidRPr="00DD47DF">
        <w:t xml:space="preserve">operačního </w:t>
      </w:r>
      <w:r w:rsidR="00676C59" w:rsidRPr="00DD47DF">
        <w:t>programu</w:t>
      </w:r>
      <w:r w:rsidR="00811581" w:rsidRPr="00DD47DF">
        <w:rPr>
          <w:rStyle w:val="Znakapoznpodarou"/>
        </w:rPr>
        <w:footnoteReference w:id="3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00"/>
        <w:gridCol w:w="709"/>
        <w:gridCol w:w="1445"/>
        <w:gridCol w:w="1330"/>
        <w:gridCol w:w="1619"/>
        <w:gridCol w:w="3119"/>
        <w:gridCol w:w="2254"/>
        <w:gridCol w:w="1882"/>
      </w:tblGrid>
      <w:tr w:rsidR="001366EB" w:rsidRPr="00DD47DF" w14:paraId="3BEAE05E" w14:textId="77777777">
        <w:trPr>
          <w:jc w:val="center"/>
        </w:trPr>
        <w:tc>
          <w:tcPr>
            <w:tcW w:w="1900" w:type="dxa"/>
            <w:shd w:val="clear" w:color="auto" w:fill="B8CCE4"/>
          </w:tcPr>
          <w:p w14:paraId="32F7D736" w14:textId="77777777" w:rsidR="001366EB" w:rsidRPr="00DD47DF" w:rsidRDefault="001366EB" w:rsidP="00B91AC2">
            <w:pPr>
              <w:pStyle w:val="Tabulka"/>
              <w:keepNext/>
              <w:keepLines/>
              <w:rPr>
                <w:rFonts w:cs="Calibri"/>
                <w:b/>
              </w:rPr>
            </w:pPr>
            <w:r w:rsidRPr="00DD47DF">
              <w:rPr>
                <w:rFonts w:cs="Calibri"/>
                <w:b/>
              </w:rPr>
              <w:t>Prioritní osa</w:t>
            </w:r>
          </w:p>
        </w:tc>
        <w:tc>
          <w:tcPr>
            <w:tcW w:w="709" w:type="dxa"/>
            <w:shd w:val="clear" w:color="auto" w:fill="B8CCE4"/>
          </w:tcPr>
          <w:p w14:paraId="690803EA" w14:textId="77777777" w:rsidR="00B91AC2" w:rsidRPr="00DD47DF" w:rsidRDefault="001366EB" w:rsidP="00703630">
            <w:pPr>
              <w:pStyle w:val="Tabulka"/>
              <w:keepNext/>
              <w:keepLines/>
              <w:rPr>
                <w:rFonts w:cs="Calibri"/>
                <w:b/>
              </w:rPr>
            </w:pPr>
            <w:r w:rsidRPr="00DD47DF">
              <w:rPr>
                <w:rFonts w:cs="Calibri"/>
                <w:b/>
              </w:rPr>
              <w:t>Fond</w:t>
            </w:r>
          </w:p>
        </w:tc>
        <w:tc>
          <w:tcPr>
            <w:tcW w:w="1445" w:type="dxa"/>
            <w:shd w:val="clear" w:color="auto" w:fill="B8CCE4"/>
          </w:tcPr>
          <w:p w14:paraId="738B04EB" w14:textId="77777777" w:rsidR="00B91AC2" w:rsidRPr="00DD47DF" w:rsidRDefault="00C277A8" w:rsidP="00703630">
            <w:pPr>
              <w:pStyle w:val="Tabulka"/>
              <w:keepNext/>
              <w:keepLines/>
              <w:rPr>
                <w:rFonts w:cs="Calibri"/>
                <w:b/>
              </w:rPr>
            </w:pPr>
            <w:r w:rsidRPr="00DD47DF">
              <w:rPr>
                <w:rFonts w:cs="Calibri"/>
                <w:b/>
              </w:rPr>
              <w:t>Podpora</w:t>
            </w:r>
            <w:r w:rsidR="00B91AC2" w:rsidRPr="00DD47DF">
              <w:rPr>
                <w:rFonts w:cs="Calibri"/>
                <w:b/>
              </w:rPr>
              <w:t xml:space="preserve"> </w:t>
            </w:r>
            <w:r w:rsidR="001366EB" w:rsidRPr="00DD47DF">
              <w:rPr>
                <w:rFonts w:cs="Calibri"/>
                <w:b/>
              </w:rPr>
              <w:t>U</w:t>
            </w:r>
            <w:r w:rsidR="00B91AC2" w:rsidRPr="00DD47DF">
              <w:rPr>
                <w:rFonts w:cs="Calibri"/>
                <w:b/>
              </w:rPr>
              <w:t>nie</w:t>
            </w:r>
            <w:r w:rsidR="00ED2F09" w:rsidRPr="00DD47DF">
              <w:rPr>
                <w:rFonts w:cs="Calibri"/>
                <w:b/>
              </w:rPr>
              <w:t xml:space="preserve"> </w:t>
            </w:r>
            <w:r w:rsidR="00A74A51" w:rsidRPr="00DD47DF">
              <w:rPr>
                <w:rFonts w:cs="Calibri"/>
                <w:b/>
              </w:rPr>
              <w:t>(</w:t>
            </w:r>
            <w:r w:rsidR="00ED2F09" w:rsidRPr="00DD47DF">
              <w:rPr>
                <w:rFonts w:cs="Calibri"/>
                <w:b/>
              </w:rPr>
              <w:t>EUR</w:t>
            </w:r>
            <w:r w:rsidR="00A74A51" w:rsidRPr="00DD47DF">
              <w:rPr>
                <w:rFonts w:cs="Calibri"/>
                <w:b/>
              </w:rPr>
              <w:t>)</w:t>
            </w:r>
          </w:p>
        </w:tc>
        <w:tc>
          <w:tcPr>
            <w:tcW w:w="1330" w:type="dxa"/>
            <w:shd w:val="clear" w:color="auto" w:fill="B8CCE4"/>
          </w:tcPr>
          <w:p w14:paraId="37488E34" w14:textId="77777777" w:rsidR="00B91AC2" w:rsidRPr="00DD47DF" w:rsidRDefault="00846C82" w:rsidP="00703630">
            <w:pPr>
              <w:pStyle w:val="Tabulka"/>
              <w:keepNext/>
              <w:keepLines/>
              <w:rPr>
                <w:rFonts w:cs="Calibri"/>
                <w:b/>
              </w:rPr>
            </w:pPr>
            <w:r w:rsidRPr="00DD47DF">
              <w:rPr>
                <w:rFonts w:cs="Calibri"/>
                <w:b/>
              </w:rPr>
              <w:t>P</w:t>
            </w:r>
            <w:r w:rsidR="00C277A8" w:rsidRPr="00DD47DF">
              <w:rPr>
                <w:rFonts w:cs="Calibri"/>
                <w:b/>
              </w:rPr>
              <w:t>odíl celkové</w:t>
            </w:r>
            <w:r w:rsidRPr="00DD47DF">
              <w:rPr>
                <w:rFonts w:cs="Calibri"/>
                <w:b/>
              </w:rPr>
              <w:t xml:space="preserve"> </w:t>
            </w:r>
            <w:r w:rsidR="00C277A8" w:rsidRPr="00DD47DF">
              <w:rPr>
                <w:rFonts w:cs="Calibri"/>
                <w:b/>
              </w:rPr>
              <w:t>podpory</w:t>
            </w:r>
            <w:r w:rsidRPr="00DD47DF">
              <w:rPr>
                <w:rFonts w:cs="Calibri"/>
                <w:b/>
              </w:rPr>
              <w:t xml:space="preserve"> Unie operační</w:t>
            </w:r>
            <w:r w:rsidR="00C277A8" w:rsidRPr="00DD47DF">
              <w:rPr>
                <w:rFonts w:cs="Calibri"/>
                <w:b/>
              </w:rPr>
              <w:t>mu</w:t>
            </w:r>
            <w:r w:rsidRPr="00DD47DF">
              <w:rPr>
                <w:rFonts w:cs="Calibri"/>
                <w:b/>
              </w:rPr>
              <w:t xml:space="preserve"> program</w:t>
            </w:r>
            <w:r w:rsidR="00C277A8" w:rsidRPr="00DD47DF">
              <w:rPr>
                <w:rFonts w:cs="Calibri"/>
                <w:b/>
              </w:rPr>
              <w:t>u</w:t>
            </w:r>
          </w:p>
        </w:tc>
        <w:tc>
          <w:tcPr>
            <w:tcW w:w="1619" w:type="dxa"/>
            <w:shd w:val="clear" w:color="auto" w:fill="B8CCE4"/>
          </w:tcPr>
          <w:p w14:paraId="75842AD8" w14:textId="77777777" w:rsidR="001366EB" w:rsidRPr="00DD47DF" w:rsidRDefault="001366EB" w:rsidP="00B91AC2">
            <w:pPr>
              <w:pStyle w:val="Tabulka"/>
              <w:keepNext/>
              <w:keepLines/>
              <w:rPr>
                <w:rFonts w:cs="Calibri"/>
                <w:b/>
              </w:rPr>
            </w:pPr>
            <w:r w:rsidRPr="00DD47DF">
              <w:rPr>
                <w:rFonts w:cs="Calibri"/>
                <w:b/>
              </w:rPr>
              <w:t>Tematický cíl</w:t>
            </w:r>
          </w:p>
          <w:p w14:paraId="6A6C8505" w14:textId="77777777" w:rsidR="00B91AC2" w:rsidRPr="00DD47DF" w:rsidRDefault="00B91AC2" w:rsidP="00703630">
            <w:pPr>
              <w:pStyle w:val="Tabulka"/>
              <w:keepNext/>
              <w:keepLines/>
              <w:jc w:val="left"/>
              <w:rPr>
                <w:rFonts w:cs="Calibri"/>
              </w:rPr>
            </w:pPr>
          </w:p>
        </w:tc>
        <w:tc>
          <w:tcPr>
            <w:tcW w:w="3119" w:type="dxa"/>
            <w:shd w:val="clear" w:color="auto" w:fill="B8CCE4"/>
          </w:tcPr>
          <w:p w14:paraId="60380807" w14:textId="77777777" w:rsidR="00846C82" w:rsidRPr="00DD47DF" w:rsidRDefault="001366EB" w:rsidP="00703630">
            <w:pPr>
              <w:pStyle w:val="Tabulka"/>
              <w:keepNext/>
              <w:keepLines/>
              <w:rPr>
                <w:rFonts w:cs="Calibri"/>
                <w:b/>
              </w:rPr>
            </w:pPr>
            <w:r w:rsidRPr="00DD47DF">
              <w:rPr>
                <w:rFonts w:cs="Calibri"/>
                <w:b/>
              </w:rPr>
              <w:t>Investiční priority</w:t>
            </w:r>
          </w:p>
        </w:tc>
        <w:tc>
          <w:tcPr>
            <w:tcW w:w="2254" w:type="dxa"/>
            <w:shd w:val="clear" w:color="auto" w:fill="B8CCE4"/>
          </w:tcPr>
          <w:p w14:paraId="6098CE01" w14:textId="77777777" w:rsidR="00846C82" w:rsidRPr="00DD47DF" w:rsidRDefault="001366EB" w:rsidP="00703630">
            <w:pPr>
              <w:pStyle w:val="Tabulka"/>
              <w:keepNext/>
              <w:keepLines/>
              <w:rPr>
                <w:rFonts w:cs="Calibri"/>
                <w:b/>
              </w:rPr>
            </w:pPr>
            <w:r w:rsidRPr="00DD47DF">
              <w:rPr>
                <w:rFonts w:cs="Calibri"/>
                <w:b/>
              </w:rPr>
              <w:t>Specifické cíle odpovídající investiční prioritě</w:t>
            </w:r>
          </w:p>
        </w:tc>
        <w:tc>
          <w:tcPr>
            <w:tcW w:w="1882" w:type="dxa"/>
            <w:shd w:val="clear" w:color="auto" w:fill="B8CCE4"/>
            <w:vAlign w:val="center"/>
          </w:tcPr>
          <w:p w14:paraId="6123F7EB" w14:textId="77777777" w:rsidR="001366EB" w:rsidRPr="00DD47DF" w:rsidRDefault="00846C82" w:rsidP="00BA1E1C">
            <w:pPr>
              <w:pStyle w:val="Tabulka"/>
              <w:keepNext/>
              <w:keepLines/>
              <w:rPr>
                <w:rFonts w:cs="Calibri"/>
                <w:b/>
              </w:rPr>
            </w:pPr>
            <w:r w:rsidRPr="00DD47DF">
              <w:rPr>
                <w:rFonts w:cs="Calibri"/>
                <w:b/>
              </w:rPr>
              <w:t xml:space="preserve">Společné a specifické </w:t>
            </w:r>
            <w:r w:rsidR="00703630" w:rsidRPr="00DD47DF">
              <w:rPr>
                <w:rFonts w:cs="Calibri"/>
                <w:b/>
              </w:rPr>
              <w:t xml:space="preserve">programové </w:t>
            </w:r>
            <w:r w:rsidR="00C277A8" w:rsidRPr="00DD47DF">
              <w:rPr>
                <w:rFonts w:cs="Calibri"/>
                <w:b/>
              </w:rPr>
              <w:t>ukazatele výsledků, pro které byl stanoven cíl</w:t>
            </w:r>
          </w:p>
        </w:tc>
      </w:tr>
      <w:tr w:rsidR="00BD619A" w:rsidRPr="00DD47DF" w14:paraId="7F2CABA6" w14:textId="77777777">
        <w:trPr>
          <w:jc w:val="center"/>
        </w:trPr>
        <w:tc>
          <w:tcPr>
            <w:tcW w:w="1900" w:type="dxa"/>
            <w:vMerge w:val="restart"/>
            <w:shd w:val="clear" w:color="auto" w:fill="DBE5F1"/>
            <w:vAlign w:val="center"/>
          </w:tcPr>
          <w:p w14:paraId="3CAE4280" w14:textId="77777777" w:rsidR="00BD619A" w:rsidRPr="00DD47DF" w:rsidRDefault="00BD619A" w:rsidP="001D1607">
            <w:pPr>
              <w:pStyle w:val="Tabulka"/>
              <w:keepNext/>
              <w:keepLines/>
              <w:jc w:val="left"/>
              <w:rPr>
                <w:rFonts w:cs="Calibri"/>
              </w:rPr>
            </w:pPr>
            <w:r w:rsidRPr="00DD47DF">
              <w:rPr>
                <w:rFonts w:cs="Calibri"/>
              </w:rPr>
              <w:t>PO 1: Rozvoj výzkumu a vývoje pro inovace</w:t>
            </w:r>
          </w:p>
          <w:p w14:paraId="043A05DD" w14:textId="77777777" w:rsidR="00BD619A" w:rsidRPr="00DD47DF" w:rsidRDefault="00BD619A" w:rsidP="001D1607">
            <w:pPr>
              <w:pStyle w:val="Tabulka"/>
              <w:keepNext/>
              <w:keepLines/>
              <w:rPr>
                <w:rFonts w:cs="Calibri"/>
              </w:rPr>
            </w:pPr>
          </w:p>
        </w:tc>
        <w:tc>
          <w:tcPr>
            <w:tcW w:w="709" w:type="dxa"/>
            <w:vMerge w:val="restart"/>
            <w:vAlign w:val="center"/>
          </w:tcPr>
          <w:p w14:paraId="40FFAF33" w14:textId="77777777" w:rsidR="00BD619A" w:rsidRPr="00DD47DF" w:rsidRDefault="00BD619A" w:rsidP="00D40246">
            <w:pPr>
              <w:pStyle w:val="Tabulka"/>
              <w:keepNext/>
              <w:keepLines/>
              <w:rPr>
                <w:rFonts w:cs="Calibri"/>
              </w:rPr>
            </w:pPr>
            <w:r w:rsidRPr="00DD47DF">
              <w:rPr>
                <w:rFonts w:cs="Calibri"/>
              </w:rPr>
              <w:t>EFRR</w:t>
            </w:r>
          </w:p>
        </w:tc>
        <w:tc>
          <w:tcPr>
            <w:tcW w:w="1445" w:type="dxa"/>
            <w:vMerge w:val="restart"/>
            <w:vAlign w:val="center"/>
          </w:tcPr>
          <w:p w14:paraId="2BF10F0C" w14:textId="77777777" w:rsidR="00BD619A" w:rsidRPr="00DD47DF" w:rsidRDefault="008E5470" w:rsidP="00D40246">
            <w:pPr>
              <w:pStyle w:val="Tabulka"/>
              <w:keepNext/>
              <w:keepLines/>
              <w:rPr>
                <w:rFonts w:cs="Calibri"/>
              </w:rPr>
            </w:pPr>
            <w:r w:rsidRPr="00DD47DF">
              <w:rPr>
                <w:rFonts w:cs="Calibri"/>
              </w:rPr>
              <w:t>1 352 544 411</w:t>
            </w:r>
          </w:p>
        </w:tc>
        <w:tc>
          <w:tcPr>
            <w:tcW w:w="1330" w:type="dxa"/>
            <w:vMerge w:val="restart"/>
            <w:vAlign w:val="center"/>
          </w:tcPr>
          <w:p w14:paraId="59DAF8D4" w14:textId="77777777" w:rsidR="00BD619A" w:rsidRPr="00DD47DF" w:rsidRDefault="00847395" w:rsidP="008E5470">
            <w:pPr>
              <w:pStyle w:val="Tabulka"/>
              <w:keepNext/>
              <w:keepLines/>
              <w:rPr>
                <w:rFonts w:cs="Calibri"/>
              </w:rPr>
            </w:pPr>
            <w:r w:rsidRPr="00DD47DF">
              <w:rPr>
                <w:rFonts w:cs="Calibri"/>
              </w:rPr>
              <w:t>31</w:t>
            </w:r>
            <w:r w:rsidR="00BD619A" w:rsidRPr="00DD47DF">
              <w:rPr>
                <w:rFonts w:cs="Calibri"/>
              </w:rPr>
              <w:t>,</w:t>
            </w:r>
            <w:r w:rsidR="008E5470" w:rsidRPr="00DD47DF">
              <w:rPr>
                <w:rFonts w:cs="Calibri"/>
              </w:rPr>
              <w:t>23</w:t>
            </w:r>
            <w:r w:rsidR="00A74A51" w:rsidRPr="00DD47DF">
              <w:rPr>
                <w:rFonts w:cs="Calibri"/>
              </w:rPr>
              <w:t xml:space="preserve"> %</w:t>
            </w:r>
          </w:p>
        </w:tc>
        <w:tc>
          <w:tcPr>
            <w:tcW w:w="1619" w:type="dxa"/>
            <w:vMerge w:val="restart"/>
            <w:vAlign w:val="center"/>
          </w:tcPr>
          <w:p w14:paraId="4088C311" w14:textId="77777777" w:rsidR="00BD619A" w:rsidRPr="00DD47DF" w:rsidRDefault="00BD619A" w:rsidP="00D40246">
            <w:pPr>
              <w:pStyle w:val="Tabulka"/>
              <w:keepNext/>
              <w:keepLines/>
              <w:rPr>
                <w:rFonts w:cs="Calibri"/>
              </w:rPr>
            </w:pPr>
            <w:r w:rsidRPr="00DD47DF">
              <w:rPr>
                <w:rFonts w:cs="Calibri"/>
              </w:rPr>
              <w:t>1</w:t>
            </w:r>
            <w:r w:rsidR="00CC5E04" w:rsidRPr="00DD47DF">
              <w:rPr>
                <w:rFonts w:cs="Calibri"/>
              </w:rPr>
              <w:t>)</w:t>
            </w:r>
            <w:r w:rsidRPr="00DD47DF">
              <w:rPr>
                <w:rFonts w:cs="Calibri"/>
              </w:rPr>
              <w:t xml:space="preserve"> Posílení výzkumu, technologického rozvoje a inovací</w:t>
            </w:r>
          </w:p>
        </w:tc>
        <w:tc>
          <w:tcPr>
            <w:tcW w:w="3119" w:type="dxa"/>
            <w:vMerge w:val="restart"/>
            <w:shd w:val="clear" w:color="auto" w:fill="auto"/>
            <w:vAlign w:val="center"/>
          </w:tcPr>
          <w:p w14:paraId="59B04C26" w14:textId="77777777" w:rsidR="00BD619A" w:rsidRPr="00DD47DF" w:rsidRDefault="00B54D2B" w:rsidP="00BE6D25">
            <w:pPr>
              <w:pStyle w:val="Tabulka"/>
              <w:widowControl w:val="0"/>
              <w:rPr>
                <w:rFonts w:cs="Calibri"/>
              </w:rPr>
            </w:pPr>
            <w:r w:rsidRPr="00DD47DF">
              <w:rPr>
                <w:rFonts w:cs="Calibri"/>
              </w:rPr>
              <w:t xml:space="preserve">1 b) </w:t>
            </w:r>
            <w:r w:rsidR="002641C7" w:rsidRPr="00DD47DF">
              <w:rPr>
                <w:rFonts w:cs="Calibri"/>
              </w:rPr>
              <w:t>Podpora podnikových investic do výzkumu a inovací a vytváření</w:t>
            </w:r>
            <w:r w:rsidR="000534DA" w:rsidRPr="00DD47DF">
              <w:rPr>
                <w:rFonts w:cs="Calibri"/>
              </w:rPr>
              <w:t xml:space="preserve"> vazeb a součinnosti mezi podniky, středisky výzkumu a vývoje a odvětvím vysokoškolského vzdělávání, zejména podpora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w:t>
            </w:r>
            <w:r w:rsidR="000534DA" w:rsidRPr="00DD47DF">
              <w:rPr>
                <w:rFonts w:cs="Calibri"/>
              </w:rPr>
              <w:lastRenderedPageBreak/>
              <w:t>oblasti klíčových technologií a šíření technologií pro všeobecné použití</w:t>
            </w:r>
          </w:p>
        </w:tc>
        <w:tc>
          <w:tcPr>
            <w:tcW w:w="2254" w:type="dxa"/>
            <w:shd w:val="clear" w:color="auto" w:fill="auto"/>
            <w:vAlign w:val="center"/>
          </w:tcPr>
          <w:p w14:paraId="5B663A00" w14:textId="77777777" w:rsidR="00BD619A" w:rsidRPr="00DD47DF" w:rsidRDefault="00BD619A" w:rsidP="001D1607">
            <w:pPr>
              <w:pStyle w:val="Tabulka"/>
              <w:keepNext/>
              <w:keepLines/>
              <w:rPr>
                <w:rFonts w:cs="Calibri"/>
              </w:rPr>
            </w:pPr>
            <w:r w:rsidRPr="00DD47DF">
              <w:rPr>
                <w:rFonts w:cs="Calibri"/>
              </w:rPr>
              <w:lastRenderedPageBreak/>
              <w:t>1.1 - Zvýšit inovační výkonnost podniků</w:t>
            </w:r>
          </w:p>
        </w:tc>
        <w:tc>
          <w:tcPr>
            <w:tcW w:w="1882" w:type="dxa"/>
            <w:vAlign w:val="center"/>
          </w:tcPr>
          <w:p w14:paraId="7BCBF6ED" w14:textId="77777777" w:rsidR="005873D6" w:rsidRDefault="00A15054" w:rsidP="00BA1E1C">
            <w:pPr>
              <w:pStyle w:val="Tabulka"/>
              <w:keepNext/>
              <w:keepLines/>
              <w:rPr>
                <w:rFonts w:cs="Calibri"/>
              </w:rPr>
            </w:pPr>
            <w:r w:rsidRPr="00DD47DF">
              <w:t xml:space="preserve"> </w:t>
            </w:r>
            <w:r w:rsidRPr="00DD47DF">
              <w:rPr>
                <w:rFonts w:cs="Calibri"/>
              </w:rPr>
              <w:t>Podnikové výdaje na VaV v podnikatelském sektoru jako % HDP - regiony ČR (mimo hl. m. Praha)</w:t>
            </w:r>
          </w:p>
          <w:p w14:paraId="5ACCD5A3" w14:textId="77777777" w:rsidR="00BD619A" w:rsidRPr="00DD47DF" w:rsidRDefault="008E48D1" w:rsidP="00BA1E1C">
            <w:pPr>
              <w:pStyle w:val="Tabulka"/>
              <w:keepNext/>
              <w:keepLines/>
              <w:rPr>
                <w:rFonts w:cs="Calibri"/>
              </w:rPr>
            </w:pPr>
            <w:r w:rsidRPr="00DD47DF">
              <w:rPr>
                <w:rFonts w:cs="Calibri"/>
              </w:rPr>
              <w:t>Tržby z inovované produkce jako % celkových tržeb podniků s produktovou inovací</w:t>
            </w:r>
          </w:p>
        </w:tc>
      </w:tr>
      <w:tr w:rsidR="00BD619A" w:rsidRPr="00DD47DF" w14:paraId="45403E9C" w14:textId="77777777">
        <w:trPr>
          <w:jc w:val="center"/>
        </w:trPr>
        <w:tc>
          <w:tcPr>
            <w:tcW w:w="1900" w:type="dxa"/>
            <w:vMerge/>
            <w:shd w:val="clear" w:color="auto" w:fill="DBE5F1"/>
            <w:vAlign w:val="center"/>
          </w:tcPr>
          <w:p w14:paraId="6FC1EC8C" w14:textId="77777777" w:rsidR="00BD619A" w:rsidRPr="00DD47DF" w:rsidRDefault="00BD619A" w:rsidP="001D1607">
            <w:pPr>
              <w:pStyle w:val="Tabulka"/>
              <w:keepNext/>
              <w:keepLines/>
              <w:rPr>
                <w:rFonts w:cs="Calibri"/>
              </w:rPr>
            </w:pPr>
          </w:p>
        </w:tc>
        <w:tc>
          <w:tcPr>
            <w:tcW w:w="709" w:type="dxa"/>
            <w:vMerge/>
            <w:vAlign w:val="center"/>
          </w:tcPr>
          <w:p w14:paraId="7D9CB0C4" w14:textId="77777777" w:rsidR="00BD619A" w:rsidRPr="00DD47DF" w:rsidRDefault="00BD619A" w:rsidP="00D40246">
            <w:pPr>
              <w:pStyle w:val="Tabulka"/>
              <w:keepNext/>
              <w:keepLines/>
              <w:rPr>
                <w:rFonts w:cs="Calibri"/>
              </w:rPr>
            </w:pPr>
          </w:p>
        </w:tc>
        <w:tc>
          <w:tcPr>
            <w:tcW w:w="1445" w:type="dxa"/>
            <w:vMerge/>
            <w:vAlign w:val="center"/>
          </w:tcPr>
          <w:p w14:paraId="7F363D6B" w14:textId="77777777" w:rsidR="00BD619A" w:rsidRPr="00DD47DF" w:rsidRDefault="00BD619A" w:rsidP="00D40246">
            <w:pPr>
              <w:pStyle w:val="Tabulka"/>
              <w:keepNext/>
              <w:keepLines/>
              <w:rPr>
                <w:rFonts w:cs="Calibri"/>
              </w:rPr>
            </w:pPr>
          </w:p>
        </w:tc>
        <w:tc>
          <w:tcPr>
            <w:tcW w:w="1330" w:type="dxa"/>
            <w:vMerge/>
            <w:vAlign w:val="center"/>
          </w:tcPr>
          <w:p w14:paraId="5EDF3991" w14:textId="77777777" w:rsidR="00BD619A" w:rsidRPr="00DD47DF" w:rsidRDefault="00BD619A" w:rsidP="00D40246">
            <w:pPr>
              <w:pStyle w:val="Tabulka"/>
              <w:keepNext/>
              <w:keepLines/>
              <w:rPr>
                <w:rFonts w:cs="Calibri"/>
              </w:rPr>
            </w:pPr>
          </w:p>
        </w:tc>
        <w:tc>
          <w:tcPr>
            <w:tcW w:w="1619" w:type="dxa"/>
            <w:vMerge/>
            <w:vAlign w:val="center"/>
          </w:tcPr>
          <w:p w14:paraId="34B047B8" w14:textId="77777777" w:rsidR="00BD619A" w:rsidRPr="00DD47DF" w:rsidRDefault="00BD619A" w:rsidP="00D40246">
            <w:pPr>
              <w:pStyle w:val="Tabulka"/>
              <w:keepNext/>
              <w:keepLines/>
              <w:rPr>
                <w:rFonts w:cs="Calibri"/>
              </w:rPr>
            </w:pPr>
          </w:p>
        </w:tc>
        <w:tc>
          <w:tcPr>
            <w:tcW w:w="3119" w:type="dxa"/>
            <w:vMerge/>
            <w:shd w:val="clear" w:color="auto" w:fill="auto"/>
            <w:vAlign w:val="center"/>
          </w:tcPr>
          <w:p w14:paraId="69BC21BA" w14:textId="77777777" w:rsidR="00BD619A" w:rsidRPr="00DD47DF" w:rsidRDefault="00BD619A" w:rsidP="001D1607">
            <w:pPr>
              <w:pStyle w:val="Tabulka"/>
              <w:keepNext/>
              <w:keepLines/>
              <w:rPr>
                <w:rFonts w:cs="Calibri"/>
              </w:rPr>
            </w:pPr>
          </w:p>
        </w:tc>
        <w:tc>
          <w:tcPr>
            <w:tcW w:w="2254" w:type="dxa"/>
            <w:shd w:val="clear" w:color="auto" w:fill="auto"/>
            <w:vAlign w:val="center"/>
          </w:tcPr>
          <w:p w14:paraId="7166CC23" w14:textId="77777777" w:rsidR="00BD619A" w:rsidRPr="00DD47DF" w:rsidRDefault="00BD619A" w:rsidP="00771951">
            <w:pPr>
              <w:pStyle w:val="Tabulka"/>
              <w:keepNext/>
              <w:keepLines/>
              <w:rPr>
                <w:rFonts w:cs="Calibri"/>
              </w:rPr>
            </w:pPr>
            <w:r w:rsidRPr="00DD47DF">
              <w:rPr>
                <w:rFonts w:cs="Calibri"/>
              </w:rPr>
              <w:t>1.2 – Zvýšit intenzitu a účinnost spolupráce ve výzkumu, vývoji a inovacích</w:t>
            </w:r>
          </w:p>
        </w:tc>
        <w:tc>
          <w:tcPr>
            <w:tcW w:w="1882" w:type="dxa"/>
            <w:vAlign w:val="center"/>
          </w:tcPr>
          <w:p w14:paraId="0FB24651" w14:textId="77777777" w:rsidR="00BD619A" w:rsidRPr="00DD47DF" w:rsidRDefault="008E48D1" w:rsidP="00BA1E1C">
            <w:pPr>
              <w:pStyle w:val="Tabulka"/>
              <w:keepNext/>
              <w:keepLines/>
              <w:rPr>
                <w:rFonts w:cs="Calibri"/>
              </w:rPr>
            </w:pPr>
            <w:r w:rsidRPr="00DD47DF">
              <w:rPr>
                <w:rFonts w:cs="Calibri"/>
              </w:rPr>
              <w:t xml:space="preserve">Výdaje podnikatelského sektoru na provádění VaV ve vládním a vysokoškolském </w:t>
            </w:r>
            <w:r w:rsidRPr="00DD47DF">
              <w:rPr>
                <w:rFonts w:cs="Calibri"/>
              </w:rPr>
              <w:lastRenderedPageBreak/>
              <w:t>sektoru jako % celkových výdajů na provádění VaV v těchto sektorech</w:t>
            </w:r>
          </w:p>
        </w:tc>
      </w:tr>
      <w:tr w:rsidR="00BE6D25" w:rsidRPr="00DD47DF" w14:paraId="3B1BE0F9" w14:textId="77777777">
        <w:trPr>
          <w:trHeight w:val="364"/>
          <w:jc w:val="center"/>
        </w:trPr>
        <w:tc>
          <w:tcPr>
            <w:tcW w:w="1900" w:type="dxa"/>
            <w:vMerge w:val="restart"/>
            <w:shd w:val="clear" w:color="auto" w:fill="DBE5F1"/>
            <w:vAlign w:val="center"/>
          </w:tcPr>
          <w:p w14:paraId="4CAEAE74" w14:textId="77777777" w:rsidR="00BE6D25" w:rsidRPr="00DD47DF" w:rsidRDefault="00BE6D25" w:rsidP="005821F5">
            <w:pPr>
              <w:pStyle w:val="Tabulka"/>
              <w:jc w:val="left"/>
              <w:rPr>
                <w:rFonts w:cs="Calibri"/>
              </w:rPr>
            </w:pPr>
            <w:r w:rsidRPr="00DD47DF">
              <w:rPr>
                <w:rFonts w:cs="Calibri"/>
              </w:rPr>
              <w:lastRenderedPageBreak/>
              <w:t xml:space="preserve">PO 2: Rozvoj podnikání a konkurenceschopnosti malých a středních </w:t>
            </w:r>
            <w:r w:rsidR="005821F5" w:rsidRPr="00DD47DF">
              <w:rPr>
                <w:rFonts w:cs="Calibri"/>
              </w:rPr>
              <w:t>podniků</w:t>
            </w:r>
            <w:r w:rsidRPr="00DD47DF">
              <w:rPr>
                <w:rFonts w:cs="Calibri"/>
              </w:rPr>
              <w:t xml:space="preserve"> </w:t>
            </w:r>
          </w:p>
        </w:tc>
        <w:tc>
          <w:tcPr>
            <w:tcW w:w="709" w:type="dxa"/>
            <w:vAlign w:val="center"/>
          </w:tcPr>
          <w:p w14:paraId="6467726D" w14:textId="77777777" w:rsidR="00BE6D25" w:rsidRPr="00DD47DF" w:rsidRDefault="00BE6D25" w:rsidP="00D40246">
            <w:pPr>
              <w:pStyle w:val="Tabulka"/>
              <w:rPr>
                <w:rFonts w:cs="Calibri"/>
              </w:rPr>
            </w:pPr>
            <w:r w:rsidRPr="00DD47DF">
              <w:rPr>
                <w:rFonts w:cs="Calibri"/>
              </w:rPr>
              <w:t>EFRR</w:t>
            </w:r>
          </w:p>
        </w:tc>
        <w:tc>
          <w:tcPr>
            <w:tcW w:w="1445" w:type="dxa"/>
            <w:vAlign w:val="center"/>
          </w:tcPr>
          <w:p w14:paraId="6F9DBB14" w14:textId="77777777" w:rsidR="00BE6D25" w:rsidRPr="00DD47DF" w:rsidRDefault="00537B82" w:rsidP="00D40246">
            <w:pPr>
              <w:pStyle w:val="Tabulka"/>
              <w:rPr>
                <w:rFonts w:cs="Calibri"/>
              </w:rPr>
            </w:pPr>
            <w:r w:rsidRPr="00DD47DF">
              <w:rPr>
                <w:rFonts w:cs="Calibri"/>
              </w:rPr>
              <w:t>609 428 042</w:t>
            </w:r>
          </w:p>
        </w:tc>
        <w:tc>
          <w:tcPr>
            <w:tcW w:w="1330" w:type="dxa"/>
            <w:vAlign w:val="center"/>
          </w:tcPr>
          <w:p w14:paraId="111ED54C" w14:textId="77777777" w:rsidR="00BE6D25" w:rsidRPr="00DD47DF" w:rsidRDefault="00BD619A" w:rsidP="008E5470">
            <w:pPr>
              <w:pStyle w:val="Tabulka"/>
              <w:rPr>
                <w:rFonts w:cs="Calibri"/>
              </w:rPr>
            </w:pPr>
            <w:r w:rsidRPr="00DD47DF">
              <w:rPr>
                <w:rFonts w:cs="Calibri"/>
              </w:rPr>
              <w:t>1</w:t>
            </w:r>
            <w:r w:rsidR="00847395" w:rsidRPr="00DD47DF">
              <w:rPr>
                <w:rFonts w:cs="Calibri"/>
              </w:rPr>
              <w:t>4</w:t>
            </w:r>
            <w:r w:rsidRPr="00DD47DF">
              <w:rPr>
                <w:rFonts w:cs="Calibri"/>
              </w:rPr>
              <w:t>,</w:t>
            </w:r>
            <w:r w:rsidR="008E5470" w:rsidRPr="00DD47DF">
              <w:rPr>
                <w:rFonts w:cs="Calibri"/>
              </w:rPr>
              <w:t>07</w:t>
            </w:r>
            <w:r w:rsidR="00A74A51" w:rsidRPr="00DD47DF">
              <w:rPr>
                <w:rFonts w:cs="Calibri"/>
              </w:rPr>
              <w:t xml:space="preserve"> %</w:t>
            </w:r>
          </w:p>
        </w:tc>
        <w:tc>
          <w:tcPr>
            <w:tcW w:w="1619" w:type="dxa"/>
            <w:vMerge w:val="restart"/>
            <w:vAlign w:val="center"/>
          </w:tcPr>
          <w:p w14:paraId="66E96ECB" w14:textId="77777777" w:rsidR="00BE6D25" w:rsidRPr="00DD47DF" w:rsidRDefault="00BE6D25" w:rsidP="00D40246">
            <w:pPr>
              <w:pStyle w:val="Tabulka"/>
              <w:rPr>
                <w:rFonts w:cs="Calibri"/>
              </w:rPr>
            </w:pPr>
            <w:r w:rsidRPr="00DD47DF">
              <w:rPr>
                <w:rFonts w:cs="Calibri"/>
              </w:rPr>
              <w:t>3</w:t>
            </w:r>
            <w:r w:rsidR="00CC5E04" w:rsidRPr="00DD47DF">
              <w:rPr>
                <w:rFonts w:cs="Calibri"/>
              </w:rPr>
              <w:t>)</w:t>
            </w:r>
            <w:r w:rsidRPr="00DD47DF">
              <w:rPr>
                <w:rFonts w:cs="Calibri"/>
              </w:rPr>
              <w:t xml:space="preserve"> Zvýšení konkurenceschopnosti malých a středních podniků, odvětví zemědělství (v případě EZFRV) a rybářství a akvakultury (v případě </w:t>
            </w:r>
            <w:r w:rsidR="001B1FD9" w:rsidRPr="00DD47DF">
              <w:rPr>
                <w:rFonts w:cs="Calibri"/>
              </w:rPr>
              <w:t>EMFF</w:t>
            </w:r>
            <w:r w:rsidRPr="00DD47DF">
              <w:rPr>
                <w:rFonts w:cs="Calibri"/>
              </w:rPr>
              <w:t>)</w:t>
            </w:r>
          </w:p>
        </w:tc>
        <w:tc>
          <w:tcPr>
            <w:tcW w:w="3119" w:type="dxa"/>
            <w:shd w:val="clear" w:color="auto" w:fill="auto"/>
            <w:vAlign w:val="center"/>
          </w:tcPr>
          <w:p w14:paraId="244C45B4" w14:textId="77777777" w:rsidR="00BE6D25" w:rsidRPr="00DD47DF" w:rsidRDefault="00B54D2B" w:rsidP="00BE6D25">
            <w:pPr>
              <w:pStyle w:val="Tabulka"/>
              <w:widowControl w:val="0"/>
              <w:rPr>
                <w:rFonts w:cs="Calibri"/>
              </w:rPr>
            </w:pPr>
            <w:r w:rsidRPr="00DD47DF">
              <w:rPr>
                <w:rFonts w:cs="Calibri"/>
              </w:rPr>
              <w:t xml:space="preserve">3 a) </w:t>
            </w:r>
            <w:r w:rsidR="00F27EC3" w:rsidRPr="00DD47DF">
              <w:rPr>
                <w:rFonts w:cs="Calibri"/>
              </w:rPr>
              <w:t>Podpora podnikání, zejména usnadněním hospodářského využívání nových myšlenek a podporou zakládání nových firem</w:t>
            </w:r>
            <w:r w:rsidR="00BE6D25" w:rsidRPr="00DD47DF">
              <w:rPr>
                <w:rFonts w:cs="Calibri"/>
              </w:rPr>
              <w:t>, mimo jiné prostřednictvím podnikatelských inkubátorů</w:t>
            </w:r>
          </w:p>
        </w:tc>
        <w:tc>
          <w:tcPr>
            <w:tcW w:w="2254" w:type="dxa"/>
            <w:shd w:val="clear" w:color="auto" w:fill="auto"/>
            <w:vAlign w:val="center"/>
          </w:tcPr>
          <w:p w14:paraId="1D1AC9B5" w14:textId="77777777" w:rsidR="00BE6D25" w:rsidRPr="00DD47DF" w:rsidRDefault="00BE6D25" w:rsidP="00CE3F25">
            <w:pPr>
              <w:pStyle w:val="Tabulka"/>
              <w:rPr>
                <w:rFonts w:cs="Calibri"/>
              </w:rPr>
            </w:pPr>
            <w:r w:rsidRPr="00DD47DF">
              <w:rPr>
                <w:rFonts w:cs="Calibri"/>
              </w:rPr>
              <w:t xml:space="preserve">2.1 – </w:t>
            </w:r>
            <w:r w:rsidR="00CE3F25" w:rsidRPr="00DD47DF">
              <w:rPr>
                <w:rFonts w:cs="Calibri"/>
              </w:rPr>
              <w:t>Zvýšit konkurenceschopnost začínajících a rozvojových MSP</w:t>
            </w:r>
          </w:p>
        </w:tc>
        <w:tc>
          <w:tcPr>
            <w:tcW w:w="1882" w:type="dxa"/>
            <w:vAlign w:val="center"/>
          </w:tcPr>
          <w:p w14:paraId="27B8EAE3" w14:textId="77777777" w:rsidR="00BE6D25" w:rsidRPr="00DD47DF" w:rsidRDefault="008E48D1" w:rsidP="00BA1E1C">
            <w:pPr>
              <w:pStyle w:val="Tabulka"/>
              <w:rPr>
                <w:rFonts w:cs="Calibri"/>
              </w:rPr>
            </w:pPr>
            <w:r w:rsidRPr="00DD47DF">
              <w:rPr>
                <w:rFonts w:cs="Calibri"/>
              </w:rPr>
              <w:t>Přidaná hodnota MSP jako % přidané hodnoty ČR</w:t>
            </w:r>
          </w:p>
          <w:p w14:paraId="7C17E0E6" w14:textId="77777777" w:rsidR="00282822" w:rsidRPr="00DD47DF" w:rsidRDefault="00282822" w:rsidP="00BA1E1C">
            <w:pPr>
              <w:pStyle w:val="Tabulka"/>
              <w:rPr>
                <w:rFonts w:cs="Calibri"/>
              </w:rPr>
            </w:pPr>
            <w:r w:rsidRPr="00DD47DF">
              <w:rPr>
                <w:rFonts w:cs="Calibri"/>
              </w:rPr>
              <w:t>Míra přežití vzniklých podniků</w:t>
            </w:r>
          </w:p>
        </w:tc>
      </w:tr>
      <w:tr w:rsidR="00BE6D25" w:rsidRPr="00DD47DF" w14:paraId="46FFC858" w14:textId="77777777">
        <w:trPr>
          <w:trHeight w:val="599"/>
          <w:jc w:val="center"/>
        </w:trPr>
        <w:tc>
          <w:tcPr>
            <w:tcW w:w="1900" w:type="dxa"/>
            <w:vMerge/>
            <w:shd w:val="clear" w:color="auto" w:fill="DBE5F1"/>
            <w:vAlign w:val="center"/>
          </w:tcPr>
          <w:p w14:paraId="37928F64" w14:textId="77777777" w:rsidR="00BE6D25" w:rsidRPr="00DD47DF" w:rsidRDefault="00BE6D25" w:rsidP="000E0E9B">
            <w:pPr>
              <w:pStyle w:val="Tabulka"/>
              <w:rPr>
                <w:rFonts w:cs="Calibri"/>
              </w:rPr>
            </w:pPr>
          </w:p>
        </w:tc>
        <w:tc>
          <w:tcPr>
            <w:tcW w:w="709" w:type="dxa"/>
            <w:vAlign w:val="center"/>
          </w:tcPr>
          <w:p w14:paraId="0C93CE7E" w14:textId="77777777" w:rsidR="00BE6D25" w:rsidRPr="00DD47DF" w:rsidRDefault="00BE6D25" w:rsidP="00D40246">
            <w:pPr>
              <w:pStyle w:val="Tabulka"/>
              <w:rPr>
                <w:rFonts w:cs="Calibri"/>
              </w:rPr>
            </w:pPr>
            <w:r w:rsidRPr="00DD47DF">
              <w:rPr>
                <w:rFonts w:cs="Calibri"/>
              </w:rPr>
              <w:t>EFRR</w:t>
            </w:r>
          </w:p>
        </w:tc>
        <w:tc>
          <w:tcPr>
            <w:tcW w:w="1445" w:type="dxa"/>
            <w:vAlign w:val="center"/>
          </w:tcPr>
          <w:p w14:paraId="1D655F1D" w14:textId="77777777" w:rsidR="00BE6D25" w:rsidRPr="00DD47DF" w:rsidRDefault="00537B82" w:rsidP="00D40246">
            <w:pPr>
              <w:pStyle w:val="Tabulka"/>
              <w:rPr>
                <w:rFonts w:cs="Calibri"/>
              </w:rPr>
            </w:pPr>
            <w:r w:rsidRPr="00DD47DF">
              <w:rPr>
                <w:rFonts w:cs="Calibri"/>
              </w:rPr>
              <w:t>56 540 420</w:t>
            </w:r>
          </w:p>
        </w:tc>
        <w:tc>
          <w:tcPr>
            <w:tcW w:w="1330" w:type="dxa"/>
            <w:vAlign w:val="center"/>
          </w:tcPr>
          <w:p w14:paraId="54FE9CDF" w14:textId="77777777" w:rsidR="00BE6D25" w:rsidRPr="00DD47DF" w:rsidRDefault="00847395" w:rsidP="00D40246">
            <w:pPr>
              <w:pStyle w:val="Tabulka"/>
              <w:rPr>
                <w:rFonts w:cs="Calibri"/>
              </w:rPr>
            </w:pPr>
            <w:r w:rsidRPr="00DD47DF">
              <w:rPr>
                <w:rFonts w:cs="Calibri"/>
              </w:rPr>
              <w:t>1,31</w:t>
            </w:r>
            <w:r w:rsidR="00A74A51" w:rsidRPr="00DD47DF">
              <w:rPr>
                <w:rFonts w:cs="Calibri"/>
              </w:rPr>
              <w:t xml:space="preserve"> %</w:t>
            </w:r>
          </w:p>
        </w:tc>
        <w:tc>
          <w:tcPr>
            <w:tcW w:w="1619" w:type="dxa"/>
            <w:vMerge/>
            <w:vAlign w:val="center"/>
          </w:tcPr>
          <w:p w14:paraId="46D4FFD6" w14:textId="77777777" w:rsidR="00BE6D25" w:rsidRPr="00DD47DF" w:rsidRDefault="00BE6D25" w:rsidP="00D40246">
            <w:pPr>
              <w:pStyle w:val="Tabulka"/>
              <w:rPr>
                <w:rFonts w:cs="Calibri"/>
              </w:rPr>
            </w:pPr>
          </w:p>
        </w:tc>
        <w:tc>
          <w:tcPr>
            <w:tcW w:w="3119" w:type="dxa"/>
            <w:shd w:val="clear" w:color="auto" w:fill="auto"/>
            <w:vAlign w:val="center"/>
          </w:tcPr>
          <w:p w14:paraId="74679300" w14:textId="77777777" w:rsidR="00BE6D25" w:rsidRPr="00DD47DF" w:rsidRDefault="00B54D2B" w:rsidP="00BE6D25">
            <w:pPr>
              <w:pStyle w:val="Tabulka"/>
              <w:widowControl w:val="0"/>
              <w:rPr>
                <w:rFonts w:cs="Calibri"/>
              </w:rPr>
            </w:pPr>
            <w:r w:rsidRPr="00DD47DF">
              <w:rPr>
                <w:rFonts w:cs="Calibri"/>
              </w:rPr>
              <w:t xml:space="preserve">3 b) </w:t>
            </w:r>
            <w:r w:rsidR="008C7D72" w:rsidRPr="00DD47DF">
              <w:rPr>
                <w:rFonts w:cs="Calibri"/>
              </w:rPr>
              <w:t>Vyvíjení a provádění nových obchodních modelů</w:t>
            </w:r>
            <w:r w:rsidR="00BE6D25" w:rsidRPr="00DD47DF">
              <w:rPr>
                <w:rFonts w:cs="Calibri"/>
              </w:rPr>
              <w:t xml:space="preserve"> pro MSP, zejména pro oblast mezinárodního obchodu</w:t>
            </w:r>
          </w:p>
        </w:tc>
        <w:tc>
          <w:tcPr>
            <w:tcW w:w="2254" w:type="dxa"/>
            <w:shd w:val="clear" w:color="auto" w:fill="auto"/>
            <w:vAlign w:val="center"/>
          </w:tcPr>
          <w:p w14:paraId="447F542C" w14:textId="77777777" w:rsidR="00BE6D25" w:rsidRPr="00DD47DF" w:rsidRDefault="00BE6D25" w:rsidP="000E0E9B">
            <w:pPr>
              <w:pStyle w:val="Tabulka"/>
              <w:rPr>
                <w:rFonts w:cs="Calibri"/>
              </w:rPr>
            </w:pPr>
            <w:r w:rsidRPr="00DD47DF">
              <w:rPr>
                <w:rFonts w:cs="Calibri"/>
              </w:rPr>
              <w:t xml:space="preserve">2.2 - </w:t>
            </w:r>
            <w:r w:rsidR="00FF3A47" w:rsidRPr="00DD47DF">
              <w:rPr>
                <w:rFonts w:cs="Calibri"/>
              </w:rPr>
              <w:t>Zvýšit internacionalizaci malých a středních podniků</w:t>
            </w:r>
          </w:p>
        </w:tc>
        <w:tc>
          <w:tcPr>
            <w:tcW w:w="1882" w:type="dxa"/>
            <w:vAlign w:val="center"/>
          </w:tcPr>
          <w:p w14:paraId="63CCE87C" w14:textId="77777777" w:rsidR="00BE6D25" w:rsidRPr="00DD47DF" w:rsidRDefault="008E48D1" w:rsidP="00BA1E1C">
            <w:pPr>
              <w:pStyle w:val="Tabulka"/>
              <w:rPr>
                <w:rFonts w:cs="Calibri"/>
              </w:rPr>
            </w:pPr>
            <w:r w:rsidRPr="00DD47DF">
              <w:rPr>
                <w:rFonts w:cs="Calibri"/>
              </w:rPr>
              <w:t>Podíl exportu MSP/celkovým výkonům MSP</w:t>
            </w:r>
          </w:p>
        </w:tc>
      </w:tr>
      <w:tr w:rsidR="00BD619A" w:rsidRPr="00DD47DF" w14:paraId="619F8449" w14:textId="77777777">
        <w:trPr>
          <w:jc w:val="center"/>
        </w:trPr>
        <w:tc>
          <w:tcPr>
            <w:tcW w:w="1900" w:type="dxa"/>
            <w:vMerge/>
            <w:shd w:val="clear" w:color="auto" w:fill="DBE5F1"/>
            <w:vAlign w:val="center"/>
          </w:tcPr>
          <w:p w14:paraId="5DB5B601" w14:textId="77777777" w:rsidR="00BD619A" w:rsidRPr="00DD47DF" w:rsidRDefault="00BD619A" w:rsidP="000E0E9B">
            <w:pPr>
              <w:pStyle w:val="Tabulka"/>
              <w:rPr>
                <w:rFonts w:cs="Calibri"/>
              </w:rPr>
            </w:pPr>
          </w:p>
        </w:tc>
        <w:tc>
          <w:tcPr>
            <w:tcW w:w="709" w:type="dxa"/>
            <w:vMerge w:val="restart"/>
            <w:vAlign w:val="center"/>
          </w:tcPr>
          <w:p w14:paraId="1F141CA2" w14:textId="77777777" w:rsidR="00BD619A" w:rsidRPr="00DD47DF" w:rsidRDefault="00BD619A" w:rsidP="00D40246">
            <w:pPr>
              <w:pStyle w:val="Tabulka"/>
              <w:rPr>
                <w:rFonts w:cs="Calibri"/>
              </w:rPr>
            </w:pPr>
            <w:r w:rsidRPr="00DD47DF">
              <w:rPr>
                <w:rFonts w:cs="Calibri"/>
              </w:rPr>
              <w:t>EFRR</w:t>
            </w:r>
          </w:p>
        </w:tc>
        <w:tc>
          <w:tcPr>
            <w:tcW w:w="1445" w:type="dxa"/>
            <w:vMerge w:val="restart"/>
            <w:vAlign w:val="center"/>
          </w:tcPr>
          <w:p w14:paraId="619B2547" w14:textId="77777777" w:rsidR="00BD619A" w:rsidRPr="00DD47DF" w:rsidRDefault="00537B82" w:rsidP="00D40246">
            <w:pPr>
              <w:pStyle w:val="Tabulka"/>
              <w:rPr>
                <w:rFonts w:cs="Calibri"/>
              </w:rPr>
            </w:pPr>
            <w:r w:rsidRPr="00DD47DF">
              <w:rPr>
                <w:rFonts w:cs="Calibri"/>
              </w:rPr>
              <w:t>226 161 681</w:t>
            </w:r>
          </w:p>
        </w:tc>
        <w:tc>
          <w:tcPr>
            <w:tcW w:w="1330" w:type="dxa"/>
            <w:vMerge w:val="restart"/>
            <w:vAlign w:val="center"/>
          </w:tcPr>
          <w:p w14:paraId="17F1F800" w14:textId="77777777" w:rsidR="00BD619A" w:rsidRPr="00DD47DF" w:rsidRDefault="008E5470" w:rsidP="00D40246">
            <w:pPr>
              <w:pStyle w:val="Tabulka"/>
              <w:rPr>
                <w:rFonts w:cs="Calibri"/>
              </w:rPr>
            </w:pPr>
            <w:r w:rsidRPr="00DD47DF">
              <w:rPr>
                <w:rFonts w:cs="Calibri"/>
              </w:rPr>
              <w:t xml:space="preserve">5,22 </w:t>
            </w:r>
            <w:r w:rsidR="00A74A51" w:rsidRPr="00DD47DF">
              <w:rPr>
                <w:rFonts w:cs="Calibri"/>
              </w:rPr>
              <w:t>%</w:t>
            </w:r>
          </w:p>
        </w:tc>
        <w:tc>
          <w:tcPr>
            <w:tcW w:w="1619" w:type="dxa"/>
            <w:vMerge/>
            <w:vAlign w:val="center"/>
          </w:tcPr>
          <w:p w14:paraId="38C3DE5C" w14:textId="77777777" w:rsidR="00BD619A" w:rsidRPr="00DD47DF" w:rsidRDefault="00BD619A" w:rsidP="00D40246">
            <w:pPr>
              <w:pStyle w:val="Tabulka"/>
              <w:rPr>
                <w:rFonts w:cs="Calibri"/>
              </w:rPr>
            </w:pPr>
          </w:p>
        </w:tc>
        <w:tc>
          <w:tcPr>
            <w:tcW w:w="3119" w:type="dxa"/>
            <w:vMerge w:val="restart"/>
            <w:shd w:val="clear" w:color="auto" w:fill="auto"/>
            <w:vAlign w:val="center"/>
          </w:tcPr>
          <w:p w14:paraId="4D363867" w14:textId="77777777" w:rsidR="00BD619A" w:rsidRPr="00DD47DF" w:rsidRDefault="00B54D2B" w:rsidP="00BE6D25">
            <w:pPr>
              <w:pStyle w:val="Tabulka"/>
              <w:widowControl w:val="0"/>
              <w:rPr>
                <w:rFonts w:cs="Calibri"/>
              </w:rPr>
            </w:pPr>
            <w:r w:rsidRPr="00DD47DF">
              <w:rPr>
                <w:rFonts w:cs="Calibri"/>
              </w:rPr>
              <w:t xml:space="preserve">3 c) </w:t>
            </w:r>
            <w:r w:rsidR="002641C7" w:rsidRPr="00DD47DF">
              <w:rPr>
                <w:rFonts w:cs="Calibri"/>
              </w:rPr>
              <w:t>Podpora vytváření a rozšiřování vyspělých</w:t>
            </w:r>
            <w:r w:rsidR="00BD619A" w:rsidRPr="00DD47DF">
              <w:rPr>
                <w:rFonts w:cs="Calibri"/>
              </w:rPr>
              <w:t xml:space="preserve"> kapacit pro rozvoj produktů a služeb</w:t>
            </w:r>
          </w:p>
        </w:tc>
        <w:tc>
          <w:tcPr>
            <w:tcW w:w="2254" w:type="dxa"/>
            <w:shd w:val="clear" w:color="auto" w:fill="auto"/>
            <w:vAlign w:val="center"/>
          </w:tcPr>
          <w:p w14:paraId="341E9E1C" w14:textId="77777777" w:rsidR="00BD619A" w:rsidRPr="00DD47DF" w:rsidRDefault="00BD619A" w:rsidP="00771951">
            <w:pPr>
              <w:pStyle w:val="Tabulka"/>
              <w:rPr>
                <w:rFonts w:cs="Calibri"/>
              </w:rPr>
            </w:pPr>
            <w:r w:rsidRPr="00DD47DF">
              <w:rPr>
                <w:rFonts w:cs="Calibri"/>
              </w:rPr>
              <w:t>2.3 – Zvýšit využitelnost infrastruktury pro podnikání</w:t>
            </w:r>
          </w:p>
        </w:tc>
        <w:tc>
          <w:tcPr>
            <w:tcW w:w="1882" w:type="dxa"/>
            <w:vAlign w:val="center"/>
          </w:tcPr>
          <w:p w14:paraId="15A47815" w14:textId="77777777" w:rsidR="00BD619A" w:rsidRPr="00DD47DF" w:rsidRDefault="00831F28" w:rsidP="00BA1E1C">
            <w:pPr>
              <w:pStyle w:val="Tabulka"/>
              <w:rPr>
                <w:rFonts w:cs="Calibri"/>
              </w:rPr>
            </w:pPr>
            <w:r w:rsidRPr="00DD47DF">
              <w:rPr>
                <w:rFonts w:cs="Calibri"/>
              </w:rPr>
              <w:t>Celková rozloha regenerovaných lokalit v Národní databázi brownfieldů pro ekonomické využití MSP</w:t>
            </w:r>
          </w:p>
        </w:tc>
      </w:tr>
      <w:tr w:rsidR="00BD619A" w:rsidRPr="00DD47DF" w14:paraId="6B12AF52" w14:textId="77777777">
        <w:trPr>
          <w:jc w:val="center"/>
        </w:trPr>
        <w:tc>
          <w:tcPr>
            <w:tcW w:w="1900" w:type="dxa"/>
            <w:vMerge/>
            <w:shd w:val="clear" w:color="auto" w:fill="DBE5F1"/>
            <w:vAlign w:val="center"/>
          </w:tcPr>
          <w:p w14:paraId="3FA2C960" w14:textId="77777777" w:rsidR="00BD619A" w:rsidRPr="00DD47DF" w:rsidRDefault="00BD619A" w:rsidP="000E0E9B">
            <w:pPr>
              <w:pStyle w:val="Tabulka"/>
              <w:rPr>
                <w:rFonts w:cs="Calibri"/>
              </w:rPr>
            </w:pPr>
          </w:p>
        </w:tc>
        <w:tc>
          <w:tcPr>
            <w:tcW w:w="709" w:type="dxa"/>
            <w:vMerge/>
            <w:vAlign w:val="center"/>
          </w:tcPr>
          <w:p w14:paraId="63142E15" w14:textId="77777777" w:rsidR="00BD619A" w:rsidRPr="00DD47DF" w:rsidRDefault="00BD619A" w:rsidP="00D40246">
            <w:pPr>
              <w:pStyle w:val="Tabulka"/>
              <w:rPr>
                <w:rFonts w:cs="Calibri"/>
              </w:rPr>
            </w:pPr>
          </w:p>
        </w:tc>
        <w:tc>
          <w:tcPr>
            <w:tcW w:w="1445" w:type="dxa"/>
            <w:vMerge/>
            <w:vAlign w:val="center"/>
          </w:tcPr>
          <w:p w14:paraId="1838BD0A" w14:textId="77777777" w:rsidR="00BD619A" w:rsidRPr="00DD47DF" w:rsidRDefault="00BD619A" w:rsidP="00D40246">
            <w:pPr>
              <w:pStyle w:val="Tabulka"/>
              <w:rPr>
                <w:rFonts w:cs="Calibri"/>
              </w:rPr>
            </w:pPr>
          </w:p>
        </w:tc>
        <w:tc>
          <w:tcPr>
            <w:tcW w:w="1330" w:type="dxa"/>
            <w:vMerge/>
            <w:vAlign w:val="center"/>
          </w:tcPr>
          <w:p w14:paraId="53B8E134" w14:textId="77777777" w:rsidR="00BD619A" w:rsidRPr="00DD47DF" w:rsidRDefault="00BD619A" w:rsidP="00D40246">
            <w:pPr>
              <w:pStyle w:val="Tabulka"/>
              <w:rPr>
                <w:rFonts w:cs="Calibri"/>
              </w:rPr>
            </w:pPr>
          </w:p>
        </w:tc>
        <w:tc>
          <w:tcPr>
            <w:tcW w:w="1619" w:type="dxa"/>
            <w:vMerge/>
            <w:vAlign w:val="center"/>
          </w:tcPr>
          <w:p w14:paraId="76A4670C" w14:textId="77777777" w:rsidR="00BD619A" w:rsidRPr="00DD47DF" w:rsidRDefault="00BD619A" w:rsidP="00D40246">
            <w:pPr>
              <w:pStyle w:val="Tabulka"/>
              <w:rPr>
                <w:rFonts w:cs="Calibri"/>
              </w:rPr>
            </w:pPr>
          </w:p>
        </w:tc>
        <w:tc>
          <w:tcPr>
            <w:tcW w:w="3119" w:type="dxa"/>
            <w:vMerge/>
            <w:shd w:val="clear" w:color="auto" w:fill="auto"/>
            <w:vAlign w:val="center"/>
          </w:tcPr>
          <w:p w14:paraId="1C122B6D" w14:textId="77777777" w:rsidR="00BD619A" w:rsidRPr="00DD47DF" w:rsidRDefault="00BD619A" w:rsidP="000E0E9B">
            <w:pPr>
              <w:pStyle w:val="Tabulka"/>
              <w:rPr>
                <w:rFonts w:cs="Calibri"/>
              </w:rPr>
            </w:pPr>
          </w:p>
        </w:tc>
        <w:tc>
          <w:tcPr>
            <w:tcW w:w="2254" w:type="dxa"/>
            <w:shd w:val="clear" w:color="auto" w:fill="auto"/>
            <w:vAlign w:val="center"/>
          </w:tcPr>
          <w:p w14:paraId="0018B604" w14:textId="77777777" w:rsidR="00BD619A" w:rsidRPr="00DD47DF" w:rsidRDefault="00BD619A" w:rsidP="00AC3ECC">
            <w:pPr>
              <w:pStyle w:val="Tabulka"/>
              <w:rPr>
                <w:rFonts w:cs="Calibri"/>
              </w:rPr>
            </w:pPr>
            <w:r w:rsidRPr="00DD47DF">
              <w:rPr>
                <w:rFonts w:cs="Calibri"/>
              </w:rPr>
              <w:t xml:space="preserve">2.4 - </w:t>
            </w:r>
            <w:r w:rsidR="00AC3ECC" w:rsidRPr="00DD47DF">
              <w:rPr>
                <w:rFonts w:cs="Calibri"/>
              </w:rPr>
              <w:t>Zvýšit kapacitu pro odborné vzdělávání v MSP</w:t>
            </w:r>
          </w:p>
        </w:tc>
        <w:tc>
          <w:tcPr>
            <w:tcW w:w="1882" w:type="dxa"/>
            <w:vAlign w:val="center"/>
          </w:tcPr>
          <w:p w14:paraId="4F0B5A85" w14:textId="77777777" w:rsidR="00BD619A" w:rsidRPr="00DD47DF" w:rsidRDefault="00CD4307" w:rsidP="00CD4307">
            <w:pPr>
              <w:pStyle w:val="Tabulka"/>
              <w:rPr>
                <w:rFonts w:cs="Calibri"/>
              </w:rPr>
            </w:pPr>
            <w:r w:rsidRPr="00DD47DF">
              <w:t xml:space="preserve"> </w:t>
            </w:r>
            <w:r w:rsidRPr="00DD47DF">
              <w:rPr>
                <w:rFonts w:cs="Calibri"/>
              </w:rPr>
              <w:t>Podíl účastníků</w:t>
            </w:r>
            <w:r w:rsidR="00CB650E" w:rsidRPr="00DD47DF">
              <w:rPr>
                <w:rFonts w:cs="Calibri"/>
              </w:rPr>
              <w:t xml:space="preserve"> </w:t>
            </w:r>
            <w:r w:rsidRPr="00DD47DF">
              <w:rPr>
                <w:rFonts w:cs="Calibri"/>
              </w:rPr>
              <w:t>kurzů dalšího odborného vzdělávání na celkovém počtu</w:t>
            </w:r>
            <w:r w:rsidR="00CB650E" w:rsidRPr="00DD47DF">
              <w:rPr>
                <w:rFonts w:cs="Calibri"/>
              </w:rPr>
              <w:t xml:space="preserve"> </w:t>
            </w:r>
            <w:r w:rsidRPr="00DD47DF">
              <w:rPr>
                <w:rFonts w:cs="Calibri"/>
              </w:rPr>
              <w:t>zaměstnaných osob u malých podniků</w:t>
            </w:r>
          </w:p>
          <w:p w14:paraId="019C7A76" w14:textId="77777777" w:rsidR="00CD4307" w:rsidRPr="00DD47DF" w:rsidRDefault="00CD4307" w:rsidP="00DA11F9">
            <w:pPr>
              <w:pStyle w:val="Tabulka"/>
              <w:rPr>
                <w:rFonts w:cs="Calibri"/>
              </w:rPr>
            </w:pPr>
            <w:r w:rsidRPr="00DD47DF">
              <w:rPr>
                <w:rFonts w:cs="Calibri"/>
              </w:rPr>
              <w:t>Podíl účastníků</w:t>
            </w:r>
            <w:r w:rsidR="00DA11F9" w:rsidRPr="00DD47DF">
              <w:rPr>
                <w:rFonts w:cs="Calibri"/>
              </w:rPr>
              <w:t xml:space="preserve"> </w:t>
            </w:r>
            <w:r w:rsidRPr="00DD47DF">
              <w:rPr>
                <w:rFonts w:cs="Calibri"/>
              </w:rPr>
              <w:t xml:space="preserve">kurzů dalšího </w:t>
            </w:r>
            <w:r w:rsidRPr="00DD47DF">
              <w:rPr>
                <w:rFonts w:cs="Calibri"/>
              </w:rPr>
              <w:lastRenderedPageBreak/>
              <w:t>odborného vzdělávání na celkovém počtu</w:t>
            </w:r>
            <w:r w:rsidR="00CB650E" w:rsidRPr="00DD47DF">
              <w:rPr>
                <w:rFonts w:cs="Calibri"/>
              </w:rPr>
              <w:t xml:space="preserve"> </w:t>
            </w:r>
            <w:r w:rsidRPr="00DD47DF">
              <w:rPr>
                <w:rFonts w:cs="Calibri"/>
              </w:rPr>
              <w:t>zaměstnaných osob u středních podniků</w:t>
            </w:r>
          </w:p>
        </w:tc>
      </w:tr>
      <w:tr w:rsidR="00DB5E8B" w:rsidRPr="00DD47DF" w14:paraId="393A4EFB" w14:textId="77777777">
        <w:trPr>
          <w:jc w:val="center"/>
        </w:trPr>
        <w:tc>
          <w:tcPr>
            <w:tcW w:w="1900" w:type="dxa"/>
            <w:vMerge w:val="restart"/>
            <w:shd w:val="clear" w:color="auto" w:fill="DBE5F1"/>
            <w:vAlign w:val="center"/>
          </w:tcPr>
          <w:p w14:paraId="46DCCE4E" w14:textId="77777777" w:rsidR="00DB5E8B" w:rsidRPr="00DD47DF" w:rsidRDefault="00DB5E8B" w:rsidP="009670FD">
            <w:pPr>
              <w:pStyle w:val="Tabulka"/>
              <w:jc w:val="left"/>
              <w:rPr>
                <w:rFonts w:cs="Calibri"/>
              </w:rPr>
            </w:pPr>
            <w:r w:rsidRPr="00DD47DF">
              <w:rPr>
                <w:rFonts w:cs="Calibri"/>
              </w:rPr>
              <w:lastRenderedPageBreak/>
              <w:t xml:space="preserve">PO 3: Účinné nakládání energií, rozvoj energetické infrastruktury a obnovitelných zdrojů energie, podpora zavádění nových technologií v oblasti nakládání energií a druhotných surovin </w:t>
            </w:r>
          </w:p>
          <w:p w14:paraId="1FE372E9" w14:textId="77777777" w:rsidR="00DB5E8B" w:rsidRPr="00DD47DF" w:rsidRDefault="00DB5E8B" w:rsidP="000E0E9B">
            <w:pPr>
              <w:pStyle w:val="Tabulka"/>
              <w:rPr>
                <w:rFonts w:cs="Calibri"/>
              </w:rPr>
            </w:pPr>
          </w:p>
        </w:tc>
        <w:tc>
          <w:tcPr>
            <w:tcW w:w="709" w:type="dxa"/>
            <w:vAlign w:val="center"/>
          </w:tcPr>
          <w:p w14:paraId="73BC0FAF"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10B2B1E0" w14:textId="77777777" w:rsidR="00DB5E8B" w:rsidRPr="00DD47DF" w:rsidRDefault="00537B82" w:rsidP="00D40246">
            <w:pPr>
              <w:pStyle w:val="Tabulka"/>
              <w:rPr>
                <w:rFonts w:cs="Calibri"/>
              </w:rPr>
            </w:pPr>
            <w:r w:rsidRPr="00DD47DF">
              <w:rPr>
                <w:rFonts w:cs="Calibri"/>
              </w:rPr>
              <w:t>53 519 176</w:t>
            </w:r>
          </w:p>
        </w:tc>
        <w:tc>
          <w:tcPr>
            <w:tcW w:w="1330" w:type="dxa"/>
            <w:vAlign w:val="center"/>
          </w:tcPr>
          <w:p w14:paraId="325E973F" w14:textId="77777777" w:rsidR="00DB5E8B" w:rsidRPr="00DD47DF" w:rsidRDefault="00DB5E8B" w:rsidP="00847395">
            <w:pPr>
              <w:pStyle w:val="Tabulka"/>
              <w:rPr>
                <w:rFonts w:cs="Calibri"/>
              </w:rPr>
            </w:pPr>
            <w:r w:rsidRPr="00DD47DF">
              <w:rPr>
                <w:rFonts w:cs="Calibri"/>
              </w:rPr>
              <w:t>1,2</w:t>
            </w:r>
            <w:r w:rsidR="008E5470" w:rsidRPr="00DD47DF">
              <w:rPr>
                <w:rFonts w:cs="Calibri"/>
              </w:rPr>
              <w:t>3</w:t>
            </w:r>
            <w:r w:rsidRPr="00DD47DF">
              <w:rPr>
                <w:rFonts w:cs="Calibri"/>
              </w:rPr>
              <w:t xml:space="preserve"> %</w:t>
            </w:r>
          </w:p>
        </w:tc>
        <w:tc>
          <w:tcPr>
            <w:tcW w:w="1619" w:type="dxa"/>
            <w:vMerge w:val="restart"/>
            <w:vAlign w:val="center"/>
          </w:tcPr>
          <w:p w14:paraId="71DD208E" w14:textId="77777777" w:rsidR="00DB5E8B" w:rsidRPr="00DD47DF" w:rsidRDefault="00DB5E8B" w:rsidP="00D40246">
            <w:pPr>
              <w:pStyle w:val="Tabulka"/>
              <w:rPr>
                <w:rFonts w:cs="Calibri"/>
              </w:rPr>
            </w:pPr>
            <w:r w:rsidRPr="00DD47DF">
              <w:rPr>
                <w:rFonts w:cs="Calibri"/>
              </w:rPr>
              <w:t>4</w:t>
            </w:r>
            <w:r w:rsidR="00CC5E04" w:rsidRPr="00DD47DF">
              <w:rPr>
                <w:rFonts w:cs="Calibri"/>
              </w:rPr>
              <w:t>)</w:t>
            </w:r>
            <w:r w:rsidRPr="00DD47DF">
              <w:rPr>
                <w:rFonts w:cs="Calibri"/>
              </w:rPr>
              <w:t xml:space="preserve"> Podpora přechodu na nízkouhlíkové hospodářství ve všech odvětvích</w:t>
            </w:r>
          </w:p>
        </w:tc>
        <w:tc>
          <w:tcPr>
            <w:tcW w:w="3119" w:type="dxa"/>
            <w:shd w:val="clear" w:color="auto" w:fill="auto"/>
            <w:vAlign w:val="center"/>
          </w:tcPr>
          <w:p w14:paraId="4B36CB2A" w14:textId="77777777" w:rsidR="00DB5E8B" w:rsidRPr="00DD47DF" w:rsidRDefault="00B54D2B" w:rsidP="00BE6D25">
            <w:pPr>
              <w:pStyle w:val="Tabulka"/>
              <w:widowControl w:val="0"/>
              <w:rPr>
                <w:rFonts w:cs="Calibri"/>
              </w:rPr>
            </w:pPr>
            <w:r w:rsidRPr="00DD47DF">
              <w:rPr>
                <w:rFonts w:cs="Calibri"/>
              </w:rPr>
              <w:t xml:space="preserve">4 a) </w:t>
            </w:r>
            <w:r w:rsidR="00DB5E8B" w:rsidRPr="00DD47DF">
              <w:rPr>
                <w:rFonts w:cs="Calibri"/>
              </w:rPr>
              <w:t>Podpora výroby a distribuce energie pocházející z obnovitelných zdrojů</w:t>
            </w:r>
          </w:p>
        </w:tc>
        <w:tc>
          <w:tcPr>
            <w:tcW w:w="2254" w:type="dxa"/>
            <w:shd w:val="clear" w:color="auto" w:fill="auto"/>
            <w:vAlign w:val="center"/>
          </w:tcPr>
          <w:p w14:paraId="101CF389" w14:textId="77777777" w:rsidR="00DB5E8B" w:rsidRPr="00DD47DF" w:rsidRDefault="00DB5E8B" w:rsidP="00771951">
            <w:pPr>
              <w:pStyle w:val="Tabulka"/>
              <w:rPr>
                <w:rFonts w:cs="Calibri"/>
              </w:rPr>
            </w:pPr>
            <w:r w:rsidRPr="00DD47DF">
              <w:rPr>
                <w:rFonts w:cs="Calibri"/>
              </w:rPr>
              <w:t>3.1 – Zvýšit podíl výroby energie z obnovitelných zdrojů na hrubé konečné spotřebě ČR</w:t>
            </w:r>
          </w:p>
        </w:tc>
        <w:tc>
          <w:tcPr>
            <w:tcW w:w="1882" w:type="dxa"/>
            <w:vAlign w:val="center"/>
          </w:tcPr>
          <w:p w14:paraId="41B78A1D" w14:textId="77777777" w:rsidR="00DB5E8B" w:rsidRPr="00DD47DF" w:rsidRDefault="000817E2" w:rsidP="00BA1E1C">
            <w:pPr>
              <w:pStyle w:val="Tabulka"/>
              <w:rPr>
                <w:rFonts w:cs="Calibri"/>
              </w:rPr>
            </w:pPr>
            <w:r w:rsidRPr="00DD47DF">
              <w:rPr>
                <w:rFonts w:cs="Calibri"/>
              </w:rPr>
              <w:t>Celkový instalovaný výkon</w:t>
            </w:r>
            <w:r w:rsidR="000B5A68" w:rsidRPr="00DD47DF">
              <w:rPr>
                <w:rFonts w:cs="Calibri"/>
              </w:rPr>
              <w:t xml:space="preserve"> z OZE</w:t>
            </w:r>
          </w:p>
        </w:tc>
      </w:tr>
      <w:tr w:rsidR="00DB5E8B" w:rsidRPr="00DD47DF" w14:paraId="6638DDA3" w14:textId="77777777">
        <w:trPr>
          <w:jc w:val="center"/>
        </w:trPr>
        <w:tc>
          <w:tcPr>
            <w:tcW w:w="1900" w:type="dxa"/>
            <w:vMerge/>
            <w:shd w:val="clear" w:color="auto" w:fill="DBE5F1"/>
            <w:vAlign w:val="center"/>
          </w:tcPr>
          <w:p w14:paraId="0CF4C1DD" w14:textId="77777777" w:rsidR="00DB5E8B" w:rsidRPr="00DD47DF" w:rsidRDefault="00DB5E8B" w:rsidP="000E0E9B">
            <w:pPr>
              <w:pStyle w:val="Tabulka"/>
              <w:rPr>
                <w:rFonts w:cs="Calibri"/>
              </w:rPr>
            </w:pPr>
          </w:p>
        </w:tc>
        <w:tc>
          <w:tcPr>
            <w:tcW w:w="709" w:type="dxa"/>
            <w:vAlign w:val="center"/>
          </w:tcPr>
          <w:p w14:paraId="24BDE420"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23E552E1" w14:textId="77777777" w:rsidR="00DB5E8B" w:rsidRPr="00DD47DF" w:rsidRDefault="00537B82" w:rsidP="00D40246">
            <w:pPr>
              <w:pStyle w:val="Tabulka"/>
              <w:rPr>
                <w:rFonts w:cs="Calibri"/>
              </w:rPr>
            </w:pPr>
            <w:r w:rsidRPr="00DD47DF">
              <w:rPr>
                <w:rFonts w:cs="Calibri"/>
              </w:rPr>
              <w:t>746 247 226</w:t>
            </w:r>
          </w:p>
        </w:tc>
        <w:tc>
          <w:tcPr>
            <w:tcW w:w="1330" w:type="dxa"/>
            <w:vAlign w:val="center"/>
          </w:tcPr>
          <w:p w14:paraId="2FA93E82" w14:textId="77777777" w:rsidR="00DB5E8B" w:rsidRPr="00DD47DF" w:rsidRDefault="00DB5E8B" w:rsidP="008E5470">
            <w:pPr>
              <w:pStyle w:val="Tabulka"/>
              <w:rPr>
                <w:rFonts w:cs="Calibri"/>
              </w:rPr>
            </w:pPr>
            <w:r w:rsidRPr="00DD47DF">
              <w:rPr>
                <w:rFonts w:cs="Calibri"/>
              </w:rPr>
              <w:t>1</w:t>
            </w:r>
            <w:r w:rsidR="00847395" w:rsidRPr="00DD47DF">
              <w:rPr>
                <w:rFonts w:cs="Calibri"/>
              </w:rPr>
              <w:t>7</w:t>
            </w:r>
            <w:r w:rsidRPr="00DD47DF">
              <w:rPr>
                <w:rFonts w:cs="Calibri"/>
              </w:rPr>
              <w:t>,</w:t>
            </w:r>
            <w:r w:rsidR="00115A81" w:rsidRPr="00DD47DF">
              <w:rPr>
                <w:rFonts w:cs="Calibri"/>
              </w:rPr>
              <w:t>2</w:t>
            </w:r>
            <w:r w:rsidR="008E5470" w:rsidRPr="00DD47DF">
              <w:rPr>
                <w:rFonts w:cs="Calibri"/>
              </w:rPr>
              <w:t>3</w:t>
            </w:r>
            <w:r w:rsidRPr="00DD47DF">
              <w:rPr>
                <w:rFonts w:cs="Calibri"/>
              </w:rPr>
              <w:t xml:space="preserve"> %</w:t>
            </w:r>
          </w:p>
        </w:tc>
        <w:tc>
          <w:tcPr>
            <w:tcW w:w="1619" w:type="dxa"/>
            <w:vMerge/>
            <w:vAlign w:val="center"/>
          </w:tcPr>
          <w:p w14:paraId="0ACFC09F" w14:textId="77777777" w:rsidR="00DB5E8B" w:rsidRPr="00DD47DF" w:rsidRDefault="00DB5E8B" w:rsidP="00D40246">
            <w:pPr>
              <w:pStyle w:val="Tabulka"/>
              <w:rPr>
                <w:rFonts w:cs="Calibri"/>
              </w:rPr>
            </w:pPr>
          </w:p>
        </w:tc>
        <w:tc>
          <w:tcPr>
            <w:tcW w:w="3119" w:type="dxa"/>
            <w:shd w:val="clear" w:color="auto" w:fill="auto"/>
            <w:vAlign w:val="center"/>
          </w:tcPr>
          <w:p w14:paraId="5F1D3A80" w14:textId="77777777" w:rsidR="00DB5E8B" w:rsidRPr="00DD47DF" w:rsidRDefault="00B54D2B" w:rsidP="00BE6D25">
            <w:pPr>
              <w:pStyle w:val="Tabulka"/>
              <w:widowControl w:val="0"/>
              <w:rPr>
                <w:rFonts w:cs="Calibri"/>
              </w:rPr>
            </w:pPr>
            <w:r w:rsidRPr="00DD47DF">
              <w:rPr>
                <w:rFonts w:cs="Calibri"/>
              </w:rPr>
              <w:t xml:space="preserve">4 b) </w:t>
            </w:r>
            <w:r w:rsidR="00DB5E8B" w:rsidRPr="00DD47DF">
              <w:rPr>
                <w:rFonts w:cs="Calibri"/>
              </w:rPr>
              <w:t>Podpora energetické účinnosti a využívání energie z obnovitelných zdrojů v podnicích</w:t>
            </w:r>
          </w:p>
        </w:tc>
        <w:tc>
          <w:tcPr>
            <w:tcW w:w="2254" w:type="dxa"/>
            <w:shd w:val="clear" w:color="auto" w:fill="auto"/>
            <w:vAlign w:val="center"/>
          </w:tcPr>
          <w:p w14:paraId="7F5A16D0" w14:textId="77777777" w:rsidR="00DB5E8B" w:rsidRPr="00DD47DF" w:rsidRDefault="00DB5E8B" w:rsidP="008A674D">
            <w:pPr>
              <w:pStyle w:val="Tabulka"/>
              <w:rPr>
                <w:rFonts w:cs="Calibri"/>
              </w:rPr>
            </w:pPr>
            <w:r w:rsidRPr="00DD47DF">
              <w:rPr>
                <w:rFonts w:cs="Calibri"/>
              </w:rPr>
              <w:t xml:space="preserve">3.2 – </w:t>
            </w:r>
            <w:r w:rsidR="00A72338" w:rsidRPr="00DD47DF">
              <w:rPr>
                <w:rFonts w:cs="Calibri"/>
              </w:rPr>
              <w:t>Zvýšit energetickou účinnost podnikatelského sektoru</w:t>
            </w:r>
          </w:p>
        </w:tc>
        <w:tc>
          <w:tcPr>
            <w:tcW w:w="1882" w:type="dxa"/>
            <w:vAlign w:val="center"/>
          </w:tcPr>
          <w:p w14:paraId="3E2A335B" w14:textId="77777777" w:rsidR="00DB5E8B" w:rsidRPr="00DD47DF" w:rsidRDefault="008E48D1" w:rsidP="00BA1E1C">
            <w:pPr>
              <w:pStyle w:val="Tabulka"/>
              <w:rPr>
                <w:rFonts w:cs="Calibri"/>
              </w:rPr>
            </w:pPr>
            <w:r w:rsidRPr="00DD47DF">
              <w:rPr>
                <w:rFonts w:cs="Calibri"/>
              </w:rPr>
              <w:t>Čistá konečná spotřeba energie</w:t>
            </w:r>
            <w:r w:rsidR="00710CBB" w:rsidRPr="00DD47DF">
              <w:rPr>
                <w:rFonts w:cs="Calibri"/>
              </w:rPr>
              <w:t xml:space="preserve"> v průmyslu</w:t>
            </w:r>
          </w:p>
          <w:p w14:paraId="74010565" w14:textId="77777777" w:rsidR="00710CBB" w:rsidRPr="00DD47DF" w:rsidRDefault="00710CBB" w:rsidP="00BA1E1C">
            <w:pPr>
              <w:pStyle w:val="Tabulka"/>
              <w:rPr>
                <w:rFonts w:cs="Calibri"/>
              </w:rPr>
            </w:pPr>
            <w:r w:rsidRPr="00DD47DF">
              <w:rPr>
                <w:rFonts w:cs="Calibri"/>
              </w:rPr>
              <w:t>Čistá konečná spotřeba energie ve službách</w:t>
            </w:r>
          </w:p>
        </w:tc>
      </w:tr>
      <w:tr w:rsidR="00DB5E8B" w:rsidRPr="00DD47DF" w14:paraId="299F08E4" w14:textId="77777777">
        <w:trPr>
          <w:jc w:val="center"/>
        </w:trPr>
        <w:tc>
          <w:tcPr>
            <w:tcW w:w="1900" w:type="dxa"/>
            <w:vMerge/>
            <w:shd w:val="clear" w:color="auto" w:fill="DBE5F1"/>
            <w:vAlign w:val="center"/>
          </w:tcPr>
          <w:p w14:paraId="2E9BB06D" w14:textId="77777777" w:rsidR="00DB5E8B" w:rsidRPr="00DD47DF" w:rsidRDefault="00DB5E8B" w:rsidP="000E0E9B">
            <w:pPr>
              <w:pStyle w:val="Tabulka"/>
              <w:rPr>
                <w:rFonts w:cs="Calibri"/>
              </w:rPr>
            </w:pPr>
          </w:p>
        </w:tc>
        <w:tc>
          <w:tcPr>
            <w:tcW w:w="709" w:type="dxa"/>
            <w:vAlign w:val="center"/>
          </w:tcPr>
          <w:p w14:paraId="25CC02E4"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1E97AEA3" w14:textId="77777777" w:rsidR="00DB5E8B" w:rsidRPr="00DD47DF" w:rsidRDefault="00537B82" w:rsidP="00D40246">
            <w:pPr>
              <w:pStyle w:val="Tabulka"/>
              <w:rPr>
                <w:rFonts w:cs="Calibri"/>
              </w:rPr>
            </w:pPr>
            <w:r w:rsidRPr="00DD47DF">
              <w:rPr>
                <w:rFonts w:cs="Calibri"/>
              </w:rPr>
              <w:t>37 118 139</w:t>
            </w:r>
          </w:p>
        </w:tc>
        <w:tc>
          <w:tcPr>
            <w:tcW w:w="1330" w:type="dxa"/>
            <w:vAlign w:val="center"/>
          </w:tcPr>
          <w:p w14:paraId="3C135378" w14:textId="77777777" w:rsidR="00DB5E8B" w:rsidRPr="00DD47DF" w:rsidRDefault="00DB5E8B" w:rsidP="00115A81">
            <w:pPr>
              <w:pStyle w:val="Tabulka"/>
              <w:rPr>
                <w:rFonts w:cs="Calibri"/>
              </w:rPr>
            </w:pPr>
            <w:r w:rsidRPr="00DD47DF">
              <w:rPr>
                <w:rFonts w:cs="Calibri"/>
              </w:rPr>
              <w:t>0,8</w:t>
            </w:r>
            <w:r w:rsidR="00115A81" w:rsidRPr="00DD47DF">
              <w:rPr>
                <w:rFonts w:cs="Calibri"/>
              </w:rPr>
              <w:t>6</w:t>
            </w:r>
            <w:r w:rsidRPr="00DD47DF">
              <w:rPr>
                <w:rFonts w:cs="Calibri"/>
              </w:rPr>
              <w:t xml:space="preserve"> %</w:t>
            </w:r>
          </w:p>
        </w:tc>
        <w:tc>
          <w:tcPr>
            <w:tcW w:w="1619" w:type="dxa"/>
            <w:vMerge/>
            <w:vAlign w:val="center"/>
          </w:tcPr>
          <w:p w14:paraId="4C75FB88" w14:textId="77777777" w:rsidR="00DB5E8B" w:rsidRPr="00DD47DF" w:rsidRDefault="00DB5E8B" w:rsidP="00D40246">
            <w:pPr>
              <w:pStyle w:val="Tabulka"/>
              <w:rPr>
                <w:rFonts w:cs="Calibri"/>
              </w:rPr>
            </w:pPr>
          </w:p>
        </w:tc>
        <w:tc>
          <w:tcPr>
            <w:tcW w:w="3119" w:type="dxa"/>
            <w:shd w:val="clear" w:color="auto" w:fill="auto"/>
            <w:vAlign w:val="center"/>
          </w:tcPr>
          <w:p w14:paraId="653F818C" w14:textId="77777777" w:rsidR="00DB5E8B" w:rsidRPr="00DD47DF" w:rsidRDefault="00B54D2B" w:rsidP="00BE6D25">
            <w:pPr>
              <w:pStyle w:val="Tabulka"/>
              <w:widowControl w:val="0"/>
              <w:rPr>
                <w:rFonts w:cs="Calibri"/>
              </w:rPr>
            </w:pPr>
            <w:r w:rsidRPr="00DD47DF">
              <w:rPr>
                <w:rFonts w:cs="Calibri"/>
              </w:rPr>
              <w:t xml:space="preserve">4 d) </w:t>
            </w:r>
            <w:r w:rsidR="00DB5E8B" w:rsidRPr="00DD47DF">
              <w:rPr>
                <w:rFonts w:cs="Calibri"/>
              </w:rPr>
              <w:t>Rozvoj a zavádění inteligentních distribučních soustav, jež fungují na hladině nízkého a středního napětí</w:t>
            </w:r>
          </w:p>
        </w:tc>
        <w:tc>
          <w:tcPr>
            <w:tcW w:w="2254" w:type="dxa"/>
            <w:shd w:val="clear" w:color="auto" w:fill="auto"/>
            <w:vAlign w:val="center"/>
          </w:tcPr>
          <w:p w14:paraId="5059BC56" w14:textId="77777777" w:rsidR="00DB5E8B" w:rsidRPr="00DD47DF" w:rsidRDefault="00DB5E8B" w:rsidP="000E0E9B">
            <w:pPr>
              <w:pStyle w:val="Tabulka"/>
              <w:rPr>
                <w:rFonts w:cs="Calibri"/>
              </w:rPr>
            </w:pPr>
            <w:r w:rsidRPr="00DD47DF">
              <w:rPr>
                <w:rFonts w:cs="Calibri"/>
              </w:rPr>
              <w:t xml:space="preserve">3.3 - </w:t>
            </w:r>
            <w:r w:rsidR="00E314F2" w:rsidRPr="00DD47DF">
              <w:rPr>
                <w:rFonts w:cs="Calibri"/>
              </w:rPr>
              <w:t>Zvýšit aplikaci prvků inteligentních sítí v distribučních soustavách</w:t>
            </w:r>
          </w:p>
        </w:tc>
        <w:tc>
          <w:tcPr>
            <w:tcW w:w="1882" w:type="dxa"/>
            <w:vAlign w:val="center"/>
          </w:tcPr>
          <w:p w14:paraId="1D9B1F56" w14:textId="77777777" w:rsidR="005E0458" w:rsidRPr="00DD47DF" w:rsidRDefault="005E0458" w:rsidP="00BA1E1C">
            <w:pPr>
              <w:pStyle w:val="Tabulka"/>
              <w:rPr>
                <w:rFonts w:cs="Calibri"/>
                <w:szCs w:val="20"/>
              </w:rPr>
            </w:pPr>
            <w:r w:rsidRPr="00DD47DF">
              <w:rPr>
                <w:rFonts w:cs="Calibri"/>
                <w:szCs w:val="20"/>
              </w:rPr>
              <w:t>SAIFI</w:t>
            </w:r>
          </w:p>
          <w:p w14:paraId="630DF5E4" w14:textId="77777777" w:rsidR="00DB5E8B" w:rsidRPr="00DD47DF" w:rsidRDefault="008F1E9F" w:rsidP="00BA1E1C">
            <w:pPr>
              <w:pStyle w:val="Tabulka"/>
              <w:rPr>
                <w:rFonts w:cs="Calibri"/>
              </w:rPr>
            </w:pPr>
            <w:r w:rsidRPr="00DD47DF">
              <w:rPr>
                <w:rFonts w:cs="Calibri"/>
                <w:szCs w:val="20"/>
              </w:rPr>
              <w:t>SAIDI</w:t>
            </w:r>
          </w:p>
        </w:tc>
      </w:tr>
      <w:tr w:rsidR="00DB5E8B" w:rsidRPr="00DD47DF" w14:paraId="76883FE5" w14:textId="77777777">
        <w:trPr>
          <w:jc w:val="center"/>
        </w:trPr>
        <w:tc>
          <w:tcPr>
            <w:tcW w:w="1900" w:type="dxa"/>
            <w:vMerge/>
            <w:shd w:val="clear" w:color="auto" w:fill="DBE5F1"/>
            <w:vAlign w:val="center"/>
          </w:tcPr>
          <w:p w14:paraId="5524DD3B" w14:textId="77777777" w:rsidR="00DB5E8B" w:rsidRPr="00DD47DF" w:rsidRDefault="00DB5E8B" w:rsidP="000E0E9B">
            <w:pPr>
              <w:pStyle w:val="Tabulka"/>
              <w:rPr>
                <w:rFonts w:cs="Calibri"/>
              </w:rPr>
            </w:pPr>
          </w:p>
        </w:tc>
        <w:tc>
          <w:tcPr>
            <w:tcW w:w="709" w:type="dxa"/>
            <w:vAlign w:val="center"/>
          </w:tcPr>
          <w:p w14:paraId="02480870"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207868A9" w14:textId="43ED830C" w:rsidR="00DB5E8B" w:rsidRPr="00DD47DF" w:rsidRDefault="007B16C7" w:rsidP="00D40246">
            <w:pPr>
              <w:pStyle w:val="Tabulka"/>
              <w:rPr>
                <w:rFonts w:cs="Calibri"/>
              </w:rPr>
            </w:pPr>
            <w:r w:rsidRPr="00700E39">
              <w:rPr>
                <w:rFonts w:cs="Calibri"/>
              </w:rPr>
              <w:t>78 849 745</w:t>
            </w:r>
          </w:p>
        </w:tc>
        <w:tc>
          <w:tcPr>
            <w:tcW w:w="1330" w:type="dxa"/>
            <w:vAlign w:val="center"/>
          </w:tcPr>
          <w:p w14:paraId="4653E92C" w14:textId="0A264938" w:rsidR="00DB5E8B" w:rsidRPr="00DD47DF" w:rsidRDefault="007B16C7" w:rsidP="00115A81">
            <w:pPr>
              <w:pStyle w:val="Tabulka"/>
              <w:rPr>
                <w:rFonts w:cs="Calibri"/>
              </w:rPr>
            </w:pPr>
            <w:r w:rsidRPr="00700E39">
              <w:rPr>
                <w:rFonts w:cs="Calibri"/>
              </w:rPr>
              <w:t>1,82</w:t>
            </w:r>
            <w:r w:rsidR="00DB5E8B" w:rsidRPr="00DD47DF">
              <w:rPr>
                <w:rFonts w:cs="Calibri"/>
              </w:rPr>
              <w:t xml:space="preserve"> %</w:t>
            </w:r>
          </w:p>
        </w:tc>
        <w:tc>
          <w:tcPr>
            <w:tcW w:w="1619" w:type="dxa"/>
            <w:vMerge/>
            <w:vAlign w:val="center"/>
          </w:tcPr>
          <w:p w14:paraId="1C251C4C" w14:textId="77777777" w:rsidR="00DB5E8B" w:rsidRPr="00DD47DF" w:rsidRDefault="00DB5E8B" w:rsidP="00D40246">
            <w:pPr>
              <w:pStyle w:val="Tabulka"/>
              <w:rPr>
                <w:rFonts w:cs="Calibri"/>
              </w:rPr>
            </w:pPr>
          </w:p>
        </w:tc>
        <w:tc>
          <w:tcPr>
            <w:tcW w:w="3119" w:type="dxa"/>
            <w:shd w:val="clear" w:color="auto" w:fill="auto"/>
            <w:vAlign w:val="center"/>
          </w:tcPr>
          <w:p w14:paraId="56BB44E2" w14:textId="77777777" w:rsidR="00DB5E8B" w:rsidRPr="00DD47DF" w:rsidRDefault="00B54D2B" w:rsidP="00BE6D25">
            <w:pPr>
              <w:pStyle w:val="Tabulka"/>
              <w:widowControl w:val="0"/>
              <w:rPr>
                <w:rFonts w:cs="Calibri"/>
              </w:rPr>
            </w:pPr>
            <w:r w:rsidRPr="00DD47DF">
              <w:rPr>
                <w:rFonts w:cs="Calibri"/>
              </w:rPr>
              <w:t xml:space="preserve">4 f) </w:t>
            </w:r>
            <w:r w:rsidR="002641C7" w:rsidRPr="00DD47DF">
              <w:rPr>
                <w:rFonts w:cs="Calibri"/>
              </w:rPr>
              <w:t>Podpora výzkumu a inovací a zavádění nízkouhlíkových technologií</w:t>
            </w:r>
          </w:p>
        </w:tc>
        <w:tc>
          <w:tcPr>
            <w:tcW w:w="2254" w:type="dxa"/>
            <w:shd w:val="clear" w:color="auto" w:fill="auto"/>
            <w:vAlign w:val="center"/>
          </w:tcPr>
          <w:p w14:paraId="694E718F" w14:textId="77777777" w:rsidR="00DB5E8B" w:rsidRPr="00DD47DF" w:rsidRDefault="00DB5E8B" w:rsidP="00771951">
            <w:pPr>
              <w:pStyle w:val="Tabulka"/>
              <w:rPr>
                <w:rFonts w:cs="Calibri"/>
              </w:rPr>
            </w:pPr>
            <w:r w:rsidRPr="00DD47DF">
              <w:rPr>
                <w:rFonts w:cs="Calibri"/>
              </w:rPr>
              <w:t>3.4 -</w:t>
            </w:r>
            <w:r w:rsidR="00BA4E72" w:rsidRPr="00DD47DF">
              <w:rPr>
                <w:rFonts w:cs="Calibri"/>
              </w:rPr>
              <w:t xml:space="preserve"> </w:t>
            </w:r>
            <w:r w:rsidR="000D28F9" w:rsidRPr="00DD47DF">
              <w:rPr>
                <w:rFonts w:cs="Calibri"/>
              </w:rPr>
              <w:t>Uplatnit inovativní nízkouhlíkové technologie v oblasti nakládání energií a při využívání druhotných surovin</w:t>
            </w:r>
          </w:p>
        </w:tc>
        <w:tc>
          <w:tcPr>
            <w:tcW w:w="1882" w:type="dxa"/>
            <w:vAlign w:val="center"/>
          </w:tcPr>
          <w:p w14:paraId="01676487" w14:textId="77777777" w:rsidR="00DB5E8B" w:rsidRPr="00DD47DF" w:rsidRDefault="008E48D1" w:rsidP="00BA1E1C">
            <w:pPr>
              <w:pStyle w:val="Tabulka"/>
              <w:rPr>
                <w:rFonts w:cs="Calibri"/>
              </w:rPr>
            </w:pPr>
            <w:r w:rsidRPr="00DD47DF">
              <w:rPr>
                <w:rFonts w:cs="Calibri"/>
              </w:rPr>
              <w:t xml:space="preserve">Aplikované </w:t>
            </w:r>
            <w:r w:rsidR="00942A5B" w:rsidRPr="00DD47DF">
              <w:rPr>
                <w:rFonts w:cs="Calibri"/>
              </w:rPr>
              <w:t xml:space="preserve">inovativní </w:t>
            </w:r>
            <w:r w:rsidRPr="00DD47DF">
              <w:rPr>
                <w:rFonts w:cs="Calibri"/>
              </w:rPr>
              <w:t>nízkouhlíkové technologie</w:t>
            </w:r>
          </w:p>
        </w:tc>
      </w:tr>
      <w:tr w:rsidR="00DB5E8B" w:rsidRPr="00DD47DF" w14:paraId="5E0D860F" w14:textId="77777777">
        <w:trPr>
          <w:jc w:val="center"/>
        </w:trPr>
        <w:tc>
          <w:tcPr>
            <w:tcW w:w="1900" w:type="dxa"/>
            <w:vMerge/>
            <w:shd w:val="clear" w:color="auto" w:fill="DBE5F1"/>
            <w:vAlign w:val="center"/>
          </w:tcPr>
          <w:p w14:paraId="64081E84" w14:textId="77777777" w:rsidR="00DB5E8B" w:rsidRPr="00DD47DF" w:rsidRDefault="00DB5E8B" w:rsidP="000E0E9B">
            <w:pPr>
              <w:pStyle w:val="Tabulka"/>
              <w:rPr>
                <w:rFonts w:cs="Calibri"/>
              </w:rPr>
            </w:pPr>
          </w:p>
        </w:tc>
        <w:tc>
          <w:tcPr>
            <w:tcW w:w="709" w:type="dxa"/>
            <w:vAlign w:val="center"/>
          </w:tcPr>
          <w:p w14:paraId="268789BE"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38BC050E" w14:textId="77777777" w:rsidR="00DB5E8B" w:rsidRPr="00DD47DF" w:rsidRDefault="00537B82" w:rsidP="00D40246">
            <w:pPr>
              <w:pStyle w:val="Tabulka"/>
              <w:rPr>
                <w:rFonts w:cs="Calibri"/>
              </w:rPr>
            </w:pPr>
            <w:r w:rsidRPr="00DD47DF">
              <w:rPr>
                <w:rFonts w:cs="Calibri"/>
              </w:rPr>
              <w:t>142 861 673</w:t>
            </w:r>
          </w:p>
        </w:tc>
        <w:tc>
          <w:tcPr>
            <w:tcW w:w="1330" w:type="dxa"/>
            <w:vAlign w:val="center"/>
          </w:tcPr>
          <w:p w14:paraId="201ACB6C" w14:textId="77777777" w:rsidR="00DB5E8B" w:rsidRPr="00DD47DF" w:rsidRDefault="00DB5E8B" w:rsidP="00847395">
            <w:pPr>
              <w:pStyle w:val="Tabulka"/>
              <w:rPr>
                <w:rFonts w:cs="Calibri"/>
              </w:rPr>
            </w:pPr>
            <w:r w:rsidRPr="00DD47DF">
              <w:rPr>
                <w:rFonts w:cs="Calibri"/>
              </w:rPr>
              <w:t>3,</w:t>
            </w:r>
            <w:r w:rsidR="008E5470" w:rsidRPr="00DD47DF">
              <w:rPr>
                <w:rFonts w:cs="Calibri"/>
              </w:rPr>
              <w:t>30</w:t>
            </w:r>
            <w:r w:rsidRPr="00DD47DF">
              <w:rPr>
                <w:rFonts w:cs="Calibri"/>
              </w:rPr>
              <w:t xml:space="preserve"> %</w:t>
            </w:r>
          </w:p>
        </w:tc>
        <w:tc>
          <w:tcPr>
            <w:tcW w:w="1619" w:type="dxa"/>
            <w:vMerge/>
            <w:vAlign w:val="center"/>
          </w:tcPr>
          <w:p w14:paraId="3EFA9FD6" w14:textId="77777777" w:rsidR="00DB5E8B" w:rsidRPr="00DD47DF" w:rsidRDefault="00DB5E8B" w:rsidP="00D40246">
            <w:pPr>
              <w:pStyle w:val="Tabulka"/>
              <w:rPr>
                <w:rFonts w:cs="Calibri"/>
              </w:rPr>
            </w:pPr>
          </w:p>
        </w:tc>
        <w:tc>
          <w:tcPr>
            <w:tcW w:w="3119" w:type="dxa"/>
            <w:shd w:val="clear" w:color="auto" w:fill="auto"/>
            <w:vAlign w:val="center"/>
          </w:tcPr>
          <w:p w14:paraId="2FD2B806" w14:textId="77777777" w:rsidR="00DB5E8B" w:rsidRPr="00DD47DF" w:rsidRDefault="00B54D2B" w:rsidP="00BE6D25">
            <w:pPr>
              <w:pStyle w:val="Tabulka"/>
              <w:widowControl w:val="0"/>
              <w:rPr>
                <w:rFonts w:cs="Calibri"/>
              </w:rPr>
            </w:pPr>
            <w:r w:rsidRPr="00DD47DF">
              <w:rPr>
                <w:rFonts w:cs="Calibri"/>
              </w:rPr>
              <w:t xml:space="preserve">4 g) </w:t>
            </w:r>
            <w:r w:rsidR="00DB5E8B" w:rsidRPr="00DD47DF">
              <w:rPr>
                <w:rFonts w:cs="Calibri"/>
              </w:rPr>
              <w:t>Podpora využívání vysoce účinné kombinované výroby tepla a elektřiny na základě poptávky po užitečném teple</w:t>
            </w:r>
          </w:p>
        </w:tc>
        <w:tc>
          <w:tcPr>
            <w:tcW w:w="2254" w:type="dxa"/>
            <w:shd w:val="clear" w:color="auto" w:fill="auto"/>
            <w:vAlign w:val="center"/>
          </w:tcPr>
          <w:p w14:paraId="41EA8B82" w14:textId="77777777" w:rsidR="00DB5E8B" w:rsidRPr="00DD47DF" w:rsidRDefault="00DB5E8B" w:rsidP="00771951">
            <w:pPr>
              <w:pStyle w:val="Tabulka"/>
              <w:rPr>
                <w:rFonts w:cs="Calibri"/>
              </w:rPr>
            </w:pPr>
            <w:r w:rsidRPr="00DD47DF">
              <w:rPr>
                <w:rFonts w:cs="Calibri"/>
              </w:rPr>
              <w:t xml:space="preserve">3.5 – </w:t>
            </w:r>
            <w:r w:rsidR="00047773" w:rsidRPr="00DD47DF">
              <w:rPr>
                <w:rFonts w:cs="Calibri"/>
              </w:rPr>
              <w:t>Zvýšit účinnost soustav zásobování teplem</w:t>
            </w:r>
          </w:p>
        </w:tc>
        <w:tc>
          <w:tcPr>
            <w:tcW w:w="1882" w:type="dxa"/>
            <w:vAlign w:val="center"/>
          </w:tcPr>
          <w:p w14:paraId="5DF6BF16" w14:textId="1B2000A5" w:rsidR="00DB5E8B" w:rsidRPr="00DD47DF" w:rsidRDefault="001A6CC0" w:rsidP="00BA1E1C">
            <w:pPr>
              <w:pStyle w:val="Tabulka"/>
              <w:rPr>
                <w:rFonts w:cs="Calibri"/>
              </w:rPr>
            </w:pPr>
            <w:r w:rsidRPr="001A6CC0">
              <w:rPr>
                <w:rFonts w:cs="Calibri"/>
              </w:rPr>
              <w:t>Vsázka paliva do tepláren (KVET) a výtopen SZT</w:t>
            </w:r>
          </w:p>
        </w:tc>
      </w:tr>
      <w:tr w:rsidR="00DB5E8B" w:rsidRPr="00DD47DF" w14:paraId="19C7BBE4" w14:textId="77777777">
        <w:trPr>
          <w:jc w:val="center"/>
        </w:trPr>
        <w:tc>
          <w:tcPr>
            <w:tcW w:w="1900" w:type="dxa"/>
            <w:vMerge/>
            <w:shd w:val="clear" w:color="auto" w:fill="DBE5F1"/>
            <w:vAlign w:val="center"/>
          </w:tcPr>
          <w:p w14:paraId="47DCC9D6" w14:textId="77777777" w:rsidR="00DB5E8B" w:rsidRPr="00DD47DF" w:rsidRDefault="00DB5E8B" w:rsidP="000E0E9B">
            <w:pPr>
              <w:pStyle w:val="Tabulka"/>
              <w:rPr>
                <w:rFonts w:cs="Calibri"/>
              </w:rPr>
            </w:pPr>
          </w:p>
        </w:tc>
        <w:tc>
          <w:tcPr>
            <w:tcW w:w="709" w:type="dxa"/>
            <w:vAlign w:val="center"/>
          </w:tcPr>
          <w:p w14:paraId="7C37EF27"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08DEB843" w14:textId="44A18811" w:rsidR="00DB5E8B" w:rsidRPr="00DD47DF" w:rsidRDefault="007B16C7" w:rsidP="00D40246">
            <w:pPr>
              <w:pStyle w:val="Tabulka"/>
              <w:rPr>
                <w:rFonts w:cs="Calibri"/>
              </w:rPr>
            </w:pPr>
            <w:r w:rsidRPr="00700E39">
              <w:rPr>
                <w:rFonts w:cs="Calibri"/>
              </w:rPr>
              <w:t>158 533 699</w:t>
            </w:r>
          </w:p>
        </w:tc>
        <w:tc>
          <w:tcPr>
            <w:tcW w:w="1330" w:type="dxa"/>
            <w:vAlign w:val="center"/>
          </w:tcPr>
          <w:p w14:paraId="634F9703" w14:textId="55333F0E" w:rsidR="00DB5E8B" w:rsidRPr="00DD47DF" w:rsidRDefault="007B16C7" w:rsidP="008E5470">
            <w:pPr>
              <w:pStyle w:val="Tabulka"/>
              <w:rPr>
                <w:rFonts w:cs="Calibri"/>
              </w:rPr>
            </w:pPr>
            <w:r w:rsidRPr="00700E39">
              <w:rPr>
                <w:rFonts w:cs="Calibri"/>
              </w:rPr>
              <w:t>3,66</w:t>
            </w:r>
            <w:r w:rsidR="002E0DC8" w:rsidRPr="00DD47DF">
              <w:rPr>
                <w:rFonts w:cs="Calibri"/>
              </w:rPr>
              <w:t xml:space="preserve"> %</w:t>
            </w:r>
          </w:p>
        </w:tc>
        <w:tc>
          <w:tcPr>
            <w:tcW w:w="1619" w:type="dxa"/>
            <w:vAlign w:val="center"/>
          </w:tcPr>
          <w:p w14:paraId="7F614286" w14:textId="77777777" w:rsidR="00DB5E8B" w:rsidRPr="00DD47DF" w:rsidRDefault="00DB5E8B" w:rsidP="00D40246">
            <w:pPr>
              <w:pStyle w:val="Tabulka"/>
              <w:rPr>
                <w:rFonts w:cs="Calibri"/>
              </w:rPr>
            </w:pPr>
            <w:r w:rsidRPr="00DD47DF">
              <w:rPr>
                <w:rFonts w:cs="Calibri"/>
              </w:rPr>
              <w:t>7</w:t>
            </w:r>
            <w:r w:rsidR="00CC5E04" w:rsidRPr="00DD47DF">
              <w:rPr>
                <w:rFonts w:cs="Calibri"/>
              </w:rPr>
              <w:t>)</w:t>
            </w:r>
            <w:r w:rsidRPr="00DD47DF">
              <w:rPr>
                <w:rFonts w:cs="Calibri"/>
              </w:rPr>
              <w:t xml:space="preserve"> Podpora udržitelné dopravy a odstraňování překážek v klíčových síťových infrastrukturách</w:t>
            </w:r>
          </w:p>
        </w:tc>
        <w:tc>
          <w:tcPr>
            <w:tcW w:w="3119" w:type="dxa"/>
            <w:shd w:val="clear" w:color="auto" w:fill="auto"/>
            <w:vAlign w:val="center"/>
          </w:tcPr>
          <w:p w14:paraId="51421939" w14:textId="77777777" w:rsidR="00DB5E8B" w:rsidRPr="00DD47DF" w:rsidRDefault="00B54D2B" w:rsidP="00BE6D25">
            <w:pPr>
              <w:pStyle w:val="Tabulka"/>
              <w:widowControl w:val="0"/>
              <w:rPr>
                <w:rFonts w:cs="Calibri"/>
              </w:rPr>
            </w:pPr>
            <w:r w:rsidRPr="00DD47DF">
              <w:rPr>
                <w:rFonts w:cs="Calibri"/>
              </w:rPr>
              <w:t xml:space="preserve">7 e) </w:t>
            </w:r>
            <w:r w:rsidR="00DB5E8B" w:rsidRPr="00DD47DF">
              <w:rPr>
                <w:rFonts w:cs="Calibri"/>
              </w:rPr>
              <w:t>Zvyšování energetické účinnosti a zabezpečení dodávek prostřednictvím rozvoje inteligentních systémů pro distribuci, skladování a přenos energie a prostřednictvím integrace distribuované výroby z obnovitelných zdrojů</w:t>
            </w:r>
          </w:p>
        </w:tc>
        <w:tc>
          <w:tcPr>
            <w:tcW w:w="2254" w:type="dxa"/>
            <w:shd w:val="clear" w:color="auto" w:fill="auto"/>
            <w:vAlign w:val="center"/>
          </w:tcPr>
          <w:p w14:paraId="6FCE7400" w14:textId="77777777" w:rsidR="00DB5E8B" w:rsidRPr="00DD47DF" w:rsidRDefault="00DB5E8B" w:rsidP="00771951">
            <w:pPr>
              <w:pStyle w:val="Tabulka"/>
              <w:rPr>
                <w:rFonts w:cs="Calibri"/>
              </w:rPr>
            </w:pPr>
            <w:r w:rsidRPr="00DD47DF">
              <w:rPr>
                <w:rFonts w:cs="Calibri"/>
              </w:rPr>
              <w:t xml:space="preserve">3.6 - </w:t>
            </w:r>
            <w:r w:rsidR="00951C8A" w:rsidRPr="00DD47DF">
              <w:rPr>
                <w:rFonts w:cs="Calibri"/>
              </w:rPr>
              <w:t>Posílit energetickou bezpečnost přenosové soustavy</w:t>
            </w:r>
          </w:p>
        </w:tc>
        <w:tc>
          <w:tcPr>
            <w:tcW w:w="1882" w:type="dxa"/>
            <w:vAlign w:val="center"/>
          </w:tcPr>
          <w:p w14:paraId="5E450B1A" w14:textId="77777777" w:rsidR="00DB5E8B" w:rsidRPr="00DD47DF" w:rsidRDefault="008E48D1" w:rsidP="00BA1E1C">
            <w:pPr>
              <w:pStyle w:val="Tabulka"/>
              <w:rPr>
                <w:rFonts w:cs="Calibri"/>
              </w:rPr>
            </w:pPr>
            <w:r w:rsidRPr="00DD47DF">
              <w:rPr>
                <w:rFonts w:cs="Calibri"/>
              </w:rPr>
              <w:t>Transformační výkon PS/DS</w:t>
            </w:r>
          </w:p>
        </w:tc>
      </w:tr>
      <w:tr w:rsidR="00BE6D25" w:rsidRPr="00DD47DF" w14:paraId="0DA3A784" w14:textId="77777777">
        <w:trPr>
          <w:jc w:val="center"/>
        </w:trPr>
        <w:tc>
          <w:tcPr>
            <w:tcW w:w="1900" w:type="dxa"/>
            <w:vMerge w:val="restart"/>
            <w:shd w:val="clear" w:color="auto" w:fill="DBE5F1"/>
            <w:vAlign w:val="center"/>
          </w:tcPr>
          <w:p w14:paraId="1E7FCC55" w14:textId="77777777" w:rsidR="00BE6D25" w:rsidRPr="00DD47DF" w:rsidRDefault="00BE6D25" w:rsidP="009670FD">
            <w:pPr>
              <w:pStyle w:val="Tabulka"/>
              <w:jc w:val="left"/>
              <w:rPr>
                <w:rFonts w:cs="Calibri"/>
              </w:rPr>
            </w:pPr>
            <w:r w:rsidRPr="00DD47DF">
              <w:rPr>
                <w:rFonts w:cs="Calibri"/>
              </w:rPr>
              <w:t>PO 4: Rozvoj vysokorychlostních přístupových sítí k internetu a informačních a komunikačních technologií</w:t>
            </w:r>
          </w:p>
        </w:tc>
        <w:tc>
          <w:tcPr>
            <w:tcW w:w="709" w:type="dxa"/>
            <w:vAlign w:val="center"/>
          </w:tcPr>
          <w:p w14:paraId="27CE9CB1" w14:textId="77777777" w:rsidR="00BE6D25" w:rsidRPr="00DD47DF" w:rsidRDefault="00BE6D25" w:rsidP="00D40246">
            <w:pPr>
              <w:pStyle w:val="Tabulka"/>
              <w:rPr>
                <w:rFonts w:cs="Calibri"/>
              </w:rPr>
            </w:pPr>
            <w:r w:rsidRPr="00DD47DF">
              <w:rPr>
                <w:rFonts w:cs="Calibri"/>
              </w:rPr>
              <w:t>EFRR</w:t>
            </w:r>
          </w:p>
        </w:tc>
        <w:tc>
          <w:tcPr>
            <w:tcW w:w="1445" w:type="dxa"/>
            <w:vAlign w:val="center"/>
          </w:tcPr>
          <w:p w14:paraId="3C5DF48A" w14:textId="77777777" w:rsidR="00BE6D25" w:rsidRPr="00DD47DF" w:rsidRDefault="00537B82" w:rsidP="00D40246">
            <w:pPr>
              <w:pStyle w:val="Tabulka"/>
              <w:rPr>
                <w:rFonts w:cs="Calibri"/>
              </w:rPr>
            </w:pPr>
            <w:r w:rsidRPr="00DD47DF">
              <w:rPr>
                <w:rFonts w:cs="Calibri"/>
              </w:rPr>
              <w:t>521 380 364</w:t>
            </w:r>
          </w:p>
        </w:tc>
        <w:tc>
          <w:tcPr>
            <w:tcW w:w="1330" w:type="dxa"/>
            <w:vAlign w:val="center"/>
          </w:tcPr>
          <w:p w14:paraId="7B7B1B7C" w14:textId="77777777" w:rsidR="00BE6D25" w:rsidRPr="00DD47DF" w:rsidRDefault="00F70A96" w:rsidP="008E5470">
            <w:pPr>
              <w:pStyle w:val="Tabulka"/>
              <w:rPr>
                <w:rFonts w:cs="Calibri"/>
              </w:rPr>
            </w:pPr>
            <w:r w:rsidRPr="00DD47DF">
              <w:rPr>
                <w:rFonts w:cs="Calibri"/>
              </w:rPr>
              <w:t>1</w:t>
            </w:r>
            <w:r w:rsidR="00537D8D" w:rsidRPr="00DD47DF">
              <w:rPr>
                <w:rFonts w:cs="Calibri"/>
              </w:rPr>
              <w:t>2,</w:t>
            </w:r>
            <w:r w:rsidR="00847395" w:rsidRPr="00DD47DF">
              <w:rPr>
                <w:rFonts w:cs="Calibri"/>
              </w:rPr>
              <w:t>0</w:t>
            </w:r>
            <w:r w:rsidR="008E5470" w:rsidRPr="00DD47DF">
              <w:rPr>
                <w:rFonts w:cs="Calibri"/>
              </w:rPr>
              <w:t>4</w:t>
            </w:r>
            <w:r w:rsidR="00A74A51" w:rsidRPr="00DD47DF">
              <w:rPr>
                <w:rFonts w:cs="Calibri"/>
              </w:rPr>
              <w:t xml:space="preserve"> %</w:t>
            </w:r>
          </w:p>
        </w:tc>
        <w:tc>
          <w:tcPr>
            <w:tcW w:w="1619" w:type="dxa"/>
            <w:vMerge w:val="restart"/>
            <w:vAlign w:val="center"/>
          </w:tcPr>
          <w:p w14:paraId="3CDA5D95" w14:textId="77777777" w:rsidR="00BE6D25" w:rsidRPr="00DD47DF" w:rsidRDefault="00BE6D25" w:rsidP="00D40246">
            <w:pPr>
              <w:pStyle w:val="Tabulka"/>
              <w:rPr>
                <w:rFonts w:cs="Calibri"/>
              </w:rPr>
            </w:pPr>
            <w:r w:rsidRPr="00DD47DF">
              <w:rPr>
                <w:rFonts w:cs="Calibri"/>
              </w:rPr>
              <w:t>2</w:t>
            </w:r>
            <w:r w:rsidR="00CC5E04" w:rsidRPr="00DD47DF">
              <w:rPr>
                <w:rFonts w:cs="Calibri"/>
              </w:rPr>
              <w:t>)</w:t>
            </w:r>
            <w:r w:rsidRPr="00DD47DF">
              <w:rPr>
                <w:rFonts w:cs="Calibri"/>
              </w:rPr>
              <w:t xml:space="preserve"> </w:t>
            </w:r>
            <w:r w:rsidR="001B1FD9" w:rsidRPr="00DD47DF">
              <w:rPr>
                <w:rFonts w:cs="Calibri"/>
              </w:rPr>
              <w:t>Zlepšení přístupu, využití a kvality informačních a komunikačních technologií</w:t>
            </w:r>
          </w:p>
        </w:tc>
        <w:tc>
          <w:tcPr>
            <w:tcW w:w="3119" w:type="dxa"/>
            <w:shd w:val="clear" w:color="auto" w:fill="auto"/>
            <w:vAlign w:val="center"/>
          </w:tcPr>
          <w:p w14:paraId="2044E895" w14:textId="77777777" w:rsidR="00BE6D25" w:rsidRPr="00DD47DF" w:rsidRDefault="00B54D2B" w:rsidP="00BE6D25">
            <w:pPr>
              <w:pStyle w:val="Tabulka"/>
              <w:widowControl w:val="0"/>
              <w:rPr>
                <w:rFonts w:cs="Calibri"/>
              </w:rPr>
            </w:pPr>
            <w:r w:rsidRPr="00DD47DF">
              <w:rPr>
                <w:rFonts w:cs="Calibri"/>
              </w:rPr>
              <w:t xml:space="preserve">2 a) </w:t>
            </w:r>
            <w:r w:rsidR="00BE6D25" w:rsidRPr="00DD47DF">
              <w:rPr>
                <w:rFonts w:cs="Calibri"/>
              </w:rPr>
              <w:t>Rozšiřování širokopásmového připojení a zavádění vysokorychlostních sítí a podpora zavádění vznikajících technologií a sítí pro digitální hospodářství</w:t>
            </w:r>
          </w:p>
        </w:tc>
        <w:tc>
          <w:tcPr>
            <w:tcW w:w="2254" w:type="dxa"/>
            <w:shd w:val="clear" w:color="auto" w:fill="auto"/>
            <w:vAlign w:val="center"/>
          </w:tcPr>
          <w:p w14:paraId="0E9B7299" w14:textId="77777777" w:rsidR="00BE6D25" w:rsidRPr="00DD47DF" w:rsidRDefault="00BE6D25" w:rsidP="000E0E9B">
            <w:pPr>
              <w:pStyle w:val="Tabulka"/>
              <w:rPr>
                <w:rFonts w:cs="Calibri"/>
              </w:rPr>
            </w:pPr>
            <w:r w:rsidRPr="00DD47DF">
              <w:rPr>
                <w:rFonts w:cs="Calibri"/>
              </w:rPr>
              <w:t>4.1 - Zvětšit pokrytí vysokorychlostním přístupem k internetu</w:t>
            </w:r>
          </w:p>
        </w:tc>
        <w:tc>
          <w:tcPr>
            <w:tcW w:w="1882" w:type="dxa"/>
            <w:vAlign w:val="center"/>
          </w:tcPr>
          <w:p w14:paraId="7C882295" w14:textId="77777777" w:rsidR="00BE6D25" w:rsidRPr="00DD47DF" w:rsidRDefault="006C33E6" w:rsidP="00BA1E1C">
            <w:pPr>
              <w:pStyle w:val="Tabulka"/>
              <w:rPr>
                <w:rFonts w:cs="Calibri"/>
              </w:rPr>
            </w:pPr>
            <w:r w:rsidRPr="002921B0">
              <w:rPr>
                <w:rFonts w:cs="Calibri"/>
              </w:rPr>
              <w:t>Míra pokrytí sítí nové generace (NGA)</w:t>
            </w:r>
          </w:p>
        </w:tc>
      </w:tr>
      <w:tr w:rsidR="00BE6D25" w:rsidRPr="00DD47DF" w14:paraId="71D23CEA" w14:textId="77777777">
        <w:trPr>
          <w:jc w:val="center"/>
        </w:trPr>
        <w:tc>
          <w:tcPr>
            <w:tcW w:w="1900" w:type="dxa"/>
            <w:vMerge/>
            <w:shd w:val="clear" w:color="auto" w:fill="DBE5F1"/>
            <w:vAlign w:val="center"/>
          </w:tcPr>
          <w:p w14:paraId="5A5E3051" w14:textId="77777777" w:rsidR="00BE6D25" w:rsidRPr="00DD47DF" w:rsidRDefault="00BE6D25" w:rsidP="000E0E9B">
            <w:pPr>
              <w:pStyle w:val="Tabulka"/>
              <w:rPr>
                <w:rFonts w:cs="Calibri"/>
              </w:rPr>
            </w:pPr>
          </w:p>
        </w:tc>
        <w:tc>
          <w:tcPr>
            <w:tcW w:w="709" w:type="dxa"/>
            <w:vAlign w:val="center"/>
          </w:tcPr>
          <w:p w14:paraId="6A708A8F" w14:textId="77777777" w:rsidR="00BD619A" w:rsidRPr="00DD47DF" w:rsidRDefault="00BE6D25" w:rsidP="00BD619A">
            <w:pPr>
              <w:pStyle w:val="Tabulka"/>
              <w:rPr>
                <w:rFonts w:cs="Calibri"/>
              </w:rPr>
            </w:pPr>
            <w:r w:rsidRPr="00DD47DF">
              <w:rPr>
                <w:rFonts w:cs="Calibri"/>
              </w:rPr>
              <w:t>EFRR</w:t>
            </w:r>
          </w:p>
        </w:tc>
        <w:tc>
          <w:tcPr>
            <w:tcW w:w="1445" w:type="dxa"/>
            <w:vAlign w:val="center"/>
          </w:tcPr>
          <w:p w14:paraId="7A8088CE" w14:textId="77777777" w:rsidR="00BE6D25" w:rsidRPr="00DD47DF" w:rsidRDefault="00537B82" w:rsidP="00D40246">
            <w:pPr>
              <w:pStyle w:val="Tabulka"/>
              <w:rPr>
                <w:rFonts w:cs="Calibri"/>
              </w:rPr>
            </w:pPr>
            <w:r w:rsidRPr="00DD47DF">
              <w:rPr>
                <w:rFonts w:cs="Calibri"/>
              </w:rPr>
              <w:t>222 277 225</w:t>
            </w:r>
          </w:p>
        </w:tc>
        <w:tc>
          <w:tcPr>
            <w:tcW w:w="1330" w:type="dxa"/>
            <w:vAlign w:val="center"/>
          </w:tcPr>
          <w:p w14:paraId="300D4684" w14:textId="77777777" w:rsidR="00BE6D25" w:rsidRPr="00DD47DF" w:rsidRDefault="008E5470" w:rsidP="00D40246">
            <w:pPr>
              <w:pStyle w:val="Tabulka"/>
              <w:rPr>
                <w:rFonts w:cs="Calibri"/>
              </w:rPr>
            </w:pPr>
            <w:r w:rsidRPr="00DD47DF">
              <w:rPr>
                <w:rFonts w:cs="Calibri"/>
              </w:rPr>
              <w:t>5,13</w:t>
            </w:r>
            <w:r w:rsidR="00A74A51" w:rsidRPr="00DD47DF">
              <w:rPr>
                <w:rFonts w:cs="Calibri"/>
              </w:rPr>
              <w:t xml:space="preserve"> %</w:t>
            </w:r>
          </w:p>
        </w:tc>
        <w:tc>
          <w:tcPr>
            <w:tcW w:w="1619" w:type="dxa"/>
            <w:vMerge/>
            <w:vAlign w:val="center"/>
          </w:tcPr>
          <w:p w14:paraId="0856FD37" w14:textId="77777777" w:rsidR="00BE6D25" w:rsidRPr="00DD47DF" w:rsidRDefault="00BE6D25" w:rsidP="00D40246">
            <w:pPr>
              <w:pStyle w:val="Tabulka"/>
              <w:rPr>
                <w:rFonts w:cs="Calibri"/>
              </w:rPr>
            </w:pPr>
          </w:p>
        </w:tc>
        <w:tc>
          <w:tcPr>
            <w:tcW w:w="3119" w:type="dxa"/>
            <w:shd w:val="clear" w:color="auto" w:fill="auto"/>
            <w:vAlign w:val="center"/>
          </w:tcPr>
          <w:p w14:paraId="0C3CD07F" w14:textId="77777777" w:rsidR="00BE6D25" w:rsidRPr="00DD47DF" w:rsidRDefault="00B54D2B" w:rsidP="00BE6D25">
            <w:pPr>
              <w:pStyle w:val="Tabulka"/>
              <w:widowControl w:val="0"/>
              <w:rPr>
                <w:rFonts w:cs="Calibri"/>
              </w:rPr>
            </w:pPr>
            <w:r w:rsidRPr="00DD47DF">
              <w:rPr>
                <w:rFonts w:cs="Calibri"/>
              </w:rPr>
              <w:t xml:space="preserve">2 b) </w:t>
            </w:r>
            <w:r w:rsidR="007A45F6" w:rsidRPr="00DD47DF">
              <w:rPr>
                <w:rFonts w:cs="Calibri"/>
              </w:rPr>
              <w:t>Vyvíjení produktů a služeb v oblasti IKT, elektronický obchod a zvyšování poptávky po IKT</w:t>
            </w:r>
          </w:p>
        </w:tc>
        <w:tc>
          <w:tcPr>
            <w:tcW w:w="2254" w:type="dxa"/>
            <w:shd w:val="clear" w:color="auto" w:fill="auto"/>
            <w:vAlign w:val="center"/>
          </w:tcPr>
          <w:p w14:paraId="14173D61" w14:textId="77777777" w:rsidR="00BE6D25" w:rsidRPr="00DD47DF" w:rsidRDefault="00BE6D25" w:rsidP="002F63A9">
            <w:pPr>
              <w:pStyle w:val="Tabulka"/>
              <w:rPr>
                <w:rFonts w:cs="Calibri"/>
              </w:rPr>
            </w:pPr>
            <w:r w:rsidRPr="00DD47DF">
              <w:rPr>
                <w:rFonts w:cs="Calibri"/>
              </w:rPr>
              <w:t xml:space="preserve">4.2 – </w:t>
            </w:r>
            <w:r w:rsidR="006E55DA" w:rsidRPr="00DD47DF">
              <w:rPr>
                <w:rFonts w:cs="Calibri"/>
              </w:rPr>
              <w:t xml:space="preserve">Zvýšit </w:t>
            </w:r>
            <w:r w:rsidR="002F63A9" w:rsidRPr="00DD47DF">
              <w:rPr>
                <w:rFonts w:cs="Calibri"/>
              </w:rPr>
              <w:t>využití potenciálu ICT sektoru pro konkurenceschopnost ekonomiky</w:t>
            </w:r>
          </w:p>
        </w:tc>
        <w:tc>
          <w:tcPr>
            <w:tcW w:w="1882" w:type="dxa"/>
            <w:vAlign w:val="center"/>
          </w:tcPr>
          <w:p w14:paraId="5A9A7047" w14:textId="77777777" w:rsidR="005E0458" w:rsidRPr="00DD47DF" w:rsidRDefault="008E48D1" w:rsidP="00BA1E1C">
            <w:pPr>
              <w:pStyle w:val="Tabulka"/>
              <w:rPr>
                <w:rFonts w:cs="Calibri"/>
              </w:rPr>
            </w:pPr>
            <w:r w:rsidRPr="00DD47DF">
              <w:rPr>
                <w:rFonts w:cs="Calibri"/>
              </w:rPr>
              <w:t>Přidaná hodnota IT služeb jako podíl na HDP</w:t>
            </w:r>
          </w:p>
        </w:tc>
      </w:tr>
      <w:tr w:rsidR="00BD619A" w:rsidRPr="00DD47DF" w14:paraId="67B50061" w14:textId="77777777">
        <w:trPr>
          <w:jc w:val="center"/>
        </w:trPr>
        <w:tc>
          <w:tcPr>
            <w:tcW w:w="1900" w:type="dxa"/>
            <w:vMerge w:val="restart"/>
            <w:shd w:val="clear" w:color="auto" w:fill="DBE5F1"/>
            <w:vAlign w:val="center"/>
          </w:tcPr>
          <w:p w14:paraId="2977D725" w14:textId="77777777" w:rsidR="00BD619A" w:rsidRPr="00DD47DF" w:rsidRDefault="00BD619A" w:rsidP="009670FD">
            <w:pPr>
              <w:pStyle w:val="Tabulka"/>
              <w:jc w:val="left"/>
              <w:rPr>
                <w:rFonts w:cs="Calibri"/>
              </w:rPr>
            </w:pPr>
            <w:r w:rsidRPr="00DD47DF">
              <w:rPr>
                <w:rFonts w:cs="Calibri"/>
              </w:rPr>
              <w:t>P0 5: Technická pomoc</w:t>
            </w:r>
          </w:p>
          <w:p w14:paraId="75855CE9" w14:textId="77777777" w:rsidR="00BD619A" w:rsidRPr="00DD47DF" w:rsidRDefault="00BD619A" w:rsidP="000E0E9B">
            <w:pPr>
              <w:pStyle w:val="Tabulka"/>
              <w:rPr>
                <w:rFonts w:cs="Calibri"/>
              </w:rPr>
            </w:pPr>
          </w:p>
        </w:tc>
        <w:tc>
          <w:tcPr>
            <w:tcW w:w="709" w:type="dxa"/>
            <w:vMerge w:val="restart"/>
            <w:vAlign w:val="center"/>
          </w:tcPr>
          <w:p w14:paraId="184A58DF" w14:textId="77777777" w:rsidR="00BD619A" w:rsidRPr="00DD47DF" w:rsidRDefault="00BD619A" w:rsidP="00D40246">
            <w:pPr>
              <w:pStyle w:val="Tabulka"/>
              <w:rPr>
                <w:rFonts w:cs="Calibri"/>
              </w:rPr>
            </w:pPr>
            <w:r w:rsidRPr="00DD47DF">
              <w:rPr>
                <w:rFonts w:cs="Calibri"/>
              </w:rPr>
              <w:t>EFRR</w:t>
            </w:r>
          </w:p>
        </w:tc>
        <w:tc>
          <w:tcPr>
            <w:tcW w:w="1445" w:type="dxa"/>
            <w:vMerge w:val="restart"/>
            <w:vAlign w:val="center"/>
          </w:tcPr>
          <w:p w14:paraId="77403129" w14:textId="77777777" w:rsidR="00BD619A" w:rsidRPr="00DD47DF" w:rsidRDefault="00537B82" w:rsidP="008E5470">
            <w:pPr>
              <w:pStyle w:val="Tabulka"/>
              <w:rPr>
                <w:rFonts w:cs="Calibri"/>
              </w:rPr>
            </w:pPr>
            <w:r w:rsidRPr="00DD47DF">
              <w:rPr>
                <w:rFonts w:cs="Calibri"/>
              </w:rPr>
              <w:t xml:space="preserve">125 </w:t>
            </w:r>
            <w:r w:rsidR="008E5470" w:rsidRPr="00DD47DF">
              <w:rPr>
                <w:rFonts w:cs="Calibri"/>
              </w:rPr>
              <w:t>600</w:t>
            </w:r>
            <w:r w:rsidRPr="00DD47DF">
              <w:rPr>
                <w:rFonts w:cs="Calibri"/>
              </w:rPr>
              <w:t xml:space="preserve"> 816</w:t>
            </w:r>
          </w:p>
        </w:tc>
        <w:tc>
          <w:tcPr>
            <w:tcW w:w="1330" w:type="dxa"/>
            <w:vMerge w:val="restart"/>
            <w:vAlign w:val="center"/>
          </w:tcPr>
          <w:p w14:paraId="74AADD0A" w14:textId="77777777" w:rsidR="00BD619A" w:rsidRPr="00DD47DF" w:rsidRDefault="00847395" w:rsidP="00D40246">
            <w:pPr>
              <w:pStyle w:val="Tabulka"/>
              <w:rPr>
                <w:rFonts w:cs="Calibri"/>
              </w:rPr>
            </w:pPr>
            <w:r w:rsidRPr="00DD47DF">
              <w:rPr>
                <w:rFonts w:cs="Calibri"/>
              </w:rPr>
              <w:t>2,90</w:t>
            </w:r>
            <w:r w:rsidR="00A74A51" w:rsidRPr="00DD47DF">
              <w:rPr>
                <w:rFonts w:cs="Calibri"/>
              </w:rPr>
              <w:t xml:space="preserve"> %</w:t>
            </w:r>
          </w:p>
        </w:tc>
        <w:tc>
          <w:tcPr>
            <w:tcW w:w="1619" w:type="dxa"/>
            <w:vMerge w:val="restart"/>
            <w:vAlign w:val="center"/>
          </w:tcPr>
          <w:p w14:paraId="59EEBF3E" w14:textId="77777777" w:rsidR="00BD619A" w:rsidRPr="00DD47DF" w:rsidRDefault="00BD619A" w:rsidP="00D40246">
            <w:pPr>
              <w:pStyle w:val="Tabulka"/>
              <w:rPr>
                <w:rFonts w:cs="Calibri"/>
              </w:rPr>
            </w:pPr>
          </w:p>
        </w:tc>
        <w:tc>
          <w:tcPr>
            <w:tcW w:w="3119" w:type="dxa"/>
            <w:vMerge w:val="restart"/>
            <w:shd w:val="clear" w:color="auto" w:fill="auto"/>
            <w:vAlign w:val="center"/>
          </w:tcPr>
          <w:p w14:paraId="372B9C0B" w14:textId="77777777" w:rsidR="00BD619A" w:rsidRPr="00DD47DF" w:rsidRDefault="00BD619A" w:rsidP="000E0E9B">
            <w:pPr>
              <w:pStyle w:val="Tabulka"/>
              <w:rPr>
                <w:rFonts w:cs="Calibri"/>
              </w:rPr>
            </w:pPr>
          </w:p>
        </w:tc>
        <w:tc>
          <w:tcPr>
            <w:tcW w:w="2254" w:type="dxa"/>
            <w:shd w:val="clear" w:color="auto" w:fill="auto"/>
            <w:vAlign w:val="center"/>
          </w:tcPr>
          <w:p w14:paraId="1F0E28C4" w14:textId="77777777" w:rsidR="00BD619A" w:rsidRPr="00DD47DF" w:rsidRDefault="00BD619A" w:rsidP="00896EDF">
            <w:pPr>
              <w:pStyle w:val="Tabulka"/>
              <w:rPr>
                <w:rFonts w:cs="Calibri"/>
              </w:rPr>
            </w:pPr>
            <w:r w:rsidRPr="00DD47DF">
              <w:rPr>
                <w:rFonts w:cs="Calibri"/>
              </w:rPr>
              <w:t xml:space="preserve">5.1 – </w:t>
            </w:r>
            <w:r w:rsidR="00835A40" w:rsidRPr="00DD47DF">
              <w:rPr>
                <w:rFonts w:cs="Calibri"/>
              </w:rPr>
              <w:t>Zajištění efektivního řízení a administrace operačního programu</w:t>
            </w:r>
          </w:p>
        </w:tc>
        <w:tc>
          <w:tcPr>
            <w:tcW w:w="1882" w:type="dxa"/>
            <w:vAlign w:val="center"/>
          </w:tcPr>
          <w:p w14:paraId="7D3EA7B7" w14:textId="77777777" w:rsidR="00BD619A" w:rsidRPr="00DD47DF" w:rsidRDefault="00835A40" w:rsidP="00BA1E1C">
            <w:pPr>
              <w:pStyle w:val="Tabulka"/>
              <w:rPr>
                <w:rFonts w:cs="Calibri"/>
              </w:rPr>
            </w:pPr>
            <w:r w:rsidRPr="00DD47DF">
              <w:rPr>
                <w:rFonts w:cs="Calibri"/>
              </w:rPr>
              <w:t>Míra stabilizace zaměstnanců implementační struktury</w:t>
            </w:r>
          </w:p>
        </w:tc>
      </w:tr>
      <w:tr w:rsidR="00BD619A" w:rsidRPr="00DD47DF" w14:paraId="62E73934" w14:textId="77777777">
        <w:trPr>
          <w:jc w:val="center"/>
        </w:trPr>
        <w:tc>
          <w:tcPr>
            <w:tcW w:w="1900" w:type="dxa"/>
            <w:vMerge/>
            <w:shd w:val="clear" w:color="auto" w:fill="DBE5F1"/>
            <w:vAlign w:val="center"/>
          </w:tcPr>
          <w:p w14:paraId="25DC6E78" w14:textId="77777777" w:rsidR="00BD619A" w:rsidRPr="00DD47DF" w:rsidRDefault="00BD619A" w:rsidP="000E0E9B">
            <w:pPr>
              <w:pStyle w:val="Tabulka"/>
              <w:rPr>
                <w:rFonts w:cs="Calibri"/>
              </w:rPr>
            </w:pPr>
          </w:p>
        </w:tc>
        <w:tc>
          <w:tcPr>
            <w:tcW w:w="709" w:type="dxa"/>
            <w:vMerge/>
            <w:vAlign w:val="center"/>
          </w:tcPr>
          <w:p w14:paraId="1486B448" w14:textId="77777777" w:rsidR="00BD619A" w:rsidRPr="00DD47DF" w:rsidRDefault="00BD619A" w:rsidP="00D40246">
            <w:pPr>
              <w:pStyle w:val="Tabulka"/>
              <w:rPr>
                <w:rFonts w:cs="Calibri"/>
              </w:rPr>
            </w:pPr>
          </w:p>
        </w:tc>
        <w:tc>
          <w:tcPr>
            <w:tcW w:w="1445" w:type="dxa"/>
            <w:vMerge/>
            <w:vAlign w:val="center"/>
          </w:tcPr>
          <w:p w14:paraId="0EBEFAF6" w14:textId="77777777" w:rsidR="00BD619A" w:rsidRPr="00DD47DF" w:rsidRDefault="00BD619A" w:rsidP="00D40246">
            <w:pPr>
              <w:pStyle w:val="Tabulka"/>
              <w:rPr>
                <w:rFonts w:cs="Calibri"/>
              </w:rPr>
            </w:pPr>
          </w:p>
        </w:tc>
        <w:tc>
          <w:tcPr>
            <w:tcW w:w="1330" w:type="dxa"/>
            <w:vMerge/>
            <w:vAlign w:val="center"/>
          </w:tcPr>
          <w:p w14:paraId="4FAE69D0" w14:textId="77777777" w:rsidR="00BD619A" w:rsidRPr="00DD47DF" w:rsidRDefault="00BD619A" w:rsidP="00D40246">
            <w:pPr>
              <w:pStyle w:val="Tabulka"/>
              <w:rPr>
                <w:rFonts w:cs="Calibri"/>
              </w:rPr>
            </w:pPr>
          </w:p>
        </w:tc>
        <w:tc>
          <w:tcPr>
            <w:tcW w:w="1619" w:type="dxa"/>
            <w:vMerge/>
            <w:vAlign w:val="center"/>
          </w:tcPr>
          <w:p w14:paraId="711E1E1C" w14:textId="77777777" w:rsidR="00BD619A" w:rsidRPr="00DD47DF" w:rsidRDefault="00BD619A" w:rsidP="00D40246">
            <w:pPr>
              <w:pStyle w:val="Tabulka"/>
              <w:rPr>
                <w:rFonts w:cs="Calibri"/>
              </w:rPr>
            </w:pPr>
          </w:p>
        </w:tc>
        <w:tc>
          <w:tcPr>
            <w:tcW w:w="3119" w:type="dxa"/>
            <w:vMerge/>
            <w:shd w:val="clear" w:color="auto" w:fill="auto"/>
            <w:vAlign w:val="center"/>
          </w:tcPr>
          <w:p w14:paraId="2B76184D" w14:textId="77777777" w:rsidR="00BD619A" w:rsidRPr="00DD47DF" w:rsidRDefault="00BD619A" w:rsidP="000E0E9B">
            <w:pPr>
              <w:pStyle w:val="Tabulka"/>
              <w:rPr>
                <w:rFonts w:cs="Calibri"/>
              </w:rPr>
            </w:pPr>
          </w:p>
        </w:tc>
        <w:tc>
          <w:tcPr>
            <w:tcW w:w="2254" w:type="dxa"/>
            <w:shd w:val="clear" w:color="auto" w:fill="auto"/>
            <w:vAlign w:val="center"/>
          </w:tcPr>
          <w:p w14:paraId="6C8F0CD3" w14:textId="77777777" w:rsidR="00BD619A" w:rsidRPr="00DD47DF" w:rsidRDefault="00BD619A" w:rsidP="00771951">
            <w:pPr>
              <w:pStyle w:val="Tabulka"/>
              <w:rPr>
                <w:rFonts w:cs="Calibri"/>
              </w:rPr>
            </w:pPr>
            <w:r w:rsidRPr="00DD47DF">
              <w:rPr>
                <w:rFonts w:cs="Calibri"/>
              </w:rPr>
              <w:t xml:space="preserve">5.2 – </w:t>
            </w:r>
            <w:r w:rsidR="00835A40" w:rsidRPr="00DD47DF">
              <w:rPr>
                <w:rFonts w:cs="Calibri"/>
              </w:rPr>
              <w:t>Zajištění informovanosti, publicity a absorpční kapacity operačního programu</w:t>
            </w:r>
          </w:p>
        </w:tc>
        <w:tc>
          <w:tcPr>
            <w:tcW w:w="1882" w:type="dxa"/>
            <w:vAlign w:val="center"/>
          </w:tcPr>
          <w:p w14:paraId="46EBE619" w14:textId="77777777" w:rsidR="00BD619A" w:rsidRPr="00DD47DF" w:rsidRDefault="00F52A3A" w:rsidP="00BA1E1C">
            <w:pPr>
              <w:pStyle w:val="Tabulka"/>
              <w:rPr>
                <w:rFonts w:cs="Calibri"/>
              </w:rPr>
            </w:pPr>
            <w:r w:rsidRPr="00DD47DF">
              <w:rPr>
                <w:rFonts w:cs="Calibri"/>
              </w:rPr>
              <w:t>Míra úspěšnosti projektových žádostí</w:t>
            </w:r>
          </w:p>
        </w:tc>
      </w:tr>
    </w:tbl>
    <w:p w14:paraId="5B8A5DD9" w14:textId="77777777" w:rsidR="00DD0FDA" w:rsidRPr="00DD47DF" w:rsidRDefault="005357FB" w:rsidP="005357FB">
      <w:pPr>
        <w:pStyle w:val="Standardntext"/>
        <w:spacing w:before="120"/>
      </w:pPr>
      <w:r w:rsidRPr="00DD47DF">
        <w:rPr>
          <w:b/>
        </w:rPr>
        <w:t>Pozn.:</w:t>
      </w:r>
      <w:r w:rsidRPr="00DD47DF">
        <w:t xml:space="preserve"> Znění tematických cílů dle čl. 9 obecného nařízení a investičních priorit dle čl. 5 nařízení </w:t>
      </w:r>
      <w:r w:rsidR="00BF360E" w:rsidRPr="00DD47DF">
        <w:t>o</w:t>
      </w:r>
      <w:r w:rsidR="0017188B" w:rsidRPr="00DD47DF">
        <w:t> </w:t>
      </w:r>
      <w:r w:rsidR="0059287E" w:rsidRPr="00DD47DF">
        <w:t>EFRR</w:t>
      </w:r>
      <w:r w:rsidR="00F15F6F" w:rsidRPr="00DD47DF">
        <w:t>.</w:t>
      </w:r>
    </w:p>
    <w:p w14:paraId="663F457E" w14:textId="77777777" w:rsidR="005357FB" w:rsidRPr="00DD47DF" w:rsidRDefault="005357FB" w:rsidP="00073A01">
      <w:pPr>
        <w:pStyle w:val="Standardntext"/>
        <w:sectPr w:rsidR="005357FB" w:rsidRPr="00DD47DF" w:rsidSect="007B1DAF">
          <w:headerReference w:type="default" r:id="rId27"/>
          <w:footerReference w:type="default" r:id="rId28"/>
          <w:pgSz w:w="16838" w:h="11906" w:orient="landscape" w:code="9"/>
          <w:pgMar w:top="1418" w:right="1418" w:bottom="1276" w:left="1276" w:header="709" w:footer="709" w:gutter="0"/>
          <w:cols w:space="708"/>
          <w:docGrid w:linePitch="272"/>
        </w:sectPr>
      </w:pPr>
    </w:p>
    <w:p w14:paraId="2459CFB0" w14:textId="77777777" w:rsidR="009E6172" w:rsidRPr="00DD47DF" w:rsidRDefault="009B2D15" w:rsidP="00F11C05">
      <w:pPr>
        <w:pStyle w:val="Nadpis1"/>
      </w:pPr>
      <w:bookmarkStart w:id="20" w:name="_Toc506884975"/>
      <w:r w:rsidRPr="00DD47DF">
        <w:lastRenderedPageBreak/>
        <w:t>Prioritní osy</w:t>
      </w:r>
      <w:bookmarkEnd w:id="20"/>
    </w:p>
    <w:p w14:paraId="24814F68" w14:textId="77777777" w:rsidR="00653654" w:rsidRPr="00DD47DF" w:rsidRDefault="009B2D15" w:rsidP="009B2D15">
      <w:pPr>
        <w:pStyle w:val="kapitola2A"/>
      </w:pPr>
      <w:bookmarkStart w:id="21" w:name="_Toc506884976"/>
      <w:r w:rsidRPr="00DD47DF">
        <w:t>Popis prioritních os jiných než technická pomoc</w:t>
      </w:r>
      <w:bookmarkEnd w:id="21"/>
    </w:p>
    <w:p w14:paraId="0FD012AA" w14:textId="77777777" w:rsidR="009B2D15" w:rsidRPr="00DD47DF" w:rsidRDefault="009B2D15" w:rsidP="005F43DF">
      <w:pPr>
        <w:pStyle w:val="kapitola2A0"/>
        <w:numPr>
          <w:ilvl w:val="2"/>
          <w:numId w:val="10"/>
        </w:numPr>
      </w:pPr>
      <w:bookmarkStart w:id="22" w:name="_Toc506884977"/>
      <w:r w:rsidRPr="00DD47DF">
        <w:t>PRIORITNÍ OSA 1: Rozvoj výzkumu a vývoje pro inovace</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0534DA" w:rsidRPr="00DD47DF" w14:paraId="7ED86583" w14:textId="77777777">
        <w:tc>
          <w:tcPr>
            <w:tcW w:w="4736" w:type="pct"/>
            <w:shd w:val="clear" w:color="auto" w:fill="auto"/>
            <w:vAlign w:val="center"/>
          </w:tcPr>
          <w:p w14:paraId="3C68BAFB" w14:textId="77777777" w:rsidR="000534DA" w:rsidRPr="00DD47DF" w:rsidRDefault="000534DA" w:rsidP="000534DA">
            <w:pPr>
              <w:pStyle w:val="Tabulka"/>
              <w:jc w:val="left"/>
              <w:rPr>
                <w:rFonts w:cs="Calibri"/>
              </w:rPr>
            </w:pPr>
            <w:r w:rsidRPr="00DD47DF">
              <w:rPr>
                <w:rFonts w:cs="Calibri"/>
              </w:rPr>
              <w:t>Celá prioritní osa bude realizována výhradně prostřednictvím finančních nástrojů</w:t>
            </w:r>
          </w:p>
        </w:tc>
        <w:tc>
          <w:tcPr>
            <w:tcW w:w="264" w:type="pct"/>
            <w:shd w:val="clear" w:color="auto" w:fill="auto"/>
            <w:vAlign w:val="center"/>
          </w:tcPr>
          <w:p w14:paraId="18DA0401" w14:textId="77777777" w:rsidR="000534DA" w:rsidRPr="00DD47DF" w:rsidRDefault="002756E7" w:rsidP="000534DA">
            <w:pPr>
              <w:pStyle w:val="Tabulka"/>
              <w:rPr>
                <w:rFonts w:cs="Calibri"/>
              </w:rPr>
            </w:pPr>
            <w:r w:rsidRPr="00DD47DF">
              <w:rPr>
                <w:rFonts w:cs="Calibri"/>
              </w:rPr>
              <w:fldChar w:fldCharType="begin">
                <w:ffData>
                  <w:name w:val="Check1"/>
                  <w:enabled/>
                  <w:calcOnExit w:val="0"/>
                  <w:checkBox>
                    <w:sizeAuto/>
                    <w:default w:val="0"/>
                  </w:checkBox>
                </w:ffData>
              </w:fldChar>
            </w:r>
            <w:bookmarkStart w:id="23" w:name="Check1"/>
            <w:r w:rsidR="000534DA" w:rsidRPr="00DD47DF">
              <w:rPr>
                <w:rFonts w:cs="Calibri"/>
              </w:rPr>
              <w:instrText xml:space="preserve"> FORMCHECKBOX </w:instrText>
            </w:r>
            <w:r w:rsidR="00580034">
              <w:rPr>
                <w:rFonts w:cs="Calibri"/>
              </w:rPr>
            </w:r>
            <w:r w:rsidR="00580034">
              <w:rPr>
                <w:rFonts w:cs="Calibri"/>
              </w:rPr>
              <w:fldChar w:fldCharType="separate"/>
            </w:r>
            <w:r w:rsidRPr="00DD47DF">
              <w:rPr>
                <w:rFonts w:cs="Calibri"/>
              </w:rPr>
              <w:fldChar w:fldCharType="end"/>
            </w:r>
            <w:bookmarkEnd w:id="23"/>
          </w:p>
        </w:tc>
      </w:tr>
      <w:tr w:rsidR="000534DA" w:rsidRPr="00DD47DF" w14:paraId="1BA4789E" w14:textId="77777777">
        <w:tc>
          <w:tcPr>
            <w:tcW w:w="4736" w:type="pct"/>
            <w:shd w:val="clear" w:color="auto" w:fill="auto"/>
            <w:vAlign w:val="center"/>
          </w:tcPr>
          <w:p w14:paraId="4EBB59E9" w14:textId="77777777" w:rsidR="000534DA" w:rsidRPr="00DD47DF" w:rsidRDefault="000534DA" w:rsidP="000534DA">
            <w:pPr>
              <w:pStyle w:val="Tabulka"/>
              <w:jc w:val="left"/>
              <w:rPr>
                <w:rFonts w:cs="Calibri"/>
              </w:rPr>
            </w:pPr>
            <w:r w:rsidRPr="00DD47DF">
              <w:rPr>
                <w:rFonts w:cs="Calibri"/>
              </w:rPr>
              <w:t>Celá prioritní osa bude realizována výhradně prostřednictvím finančních nástrojů zřízených na úrovni Unie</w:t>
            </w:r>
          </w:p>
        </w:tc>
        <w:tc>
          <w:tcPr>
            <w:tcW w:w="264" w:type="pct"/>
            <w:shd w:val="clear" w:color="auto" w:fill="auto"/>
            <w:vAlign w:val="center"/>
          </w:tcPr>
          <w:p w14:paraId="04751B49" w14:textId="77777777" w:rsidR="000534DA" w:rsidRPr="00DD47DF" w:rsidRDefault="002756E7" w:rsidP="000534DA">
            <w:pPr>
              <w:pStyle w:val="Tabulka"/>
              <w:rPr>
                <w:rFonts w:cs="Calibri"/>
              </w:rPr>
            </w:pPr>
            <w:r w:rsidRPr="00DD47DF">
              <w:rPr>
                <w:rFonts w:cs="Calibri"/>
              </w:rPr>
              <w:fldChar w:fldCharType="begin">
                <w:ffData>
                  <w:name w:val="Check1"/>
                  <w:enabled/>
                  <w:calcOnExit w:val="0"/>
                  <w:checkBox>
                    <w:sizeAuto/>
                    <w:default w:val="0"/>
                  </w:checkBox>
                </w:ffData>
              </w:fldChar>
            </w:r>
            <w:r w:rsidR="000534DA" w:rsidRPr="00DD47DF">
              <w:rPr>
                <w:rFonts w:cs="Calibri"/>
              </w:rPr>
              <w:instrText xml:space="preserve"> FORMCHECKBOX </w:instrText>
            </w:r>
            <w:r w:rsidR="00580034">
              <w:rPr>
                <w:rFonts w:cs="Calibri"/>
              </w:rPr>
            </w:r>
            <w:r w:rsidR="00580034">
              <w:rPr>
                <w:rFonts w:cs="Calibri"/>
              </w:rPr>
              <w:fldChar w:fldCharType="separate"/>
            </w:r>
            <w:r w:rsidRPr="00DD47DF">
              <w:rPr>
                <w:rFonts w:cs="Calibri"/>
              </w:rPr>
              <w:fldChar w:fldCharType="end"/>
            </w:r>
          </w:p>
        </w:tc>
      </w:tr>
      <w:tr w:rsidR="000534DA" w:rsidRPr="00DD47DF" w14:paraId="0DC331CB" w14:textId="77777777">
        <w:tc>
          <w:tcPr>
            <w:tcW w:w="4736" w:type="pct"/>
            <w:shd w:val="clear" w:color="auto" w:fill="auto"/>
            <w:vAlign w:val="center"/>
          </w:tcPr>
          <w:p w14:paraId="0FB4089D" w14:textId="77777777" w:rsidR="000534DA" w:rsidRPr="00DD47DF" w:rsidRDefault="000534DA" w:rsidP="000534DA">
            <w:pPr>
              <w:pStyle w:val="Tabulka"/>
              <w:jc w:val="left"/>
              <w:rPr>
                <w:rFonts w:cs="Calibri"/>
              </w:rPr>
            </w:pPr>
            <w:r w:rsidRPr="00DD47DF">
              <w:rPr>
                <w:rFonts w:cs="Calibri"/>
              </w:rPr>
              <w:t>Celá prioritní osa bude realizována výhradně prostřednictvím komunitně vedeného místního rozvoje</w:t>
            </w:r>
          </w:p>
        </w:tc>
        <w:tc>
          <w:tcPr>
            <w:tcW w:w="264" w:type="pct"/>
            <w:shd w:val="clear" w:color="auto" w:fill="auto"/>
            <w:vAlign w:val="center"/>
          </w:tcPr>
          <w:p w14:paraId="08BB1FE4" w14:textId="77777777" w:rsidR="000534DA" w:rsidRPr="00DD47DF" w:rsidRDefault="002756E7" w:rsidP="000534DA">
            <w:pPr>
              <w:pStyle w:val="Tabulka"/>
              <w:rPr>
                <w:rFonts w:cs="Calibri"/>
              </w:rPr>
            </w:pPr>
            <w:r w:rsidRPr="00DD47DF">
              <w:rPr>
                <w:rFonts w:cs="Calibri"/>
              </w:rPr>
              <w:fldChar w:fldCharType="begin">
                <w:ffData>
                  <w:name w:val="Check1"/>
                  <w:enabled/>
                  <w:calcOnExit w:val="0"/>
                  <w:checkBox>
                    <w:sizeAuto/>
                    <w:default w:val="0"/>
                  </w:checkBox>
                </w:ffData>
              </w:fldChar>
            </w:r>
            <w:r w:rsidR="000534DA" w:rsidRPr="00DD47DF">
              <w:rPr>
                <w:rFonts w:cs="Calibri"/>
              </w:rPr>
              <w:instrText xml:space="preserve"> FORMCHECKBOX </w:instrText>
            </w:r>
            <w:r w:rsidR="00580034">
              <w:rPr>
                <w:rFonts w:cs="Calibri"/>
              </w:rPr>
            </w:r>
            <w:r w:rsidR="00580034">
              <w:rPr>
                <w:rFonts w:cs="Calibri"/>
              </w:rPr>
              <w:fldChar w:fldCharType="separate"/>
            </w:r>
            <w:r w:rsidRPr="00DD47DF">
              <w:rPr>
                <w:rFonts w:cs="Calibri"/>
              </w:rPr>
              <w:fldChar w:fldCharType="end"/>
            </w:r>
          </w:p>
        </w:tc>
      </w:tr>
    </w:tbl>
    <w:p w14:paraId="1459E28F" w14:textId="77777777" w:rsidR="00B308E9" w:rsidRPr="00DD47DF" w:rsidRDefault="00B308E9" w:rsidP="00DA3512">
      <w:pPr>
        <w:pStyle w:val="kapitola2A0"/>
        <w:numPr>
          <w:ilvl w:val="2"/>
          <w:numId w:val="62"/>
        </w:numPr>
      </w:pPr>
      <w:bookmarkStart w:id="24" w:name="_Toc506884978"/>
      <w:r w:rsidRPr="00DD47DF">
        <w:t>Odůvodnění pro vytvoření prioritní osy, která zahrnuje více než jednu kategorii regionů nebo více než jeden tematický cíl či fond (použije-li se)</w:t>
      </w:r>
      <w:bookmarkEnd w:id="24"/>
    </w:p>
    <w:p w14:paraId="57554910" w14:textId="77777777" w:rsidR="00B308E9" w:rsidRPr="00DD47DF" w:rsidRDefault="00B308E9" w:rsidP="00B308E9">
      <w:pPr>
        <w:pStyle w:val="Standardntext"/>
      </w:pPr>
      <w:r w:rsidRPr="00DD47DF">
        <w:t>Není relevantní pro OP PIK.</w:t>
      </w:r>
    </w:p>
    <w:p w14:paraId="7DE0BEBB" w14:textId="77777777" w:rsidR="009B2D15" w:rsidRPr="00DD47DF" w:rsidRDefault="009B2D15" w:rsidP="00DA3512">
      <w:pPr>
        <w:pStyle w:val="kapitola2A0"/>
        <w:numPr>
          <w:ilvl w:val="2"/>
          <w:numId w:val="62"/>
        </w:numPr>
      </w:pPr>
      <w:bookmarkStart w:id="25" w:name="_Toc506884979"/>
      <w:r w:rsidRPr="00DD47DF">
        <w:t>Fond, kategorie regionů a základ pro výpočet podpory Unie</w:t>
      </w:r>
      <w:bookmarkEnd w:id="25"/>
    </w:p>
    <w:p w14:paraId="3201F68F" w14:textId="77777777" w:rsidR="009B2D15" w:rsidRPr="00DD47DF" w:rsidRDefault="009B2D15" w:rsidP="009B2D15">
      <w:pPr>
        <w:pStyle w:val="Standardntext"/>
      </w:pPr>
      <w:r w:rsidRPr="00DD47DF">
        <w:t xml:space="preserve">Fond: </w:t>
      </w:r>
      <w:r w:rsidR="00B308E9" w:rsidRPr="00DD47DF">
        <w:t>Evropský fond pro regionální rozvoj</w:t>
      </w:r>
    </w:p>
    <w:p w14:paraId="105C91B6" w14:textId="77777777" w:rsidR="009B2D15" w:rsidRPr="00DD47DF" w:rsidRDefault="009B2D15" w:rsidP="009B2D15">
      <w:pPr>
        <w:pStyle w:val="Standardntext"/>
      </w:pPr>
      <w:r w:rsidRPr="00DD47DF">
        <w:t>Kategori</w:t>
      </w:r>
      <w:r w:rsidR="00B308E9" w:rsidRPr="00DD47DF">
        <w:t>e</w:t>
      </w:r>
      <w:r w:rsidRPr="00DD47DF">
        <w:t xml:space="preserve"> regionů: </w:t>
      </w:r>
      <w:r w:rsidR="00B308E9" w:rsidRPr="00DD47DF">
        <w:t>Méně rozvinuté regiony</w:t>
      </w:r>
    </w:p>
    <w:p w14:paraId="4A4EAAB7" w14:textId="77777777" w:rsidR="009B2D15" w:rsidRPr="00DD47DF" w:rsidRDefault="009B2D15" w:rsidP="009B2D15">
      <w:pPr>
        <w:pStyle w:val="Standardntext"/>
      </w:pPr>
      <w:r w:rsidRPr="00DD47DF">
        <w:t>Základ pro výpočet</w:t>
      </w:r>
      <w:r w:rsidR="008668C8" w:rsidRPr="00DD47DF">
        <w:t xml:space="preserve">: </w:t>
      </w:r>
      <w:r w:rsidR="009B6147" w:rsidRPr="00DD47DF">
        <w:t>celkové způsobilé výdaje</w:t>
      </w:r>
    </w:p>
    <w:p w14:paraId="46F7FFC7" w14:textId="77777777" w:rsidR="009B2D15" w:rsidRPr="00DD47DF" w:rsidRDefault="000534DA" w:rsidP="00DA3512">
      <w:pPr>
        <w:pStyle w:val="kapitola2A0"/>
        <w:numPr>
          <w:ilvl w:val="2"/>
          <w:numId w:val="62"/>
        </w:numPr>
      </w:pPr>
      <w:bookmarkStart w:id="26" w:name="_Toc506884980"/>
      <w:r w:rsidRPr="00DD47DF">
        <w:t>INVESTIČNÍ PRIORITA</w:t>
      </w:r>
      <w:r w:rsidR="00AA66A2" w:rsidRPr="00DD47DF">
        <w:t xml:space="preserve"> 1 prioritní osy 1</w:t>
      </w:r>
      <w:r w:rsidRPr="00DD47DF">
        <w:t xml:space="preserve">: </w:t>
      </w:r>
      <w:r w:rsidR="002641C7" w:rsidRPr="00DD47DF">
        <w:t>Podpora podnikových investic do výzkumu a inovací a vytváření</w:t>
      </w:r>
      <w:r w:rsidR="009B2D15" w:rsidRPr="00DD47DF">
        <w:t xml:space="preserve"> vazeb a součinnosti mezi podniky, středisky výzkumu a vývoje a </w:t>
      </w:r>
      <w:r w:rsidRPr="00DD47DF">
        <w:t>odvětvím vysokoškolského</w:t>
      </w:r>
      <w:r w:rsidR="009B2D15" w:rsidRPr="00DD47DF">
        <w:t xml:space="preserve"> vzdělávání, zejména </w:t>
      </w:r>
      <w:r w:rsidRPr="00DD47DF">
        <w:t>podpora investic v oblasti</w:t>
      </w:r>
      <w:r w:rsidR="009B2D15" w:rsidRPr="00DD47DF">
        <w:t xml:space="preserve"> vývoje produktů a služeb, přenosu technologií, sociálních inovací, ekologických inovací, aplikací veřejných služeb, stimulace poptávky, vytváření sítí, klastrů a otevřených inovací prostřednictvím inteligentní specializace a podpor</w:t>
      </w:r>
      <w:r w:rsidRPr="00DD47DF">
        <w:t>a</w:t>
      </w:r>
      <w:r w:rsidR="009B2D15" w:rsidRPr="00DD47DF">
        <w:t xml:space="preserve"> technického a aplikovaného výzkumu, pilotních linek, opatření k včasnému ověřování produktů, schopností vyspělé výroby a prvovýroby, zejména v oblasti klíčových technologií a šíření technologií pro všeobecné použití</w:t>
      </w:r>
      <w:bookmarkEnd w:id="26"/>
    </w:p>
    <w:p w14:paraId="331C5235" w14:textId="77777777" w:rsidR="00EF5F81" w:rsidRPr="00DD47DF" w:rsidRDefault="00B308E9" w:rsidP="00DA3512">
      <w:pPr>
        <w:pStyle w:val="kapitola2A0"/>
        <w:numPr>
          <w:ilvl w:val="2"/>
          <w:numId w:val="62"/>
        </w:numPr>
      </w:pPr>
      <w:bookmarkStart w:id="27" w:name="_Toc506884981"/>
      <w:r w:rsidRPr="00DD47DF">
        <w:t>Specifické cíle odpovídající investiční prioritě a očekávané výsledky</w:t>
      </w:r>
      <w:bookmarkEnd w:id="27"/>
    </w:p>
    <w:p w14:paraId="608A77B8" w14:textId="77777777" w:rsidR="00E10173" w:rsidRPr="00DD47DF" w:rsidRDefault="00F11C05" w:rsidP="00396141">
      <w:pPr>
        <w:pStyle w:val="Modrnadpis"/>
      </w:pPr>
      <w:bookmarkStart w:id="28" w:name="_Toc351464358"/>
      <w:r w:rsidRPr="00DD47DF">
        <w:t xml:space="preserve">SPECIFICKÝ CÍL </w:t>
      </w:r>
      <w:r w:rsidR="00C71E6F" w:rsidRPr="00DD47DF">
        <w:t>1.</w:t>
      </w:r>
      <w:r w:rsidR="008A50E3" w:rsidRPr="00DD47DF">
        <w:t>1</w:t>
      </w:r>
      <w:r w:rsidRPr="00DD47DF">
        <w:t>:</w:t>
      </w:r>
      <w:r w:rsidR="008A50E3" w:rsidRPr="00DD47DF">
        <w:t xml:space="preserve"> </w:t>
      </w:r>
      <w:bookmarkEnd w:id="28"/>
      <w:r w:rsidR="00247D8E" w:rsidRPr="00DD47DF">
        <w:t>Zvýšit inovační výkonnost podniků</w:t>
      </w:r>
      <w:r w:rsidR="00247D8E" w:rsidRPr="00DD47DF">
        <w:rPr>
          <w:rStyle w:val="Odkaznakoment"/>
          <w:b w:val="0"/>
          <w:sz w:val="24"/>
          <w:szCs w:val="20"/>
        </w:rPr>
        <w:t xml:space="preserve"> </w:t>
      </w:r>
    </w:p>
    <w:p w14:paraId="3B1FBE16" w14:textId="77777777" w:rsidR="00ED2AA8" w:rsidRPr="00DD47DF" w:rsidRDefault="00ED2AA8" w:rsidP="00ED2AA8">
      <w:pPr>
        <w:spacing w:after="120"/>
        <w:jc w:val="both"/>
        <w:rPr>
          <w:rFonts w:cs="Calibri"/>
          <w:sz w:val="24"/>
          <w:szCs w:val="24"/>
        </w:rPr>
      </w:pPr>
      <w:r w:rsidRPr="00DD47DF">
        <w:rPr>
          <w:rFonts w:cs="Calibri"/>
          <w:sz w:val="24"/>
          <w:szCs w:val="24"/>
        </w:rPr>
        <w:t>Hlavním cílem je rozvoj podnikání založeného na intenzivní tvorbě a využívání unikátních znalostí</w:t>
      </w:r>
      <w:r w:rsidR="00B2096C" w:rsidRPr="00DD47DF">
        <w:rPr>
          <w:rFonts w:cs="Calibri"/>
          <w:sz w:val="24"/>
          <w:szCs w:val="24"/>
        </w:rPr>
        <w:t xml:space="preserve"> ve všech oborech</w:t>
      </w:r>
      <w:r w:rsidR="00534AAC" w:rsidRPr="00DD47DF">
        <w:rPr>
          <w:rFonts w:cs="Calibri"/>
          <w:sz w:val="24"/>
          <w:szCs w:val="24"/>
        </w:rPr>
        <w:t xml:space="preserve"> významných z pohledu specializace ČR</w:t>
      </w:r>
      <w:r w:rsidR="00B2096C" w:rsidRPr="00DD47DF">
        <w:rPr>
          <w:rFonts w:cs="Calibri"/>
          <w:sz w:val="24"/>
          <w:szCs w:val="24"/>
        </w:rPr>
        <w:t xml:space="preserve">. </w:t>
      </w:r>
      <w:r w:rsidRPr="00DD47DF">
        <w:rPr>
          <w:rFonts w:cs="Calibri"/>
          <w:sz w:val="24"/>
          <w:szCs w:val="24"/>
        </w:rPr>
        <w:t xml:space="preserve">Rozšíření moderní výrobní a VaV infrastruktury </w:t>
      </w:r>
      <w:r w:rsidR="00301B17" w:rsidRPr="00DD47DF">
        <w:rPr>
          <w:rFonts w:cs="Calibri"/>
          <w:sz w:val="24"/>
          <w:szCs w:val="24"/>
        </w:rPr>
        <w:t>posílí inovační kapacity podniků, umožní</w:t>
      </w:r>
      <w:r w:rsidRPr="00DD47DF">
        <w:rPr>
          <w:rFonts w:cs="Calibri"/>
          <w:sz w:val="24"/>
          <w:szCs w:val="24"/>
        </w:rPr>
        <w:t xml:space="preserve"> realizovat vlastní VaV aktivity a zároveň zvýší poptávku po výsledcích výzkumu realizovaného ve výzkumných organizacích, </w:t>
      </w:r>
      <w:r w:rsidRPr="00DD47DF">
        <w:rPr>
          <w:rFonts w:cs="Calibri"/>
          <w:sz w:val="24"/>
          <w:szCs w:val="24"/>
        </w:rPr>
        <w:lastRenderedPageBreak/>
        <w:t xml:space="preserve">a to i v oblasti technologií s největší růstovou perspektivou. Naplňování </w:t>
      </w:r>
      <w:r w:rsidR="00301B17" w:rsidRPr="00DD47DF">
        <w:rPr>
          <w:rFonts w:cs="Calibri"/>
          <w:sz w:val="24"/>
          <w:szCs w:val="24"/>
        </w:rPr>
        <w:t>SC</w:t>
      </w:r>
      <w:r w:rsidRPr="00DD47DF">
        <w:rPr>
          <w:rFonts w:cs="Calibri"/>
          <w:sz w:val="24"/>
          <w:szCs w:val="24"/>
        </w:rPr>
        <w:t xml:space="preserve"> povede k zavádění inovací vyšších řádů</w:t>
      </w:r>
      <w:r w:rsidR="00965420" w:rsidRPr="00DD47DF">
        <w:rPr>
          <w:rStyle w:val="Znakapoznpodarou"/>
          <w:rFonts w:cs="Calibri"/>
          <w:sz w:val="24"/>
          <w:szCs w:val="24"/>
        </w:rPr>
        <w:footnoteReference w:id="34"/>
      </w:r>
      <w:r w:rsidRPr="00DD47DF">
        <w:rPr>
          <w:rFonts w:cs="Calibri"/>
          <w:sz w:val="24"/>
          <w:szCs w:val="24"/>
        </w:rPr>
        <w:t xml:space="preserve"> na trh a zlepšení technických fází inovačního procesu.</w:t>
      </w:r>
    </w:p>
    <w:p w14:paraId="4BCC2F94" w14:textId="77777777" w:rsidR="007B234F" w:rsidRPr="00DD47DF" w:rsidRDefault="003508A9" w:rsidP="007B234F">
      <w:pPr>
        <w:pStyle w:val="Modrnadpis"/>
      </w:pPr>
      <w:r w:rsidRPr="00DD47DF">
        <w:t>Výsledky, kterých chce ČR dosáhnout s podporou Unie</w:t>
      </w:r>
    </w:p>
    <w:p w14:paraId="734A1595" w14:textId="77777777" w:rsidR="00B2096C" w:rsidRPr="00DD47DF" w:rsidRDefault="00B2096C" w:rsidP="002908E2">
      <w:pPr>
        <w:numPr>
          <w:ilvl w:val="0"/>
          <w:numId w:val="52"/>
        </w:numPr>
        <w:spacing w:after="120"/>
        <w:jc w:val="both"/>
        <w:rPr>
          <w:rFonts w:cs="Calibri"/>
          <w:sz w:val="24"/>
          <w:szCs w:val="24"/>
        </w:rPr>
      </w:pPr>
      <w:r w:rsidRPr="00DD47DF">
        <w:rPr>
          <w:rFonts w:cs="Calibri"/>
          <w:sz w:val="24"/>
          <w:szCs w:val="24"/>
        </w:rPr>
        <w:t xml:space="preserve">Posílení </w:t>
      </w:r>
      <w:r w:rsidR="004B7DB1" w:rsidRPr="00DD47DF">
        <w:rPr>
          <w:rFonts w:cs="Calibri"/>
          <w:sz w:val="24"/>
          <w:szCs w:val="24"/>
        </w:rPr>
        <w:t xml:space="preserve">inovační výkonnosti </w:t>
      </w:r>
      <w:r w:rsidRPr="00DD47DF">
        <w:rPr>
          <w:rFonts w:cs="Calibri"/>
          <w:sz w:val="24"/>
          <w:szCs w:val="24"/>
        </w:rPr>
        <w:t>domácích firem</w:t>
      </w:r>
      <w:r w:rsidR="004B7DB1" w:rsidRPr="00DD47DF">
        <w:rPr>
          <w:rFonts w:cs="Calibri"/>
          <w:sz w:val="24"/>
          <w:szCs w:val="24"/>
        </w:rPr>
        <w:t xml:space="preserve"> a zvýšení jejich schopnosti</w:t>
      </w:r>
      <w:r w:rsidR="00FE0B02" w:rsidRPr="00DD47DF">
        <w:rPr>
          <w:rFonts w:cs="Calibri"/>
          <w:sz w:val="24"/>
          <w:szCs w:val="24"/>
        </w:rPr>
        <w:t>.</w:t>
      </w:r>
      <w:r w:rsidRPr="00DD47DF">
        <w:rPr>
          <w:rFonts w:cs="Calibri"/>
          <w:sz w:val="24"/>
          <w:szCs w:val="24"/>
        </w:rPr>
        <w:t xml:space="preserve"> S růstem počtu firem místního původu v pozici technologických lídrů a aktivním přístupem k inovacím se tak sníží vysoká závislost hospodářs</w:t>
      </w:r>
      <w:r w:rsidR="004B7DB1" w:rsidRPr="00DD47DF">
        <w:rPr>
          <w:rFonts w:cs="Calibri"/>
          <w:sz w:val="24"/>
          <w:szCs w:val="24"/>
        </w:rPr>
        <w:t xml:space="preserve">tví </w:t>
      </w:r>
      <w:r w:rsidRPr="00DD47DF">
        <w:rPr>
          <w:rFonts w:cs="Calibri"/>
          <w:sz w:val="24"/>
          <w:szCs w:val="24"/>
        </w:rPr>
        <w:t>ČR na aktivitách zahraničních firem.</w:t>
      </w:r>
    </w:p>
    <w:p w14:paraId="7C2AE6A4" w14:textId="77777777" w:rsidR="00B2096C" w:rsidRPr="00DD47DF" w:rsidRDefault="00B2096C" w:rsidP="002908E2">
      <w:pPr>
        <w:numPr>
          <w:ilvl w:val="0"/>
          <w:numId w:val="52"/>
        </w:numPr>
        <w:spacing w:after="120"/>
        <w:jc w:val="both"/>
        <w:rPr>
          <w:rFonts w:cs="Calibri"/>
          <w:sz w:val="24"/>
          <w:szCs w:val="24"/>
        </w:rPr>
      </w:pPr>
      <w:r w:rsidRPr="00DD47DF">
        <w:rPr>
          <w:rFonts w:cs="Calibri"/>
          <w:sz w:val="24"/>
          <w:szCs w:val="24"/>
        </w:rPr>
        <w:t>Zvýšení využívání unikátních know-how z větší či menší části vzniklých ve spolupráci s akademickým a výzkumným sektorem, rozšíření know-how firem pro vlastní inovace, zvýšení efektivnosti interních procesů v oblasti řízení inovací a účinnější ochrany duševního vlastnictví, zvláště na zahraničních trzích, což povede k vyšší internacionalizaci firem a možnosti účastí českých firem v evropských programech (např. Horizont 2020).</w:t>
      </w:r>
    </w:p>
    <w:p w14:paraId="14DF28FA" w14:textId="77777777" w:rsidR="00B2096C" w:rsidRPr="00DD47DF" w:rsidRDefault="00B2096C" w:rsidP="002908E2">
      <w:pPr>
        <w:numPr>
          <w:ilvl w:val="0"/>
          <w:numId w:val="52"/>
        </w:numPr>
        <w:spacing w:after="120"/>
        <w:jc w:val="both"/>
        <w:rPr>
          <w:rFonts w:cs="Calibri"/>
          <w:sz w:val="24"/>
          <w:szCs w:val="24"/>
        </w:rPr>
      </w:pPr>
      <w:r w:rsidRPr="00DD47DF">
        <w:rPr>
          <w:rFonts w:cs="Calibri"/>
          <w:sz w:val="24"/>
          <w:szCs w:val="24"/>
        </w:rPr>
        <w:t>Tvorba a zavádění nových konkurenceschopných produktů na globální trh, zejména inovacích vyšších řádů, posílení schopnosti firem v oblasti high-tech výroby.</w:t>
      </w:r>
    </w:p>
    <w:p w14:paraId="5033BAFD" w14:textId="77777777" w:rsidR="00B2096C" w:rsidRPr="00DD47DF" w:rsidRDefault="00B2096C" w:rsidP="002908E2">
      <w:pPr>
        <w:numPr>
          <w:ilvl w:val="0"/>
          <w:numId w:val="52"/>
        </w:numPr>
        <w:spacing w:after="120"/>
        <w:jc w:val="both"/>
        <w:rPr>
          <w:rFonts w:cs="Calibri"/>
          <w:sz w:val="24"/>
          <w:szCs w:val="24"/>
        </w:rPr>
      </w:pPr>
      <w:r w:rsidRPr="00DD47DF">
        <w:rPr>
          <w:rFonts w:cs="Calibri"/>
          <w:sz w:val="24"/>
          <w:szCs w:val="24"/>
        </w:rPr>
        <w:t>Posílení výzkumu, vývoje a uvádění ekoinovací na trh přispěje k optimálnímu využití zdrojů a ke snížení dopadů výroby či produktu na životní prostředí.</w:t>
      </w:r>
    </w:p>
    <w:p w14:paraId="6B995047" w14:textId="77777777" w:rsidR="00ED2AA8" w:rsidRPr="00DD47DF" w:rsidRDefault="00ED2AA8" w:rsidP="002908E2">
      <w:pPr>
        <w:numPr>
          <w:ilvl w:val="0"/>
          <w:numId w:val="52"/>
        </w:numPr>
        <w:spacing w:after="120"/>
        <w:jc w:val="both"/>
        <w:rPr>
          <w:rFonts w:cs="Calibri"/>
          <w:sz w:val="24"/>
          <w:szCs w:val="24"/>
        </w:rPr>
      </w:pPr>
      <w:r w:rsidRPr="00DD47DF">
        <w:rPr>
          <w:rFonts w:cs="Calibri"/>
          <w:sz w:val="24"/>
          <w:szCs w:val="24"/>
        </w:rPr>
        <w:t xml:space="preserve">Zvýšení počtu firem disponujících moderní VaV infrastrukturou, jejíž využití povede k dalším investicím soukromých subjektů a realizaci navazujících projektů ve spolupráci s dalšími účastníky inovačního systému. </w:t>
      </w:r>
    </w:p>
    <w:p w14:paraId="73A9A1DC" w14:textId="77777777" w:rsidR="00ED2AA8" w:rsidRPr="00DD47DF" w:rsidRDefault="00ED2AA8" w:rsidP="002908E2">
      <w:pPr>
        <w:numPr>
          <w:ilvl w:val="0"/>
          <w:numId w:val="52"/>
        </w:numPr>
        <w:spacing w:after="120"/>
        <w:jc w:val="both"/>
        <w:rPr>
          <w:rFonts w:cs="Calibri"/>
          <w:sz w:val="24"/>
          <w:szCs w:val="24"/>
        </w:rPr>
      </w:pPr>
      <w:r w:rsidRPr="00DD47DF">
        <w:rPr>
          <w:rFonts w:cs="Calibri"/>
          <w:sz w:val="24"/>
          <w:szCs w:val="24"/>
        </w:rPr>
        <w:t>Realizace projektů průmyslového výzkumu a experimentálního vývoje bude významným impulsem pro zvýšení vlastních podnikových výdajů na výzkum a vývoj, povede k tvorbě nových konkurenceschopných produktů</w:t>
      </w:r>
      <w:r w:rsidR="00C5101E" w:rsidRPr="00DD47DF">
        <w:rPr>
          <w:rFonts w:cs="Calibri"/>
          <w:sz w:val="24"/>
          <w:szCs w:val="24"/>
        </w:rPr>
        <w:t xml:space="preserve"> a služeb</w:t>
      </w:r>
      <w:r w:rsidRPr="00DD47DF">
        <w:rPr>
          <w:rFonts w:cs="Calibri"/>
          <w:sz w:val="24"/>
          <w:szCs w:val="24"/>
        </w:rPr>
        <w:t>, bude stimulovat výzkumné organizace k tvorbě výsledků využitelných v průmyslu a podpoří využívání nově vybudovaných výzkumných infrastruktur ve veřejném sektoru s důrazem na oblast klíčových průřezových technologií (KETs).</w:t>
      </w:r>
      <w:r w:rsidR="00FE0B02" w:rsidRPr="00DD47DF">
        <w:rPr>
          <w:rFonts w:cs="Calibri"/>
          <w:sz w:val="24"/>
          <w:szCs w:val="24"/>
        </w:rPr>
        <w:t xml:space="preserve"> </w:t>
      </w:r>
    </w:p>
    <w:p w14:paraId="4DB36EAE" w14:textId="77777777" w:rsidR="00941F63" w:rsidRPr="00DD47DF" w:rsidRDefault="00941F63" w:rsidP="00650A99">
      <w:pPr>
        <w:pStyle w:val="Titulek"/>
        <w:keepNext/>
        <w:keepLines/>
        <w:rPr>
          <w:rFonts w:cs="Calibri"/>
        </w:rPr>
      </w:pPr>
      <w:r w:rsidRPr="00DD47DF">
        <w:rPr>
          <w:rFonts w:cs="Calibri"/>
        </w:rPr>
        <w:lastRenderedPageBreak/>
        <w:t xml:space="preserve">Tabulka </w:t>
      </w:r>
      <w:r w:rsidR="002756E7" w:rsidRPr="00DD47DF">
        <w:rPr>
          <w:rFonts w:cs="Calibri"/>
        </w:rPr>
        <w:fldChar w:fldCharType="begin"/>
      </w:r>
      <w:r w:rsidR="00174180" w:rsidRPr="00DD47DF">
        <w:rPr>
          <w:rFonts w:cs="Calibri"/>
        </w:rPr>
        <w:instrText xml:space="preserve"> SEQ Tabulka \* ARABIC </w:instrText>
      </w:r>
      <w:r w:rsidR="002756E7" w:rsidRPr="00DD47DF">
        <w:rPr>
          <w:rFonts w:cs="Calibri"/>
        </w:rPr>
        <w:fldChar w:fldCharType="separate"/>
      </w:r>
      <w:r w:rsidR="00117847">
        <w:rPr>
          <w:rFonts w:cs="Calibri"/>
          <w:noProof/>
        </w:rPr>
        <w:t>3</w:t>
      </w:r>
      <w:r w:rsidR="002756E7" w:rsidRPr="00DD47DF">
        <w:rPr>
          <w:rFonts w:cs="Calibri"/>
          <w:noProof/>
        </w:rPr>
        <w:fldChar w:fldCharType="end"/>
      </w:r>
      <w:r w:rsidR="009670FD" w:rsidRPr="00DD47DF">
        <w:rPr>
          <w:rFonts w:cs="Calibri"/>
          <w:noProof/>
        </w:rPr>
        <w:t>a</w:t>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710"/>
        <w:gridCol w:w="946"/>
        <w:gridCol w:w="1202"/>
        <w:gridCol w:w="907"/>
        <w:gridCol w:w="882"/>
        <w:gridCol w:w="920"/>
        <w:gridCol w:w="1075"/>
        <w:gridCol w:w="1020"/>
      </w:tblGrid>
      <w:tr w:rsidR="007B391E" w:rsidRPr="00DD47DF" w14:paraId="79CEA8B2" w14:textId="77777777">
        <w:trPr>
          <w:trHeight w:hRule="exact" w:val="1297"/>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A9E97E" w14:textId="77777777" w:rsidR="00941F63" w:rsidRPr="00DD47DF" w:rsidRDefault="00941F63" w:rsidP="00650A99">
            <w:pPr>
              <w:pStyle w:val="Tabulka"/>
              <w:keepNext/>
              <w:keepLines/>
              <w:rPr>
                <w:rFonts w:cs="Calibri"/>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C6F7046" w14:textId="77777777" w:rsidR="00941F63" w:rsidRPr="00DD47DF" w:rsidRDefault="00CF739D" w:rsidP="00650A99">
            <w:pPr>
              <w:pStyle w:val="Tabulka"/>
              <w:keepNext/>
              <w:keepLines/>
              <w:rPr>
                <w:rFonts w:cs="Calibri"/>
              </w:rPr>
            </w:pPr>
            <w:r w:rsidRPr="00DD47DF">
              <w:rPr>
                <w:rFonts w:cs="Calibri"/>
                <w:b/>
                <w:bCs/>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A32FDAD" w14:textId="77777777" w:rsidR="00941F63" w:rsidRPr="00DD47DF" w:rsidRDefault="00941F63" w:rsidP="00650A99">
            <w:pPr>
              <w:pStyle w:val="Tabulka"/>
              <w:keepNext/>
              <w:keepLines/>
              <w:rPr>
                <w:rFonts w:cs="Calibri"/>
              </w:rPr>
            </w:pPr>
            <w:r w:rsidRPr="00DD47DF">
              <w:rPr>
                <w:rFonts w:cs="Calibri"/>
                <w:b/>
                <w:bCs/>
              </w:rPr>
              <w:t>Měrná</w:t>
            </w:r>
          </w:p>
          <w:p w14:paraId="413AC44B" w14:textId="77777777" w:rsidR="00941F63" w:rsidRPr="00DD47DF" w:rsidRDefault="00941F63" w:rsidP="00650A99">
            <w:pPr>
              <w:pStyle w:val="Tabulka"/>
              <w:keepNext/>
              <w:keepLines/>
              <w:rPr>
                <w:rFonts w:cs="Calibri"/>
              </w:rPr>
            </w:pPr>
            <w:r w:rsidRPr="00DD47DF">
              <w:rPr>
                <w:rFonts w:cs="Calibri"/>
                <w:b/>
                <w:bCs/>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689410C" w14:textId="77777777" w:rsidR="00941F63" w:rsidRPr="00DD47DF" w:rsidRDefault="00CF739D" w:rsidP="00650A99">
            <w:pPr>
              <w:pStyle w:val="Tabulka"/>
              <w:keepNext/>
              <w:keepLines/>
              <w:rPr>
                <w:rFonts w:cs="Calibri"/>
              </w:rPr>
            </w:pPr>
            <w:r w:rsidRPr="00DD47DF">
              <w:rPr>
                <w:rFonts w:cs="Calibri"/>
                <w:b/>
                <w:bCs/>
              </w:rPr>
              <w:t>Kategorie regionů</w:t>
            </w:r>
            <w:r w:rsidR="00941F63" w:rsidRPr="00DD47DF">
              <w:rPr>
                <w:rFonts w:cs="Calibri"/>
                <w:b/>
                <w:bCs/>
              </w:rPr>
              <w:t xml:space="preserve"> (</w:t>
            </w:r>
            <w:r w:rsidRPr="00DD47DF">
              <w:rPr>
                <w:rFonts w:cs="Calibri"/>
                <w:b/>
                <w:bCs/>
              </w:rPr>
              <w:t>je-li</w:t>
            </w:r>
            <w:r w:rsidR="00941F63" w:rsidRPr="00DD47DF">
              <w:rPr>
                <w:rFonts w:cs="Calibri"/>
                <w:b/>
                <w:bCs/>
              </w:rPr>
              <w:t xml:space="preserve">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A912DFE" w14:textId="77777777" w:rsidR="00941F63" w:rsidRPr="00DD47DF" w:rsidRDefault="004B0854" w:rsidP="00650A99">
            <w:pPr>
              <w:pStyle w:val="Tabulka"/>
              <w:keepNext/>
              <w:keepLines/>
              <w:rPr>
                <w:rFonts w:cs="Calibri"/>
              </w:rPr>
            </w:pPr>
            <w:r w:rsidRPr="00DD47DF">
              <w:rPr>
                <w:rFonts w:cs="Calibri"/>
                <w:b/>
                <w:bCs/>
              </w:rPr>
              <w:t>Výchozí</w:t>
            </w:r>
            <w:r w:rsidR="00941F63" w:rsidRPr="00DD47DF">
              <w:rPr>
                <w:rFonts w:cs="Calibri"/>
                <w:b/>
                <w:bCs/>
              </w:rPr>
              <w:t xml:space="preserve">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E9E51CD" w14:textId="77777777" w:rsidR="00941F63" w:rsidRPr="00DD47DF" w:rsidRDefault="004B0854" w:rsidP="00650A99">
            <w:pPr>
              <w:pStyle w:val="Tabulka"/>
              <w:keepNext/>
              <w:keepLines/>
              <w:rPr>
                <w:rFonts w:cs="Calibri"/>
              </w:rPr>
            </w:pPr>
            <w:r w:rsidRPr="00DD47DF">
              <w:rPr>
                <w:rFonts w:cs="Calibri"/>
                <w:b/>
                <w:bCs/>
              </w:rPr>
              <w:t xml:space="preserve">Výchozí </w:t>
            </w:r>
            <w:r w:rsidR="00941F63"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AB4E7DB" w14:textId="77777777" w:rsidR="00941F63" w:rsidRPr="00DD47DF" w:rsidRDefault="009E5CFE" w:rsidP="00650A99">
            <w:pPr>
              <w:pStyle w:val="Tabulka"/>
              <w:keepNext/>
              <w:keepLines/>
              <w:rPr>
                <w:rFonts w:cs="Calibri"/>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92FBA37" w14:textId="77777777" w:rsidR="00941F63" w:rsidRPr="00DD47DF" w:rsidRDefault="00941F63" w:rsidP="00650A99">
            <w:pPr>
              <w:pStyle w:val="Tabulka"/>
              <w:keepNext/>
              <w:keepLines/>
              <w:rPr>
                <w:rFonts w:cs="Calibri"/>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079AE8" w14:textId="77777777" w:rsidR="00941F63" w:rsidRPr="00DD47DF" w:rsidRDefault="00CF739D" w:rsidP="00650A99">
            <w:pPr>
              <w:pStyle w:val="Tabulka"/>
              <w:keepNext/>
              <w:keepLines/>
              <w:rPr>
                <w:rFonts w:cs="Calibri"/>
              </w:rPr>
            </w:pPr>
            <w:r w:rsidRPr="00DD47DF">
              <w:rPr>
                <w:rFonts w:cs="Calibri"/>
                <w:b/>
                <w:bCs/>
              </w:rPr>
              <w:t>Četnost podávání zpráv</w:t>
            </w:r>
          </w:p>
        </w:tc>
      </w:tr>
      <w:tr w:rsidR="00A15054" w:rsidRPr="00DD47DF" w14:paraId="4D441D82" w14:textId="77777777">
        <w:trPr>
          <w:trHeight w:hRule="exact" w:val="1856"/>
        </w:trPr>
        <w:tc>
          <w:tcPr>
            <w:tcW w:w="0" w:type="auto"/>
            <w:tcBorders>
              <w:top w:val="single" w:sz="4" w:space="0" w:color="000000"/>
              <w:left w:val="single" w:sz="4" w:space="0" w:color="000000"/>
              <w:bottom w:val="single" w:sz="4" w:space="0" w:color="000000"/>
              <w:right w:val="single" w:sz="4" w:space="0" w:color="000000"/>
            </w:tcBorders>
            <w:vAlign w:val="center"/>
          </w:tcPr>
          <w:p w14:paraId="082A9C98" w14:textId="77777777" w:rsidR="00A15054" w:rsidRPr="00DD47DF" w:rsidRDefault="00831F28" w:rsidP="00650A99">
            <w:pPr>
              <w:pStyle w:val="Tabulka"/>
              <w:keepNext/>
              <w:keepLines/>
              <w:rPr>
                <w:rFonts w:cs="Calibri"/>
              </w:rPr>
            </w:pPr>
            <w:r w:rsidRPr="00DD47DF">
              <w:rPr>
                <w:rFonts w:cs="Calibri"/>
              </w:rPr>
              <w:t>21010</w:t>
            </w:r>
          </w:p>
        </w:tc>
        <w:tc>
          <w:tcPr>
            <w:tcW w:w="0" w:type="auto"/>
            <w:tcBorders>
              <w:top w:val="single" w:sz="4" w:space="0" w:color="000000"/>
              <w:left w:val="single" w:sz="4" w:space="0" w:color="000000"/>
              <w:bottom w:val="single" w:sz="4" w:space="0" w:color="000000"/>
              <w:right w:val="single" w:sz="4" w:space="0" w:color="000000"/>
            </w:tcBorders>
            <w:vAlign w:val="center"/>
          </w:tcPr>
          <w:p w14:paraId="65C6244B" w14:textId="77777777" w:rsidR="00A15054" w:rsidRPr="00DD47DF" w:rsidRDefault="00A15054" w:rsidP="00650A99">
            <w:pPr>
              <w:pStyle w:val="Tabulka"/>
              <w:keepNext/>
              <w:keepLines/>
              <w:jc w:val="left"/>
              <w:rPr>
                <w:rFonts w:cs="Calibri"/>
              </w:rPr>
            </w:pPr>
            <w:r w:rsidRPr="00DD47DF">
              <w:rPr>
                <w:rFonts w:cs="Calibri"/>
              </w:rPr>
              <w:t>Podnikové výdaje na VaV v podnikatelském sektoru jako % HDP - regiony ČR (mimo hl. m. Praha)</w:t>
            </w:r>
          </w:p>
        </w:tc>
        <w:tc>
          <w:tcPr>
            <w:tcW w:w="0" w:type="auto"/>
            <w:tcBorders>
              <w:top w:val="single" w:sz="4" w:space="0" w:color="000000"/>
              <w:left w:val="single" w:sz="4" w:space="0" w:color="000000"/>
              <w:bottom w:val="single" w:sz="4" w:space="0" w:color="000000"/>
              <w:right w:val="single" w:sz="4" w:space="0" w:color="000000"/>
            </w:tcBorders>
            <w:vAlign w:val="center"/>
          </w:tcPr>
          <w:p w14:paraId="7D6B5079" w14:textId="77777777" w:rsidR="00A15054" w:rsidRPr="00DD47DF" w:rsidRDefault="00A15054" w:rsidP="00650A99">
            <w:pPr>
              <w:pStyle w:val="Tabulka"/>
              <w:keepNext/>
              <w:keepLines/>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8FB1C22" w14:textId="77777777" w:rsidR="00A15054" w:rsidRPr="00DD47DF" w:rsidRDefault="00A15054" w:rsidP="00650A99">
            <w:pPr>
              <w:pStyle w:val="Tabulka"/>
              <w:keepNext/>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747306A9" w14:textId="77777777" w:rsidR="00A15054" w:rsidRPr="00DD47DF" w:rsidRDefault="00D86241" w:rsidP="00650A99">
            <w:pPr>
              <w:pStyle w:val="Tabulka"/>
              <w:keepNext/>
              <w:keepLines/>
              <w:rPr>
                <w:rFonts w:cs="Calibri"/>
              </w:rPr>
            </w:pPr>
            <w:r w:rsidRPr="00DD47DF">
              <w:rPr>
                <w:rFonts w:cs="Calibri"/>
              </w:rPr>
              <w:t>0,58</w:t>
            </w:r>
          </w:p>
        </w:tc>
        <w:tc>
          <w:tcPr>
            <w:tcW w:w="0" w:type="auto"/>
            <w:tcBorders>
              <w:top w:val="single" w:sz="4" w:space="0" w:color="000000"/>
              <w:left w:val="single" w:sz="4" w:space="0" w:color="000000"/>
              <w:bottom w:val="single" w:sz="4" w:space="0" w:color="000000"/>
              <w:right w:val="single" w:sz="4" w:space="0" w:color="000000"/>
            </w:tcBorders>
            <w:vAlign w:val="center"/>
          </w:tcPr>
          <w:p w14:paraId="7BD37814" w14:textId="77777777" w:rsidR="00A15054" w:rsidRPr="00DD47DF" w:rsidRDefault="00A15054" w:rsidP="00650A99">
            <w:pPr>
              <w:pStyle w:val="Tabulka"/>
              <w:keepNext/>
              <w:keepLines/>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7AB28CAD" w14:textId="77777777" w:rsidR="00A15054" w:rsidRPr="00DD47DF" w:rsidRDefault="00D86241" w:rsidP="00650A99">
            <w:pPr>
              <w:pStyle w:val="Tabulka"/>
              <w:keepNext/>
              <w:keepLines/>
              <w:rPr>
                <w:rFonts w:cs="Calibri"/>
              </w:rPr>
            </w:pPr>
            <w:r w:rsidRPr="00DD47DF">
              <w:rPr>
                <w:rFonts w:cs="Calibri"/>
              </w:rPr>
              <w:t>0,62 – 0,8</w:t>
            </w:r>
            <w:r w:rsidRPr="00DD47DF">
              <w:rPr>
                <w:rStyle w:val="Znakapoznpodarou"/>
                <w:rFonts w:cs="Calibri"/>
              </w:rPr>
              <w:footnoteReference w:id="35"/>
            </w:r>
          </w:p>
        </w:tc>
        <w:tc>
          <w:tcPr>
            <w:tcW w:w="0" w:type="auto"/>
            <w:tcBorders>
              <w:top w:val="single" w:sz="4" w:space="0" w:color="000000"/>
              <w:left w:val="single" w:sz="4" w:space="0" w:color="000000"/>
              <w:bottom w:val="single" w:sz="4" w:space="0" w:color="000000"/>
              <w:right w:val="single" w:sz="4" w:space="0" w:color="000000"/>
            </w:tcBorders>
            <w:vAlign w:val="center"/>
          </w:tcPr>
          <w:p w14:paraId="2ECBBAF7" w14:textId="77777777" w:rsidR="00A15054" w:rsidRPr="00DD47DF" w:rsidRDefault="00A15054" w:rsidP="00650A99">
            <w:pPr>
              <w:pStyle w:val="Tabulka"/>
              <w:keepNext/>
              <w:keepLines/>
              <w:rPr>
                <w:rFonts w:cs="Calibri"/>
              </w:rPr>
            </w:pPr>
            <w:r w:rsidRPr="00DD47DF">
              <w:rPr>
                <w:rFonts w:cs="Calibri"/>
              </w:rPr>
              <w:t>ČSÚ</w:t>
            </w:r>
          </w:p>
        </w:tc>
        <w:tc>
          <w:tcPr>
            <w:tcW w:w="0" w:type="auto"/>
            <w:tcBorders>
              <w:top w:val="single" w:sz="4" w:space="0" w:color="000000"/>
              <w:left w:val="single" w:sz="4" w:space="0" w:color="000000"/>
              <w:bottom w:val="single" w:sz="4" w:space="0" w:color="000000"/>
              <w:right w:val="single" w:sz="4" w:space="0" w:color="000000"/>
            </w:tcBorders>
            <w:vAlign w:val="center"/>
          </w:tcPr>
          <w:p w14:paraId="58D061C8" w14:textId="77777777" w:rsidR="00A15054" w:rsidRPr="00DD47DF" w:rsidRDefault="00A15054" w:rsidP="00650A99">
            <w:pPr>
              <w:pStyle w:val="Tabulka"/>
              <w:keepNext/>
              <w:keepLines/>
              <w:rPr>
                <w:rFonts w:cs="Calibri"/>
              </w:rPr>
            </w:pPr>
            <w:r w:rsidRPr="00DD47DF">
              <w:rPr>
                <w:rFonts w:cs="Calibri"/>
              </w:rPr>
              <w:t>ročně</w:t>
            </w:r>
          </w:p>
        </w:tc>
      </w:tr>
      <w:tr w:rsidR="007B391E" w:rsidRPr="00DD47DF" w14:paraId="472D3714" w14:textId="77777777">
        <w:trPr>
          <w:trHeight w:hRule="exact" w:val="1856"/>
        </w:trPr>
        <w:tc>
          <w:tcPr>
            <w:tcW w:w="0" w:type="auto"/>
            <w:tcBorders>
              <w:top w:val="single" w:sz="4" w:space="0" w:color="000000"/>
              <w:left w:val="single" w:sz="4" w:space="0" w:color="000000"/>
              <w:bottom w:val="single" w:sz="4" w:space="0" w:color="000000"/>
              <w:right w:val="single" w:sz="4" w:space="0" w:color="000000"/>
            </w:tcBorders>
            <w:vAlign w:val="center"/>
          </w:tcPr>
          <w:p w14:paraId="492CD4A0" w14:textId="77777777" w:rsidR="00941F63" w:rsidRPr="00DD47DF" w:rsidRDefault="008120C1" w:rsidP="009670FD">
            <w:pPr>
              <w:pStyle w:val="Tabulka"/>
              <w:rPr>
                <w:rFonts w:cs="Calibri"/>
              </w:rPr>
            </w:pPr>
            <w:r w:rsidRPr="00DD47DF">
              <w:rPr>
                <w:rFonts w:cs="Calibri"/>
              </w:rPr>
              <w:t>214</w:t>
            </w:r>
            <w:r w:rsidR="00802191" w:rsidRPr="00DD47DF">
              <w:rPr>
                <w:rFonts w:cs="Calibri"/>
              </w:rPr>
              <w:t>11</w:t>
            </w:r>
          </w:p>
        </w:tc>
        <w:tc>
          <w:tcPr>
            <w:tcW w:w="0" w:type="auto"/>
            <w:tcBorders>
              <w:top w:val="single" w:sz="4" w:space="0" w:color="000000"/>
              <w:left w:val="single" w:sz="4" w:space="0" w:color="000000"/>
              <w:bottom w:val="single" w:sz="4" w:space="0" w:color="000000"/>
              <w:right w:val="single" w:sz="4" w:space="0" w:color="000000"/>
            </w:tcBorders>
            <w:vAlign w:val="center"/>
          </w:tcPr>
          <w:p w14:paraId="57E5D424" w14:textId="77777777" w:rsidR="00941F63" w:rsidRPr="00DD47DF" w:rsidRDefault="008E48D1" w:rsidP="00AF574A">
            <w:pPr>
              <w:pStyle w:val="Tabulka"/>
              <w:jc w:val="left"/>
              <w:rPr>
                <w:rFonts w:cs="Calibri"/>
              </w:rPr>
            </w:pPr>
            <w:r w:rsidRPr="00DD47DF">
              <w:rPr>
                <w:rFonts w:cs="Calibri"/>
              </w:rPr>
              <w:t>Tržby z inovované produkce jako % celkových tržeb podniků s produktovou inovací</w:t>
            </w:r>
          </w:p>
        </w:tc>
        <w:tc>
          <w:tcPr>
            <w:tcW w:w="0" w:type="auto"/>
            <w:tcBorders>
              <w:top w:val="single" w:sz="4" w:space="0" w:color="000000"/>
              <w:left w:val="single" w:sz="4" w:space="0" w:color="000000"/>
              <w:bottom w:val="single" w:sz="4" w:space="0" w:color="000000"/>
              <w:right w:val="single" w:sz="4" w:space="0" w:color="000000"/>
            </w:tcBorders>
            <w:vAlign w:val="center"/>
          </w:tcPr>
          <w:p w14:paraId="27085700" w14:textId="77777777" w:rsidR="00941F63" w:rsidRPr="00DD47DF" w:rsidRDefault="008E48D1" w:rsidP="009670FD">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5FE6063" w14:textId="77777777" w:rsidR="00941F63" w:rsidRPr="00DD47DF" w:rsidRDefault="00B71997" w:rsidP="009670FD">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0AC47116" w14:textId="77777777" w:rsidR="00941F63" w:rsidRPr="00DD47DF" w:rsidRDefault="008E48D1" w:rsidP="009670FD">
            <w:pPr>
              <w:pStyle w:val="Tabulka"/>
              <w:rPr>
                <w:rFonts w:cs="Calibri"/>
              </w:rPr>
            </w:pPr>
            <w:r w:rsidRPr="00DD47DF">
              <w:rPr>
                <w:rFonts w:cs="Calibri"/>
              </w:rPr>
              <w:t>29,2</w:t>
            </w:r>
          </w:p>
        </w:tc>
        <w:tc>
          <w:tcPr>
            <w:tcW w:w="0" w:type="auto"/>
            <w:tcBorders>
              <w:top w:val="single" w:sz="4" w:space="0" w:color="000000"/>
              <w:left w:val="single" w:sz="4" w:space="0" w:color="000000"/>
              <w:bottom w:val="single" w:sz="4" w:space="0" w:color="000000"/>
              <w:right w:val="single" w:sz="4" w:space="0" w:color="000000"/>
            </w:tcBorders>
            <w:vAlign w:val="center"/>
          </w:tcPr>
          <w:p w14:paraId="2D331888" w14:textId="77777777" w:rsidR="00941F63" w:rsidRPr="00DD47DF" w:rsidRDefault="008E48D1" w:rsidP="009670FD">
            <w:pPr>
              <w:pStyle w:val="Tabulka"/>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1C40F472" w14:textId="77777777" w:rsidR="00941F63" w:rsidRPr="00DD47DF" w:rsidRDefault="006D0B8B" w:rsidP="009670FD">
            <w:pPr>
              <w:pStyle w:val="Tabulka"/>
              <w:rPr>
                <w:rFonts w:cs="Calibri"/>
              </w:rPr>
            </w:pPr>
            <w:r w:rsidRPr="00DD47DF">
              <w:rPr>
                <w:rFonts w:cs="Calibri"/>
              </w:rPr>
              <w:t>29,8 – 31</w:t>
            </w:r>
            <w:r w:rsidR="007E6815" w:rsidRPr="00DD47DF">
              <w:rPr>
                <w:rStyle w:val="Znakapoznpodarou"/>
                <w:rFonts w:cs="Calibri"/>
              </w:rPr>
              <w:footnoteReference w:id="36"/>
            </w:r>
          </w:p>
        </w:tc>
        <w:tc>
          <w:tcPr>
            <w:tcW w:w="0" w:type="auto"/>
            <w:tcBorders>
              <w:top w:val="single" w:sz="4" w:space="0" w:color="000000"/>
              <w:left w:val="single" w:sz="4" w:space="0" w:color="000000"/>
              <w:bottom w:val="single" w:sz="4" w:space="0" w:color="000000"/>
              <w:right w:val="single" w:sz="4" w:space="0" w:color="000000"/>
            </w:tcBorders>
            <w:vAlign w:val="center"/>
          </w:tcPr>
          <w:p w14:paraId="02EE877E" w14:textId="77777777" w:rsidR="00941F63" w:rsidRPr="00DD47DF" w:rsidRDefault="008E48D1" w:rsidP="001A189B">
            <w:pPr>
              <w:pStyle w:val="Tabulka"/>
              <w:rPr>
                <w:rFonts w:cs="Calibri"/>
              </w:rPr>
            </w:pPr>
            <w:r w:rsidRPr="00DD47DF">
              <w:rPr>
                <w:rFonts w:cs="Calibri"/>
              </w:rPr>
              <w:t>ČSÚ (šetření o inovacích, CIS)</w:t>
            </w:r>
          </w:p>
        </w:tc>
        <w:tc>
          <w:tcPr>
            <w:tcW w:w="0" w:type="auto"/>
            <w:tcBorders>
              <w:top w:val="single" w:sz="4" w:space="0" w:color="000000"/>
              <w:left w:val="single" w:sz="4" w:space="0" w:color="000000"/>
              <w:bottom w:val="single" w:sz="4" w:space="0" w:color="000000"/>
              <w:right w:val="single" w:sz="4" w:space="0" w:color="000000"/>
            </w:tcBorders>
            <w:vAlign w:val="center"/>
          </w:tcPr>
          <w:p w14:paraId="13D0AA98" w14:textId="77777777" w:rsidR="00941F63" w:rsidRPr="00DD47DF" w:rsidRDefault="00170A59" w:rsidP="009670FD">
            <w:pPr>
              <w:pStyle w:val="Tabulka"/>
              <w:rPr>
                <w:rFonts w:cs="Calibri"/>
              </w:rPr>
            </w:pPr>
            <w:r w:rsidRPr="00DD47DF">
              <w:rPr>
                <w:rFonts w:cs="Calibri"/>
              </w:rPr>
              <w:t>2 roky</w:t>
            </w:r>
          </w:p>
        </w:tc>
      </w:tr>
    </w:tbl>
    <w:p w14:paraId="2CA6CB0A" w14:textId="77777777" w:rsidR="00A25CBC" w:rsidRPr="00DD47DF" w:rsidRDefault="00A25CBC" w:rsidP="00A25CBC">
      <w:pPr>
        <w:pStyle w:val="kapitola2A0"/>
        <w:numPr>
          <w:ilvl w:val="2"/>
          <w:numId w:val="127"/>
        </w:numPr>
      </w:pPr>
      <w:bookmarkStart w:id="29" w:name="_Toc506884982"/>
      <w:bookmarkStart w:id="30" w:name="_Toc351464360"/>
      <w:r w:rsidRPr="00DD47DF">
        <w:t>Opatření, jež má být podpořeno v rámci investiční priority</w:t>
      </w:r>
      <w:bookmarkEnd w:id="29"/>
    </w:p>
    <w:p w14:paraId="15C81122" w14:textId="77777777" w:rsidR="00A25CBC" w:rsidRPr="00DD47DF" w:rsidRDefault="00A25CBC" w:rsidP="00A25CBC">
      <w:pPr>
        <w:pStyle w:val="Nadpis5"/>
        <w:numPr>
          <w:ilvl w:val="4"/>
          <w:numId w:val="11"/>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3745F84E" w14:textId="77777777" w:rsidR="00A25CBC" w:rsidRPr="00DD47DF" w:rsidRDefault="00A25CBC" w:rsidP="00A25CBC">
      <w:pPr>
        <w:pStyle w:val="Modrnadpis"/>
        <w:rPr>
          <w:rFonts w:cs="Calibri"/>
        </w:rPr>
      </w:pPr>
      <w:r w:rsidRPr="00DD47DF">
        <w:t>SPECIFICKÝ CÍL 1.1: Zvýšit inovační výkonnost podniků</w:t>
      </w:r>
      <w:r w:rsidRPr="00DD47DF">
        <w:rPr>
          <w:rStyle w:val="Odkaznakoment"/>
          <w:b w:val="0"/>
        </w:rPr>
        <w:t xml:space="preserve"> </w:t>
      </w:r>
    </w:p>
    <w:p w14:paraId="12538F99" w14:textId="77777777" w:rsidR="00A25CBC" w:rsidRPr="00DD47DF" w:rsidRDefault="00A25CBC" w:rsidP="00A25CBC">
      <w:pPr>
        <w:pStyle w:val="Standardntext"/>
        <w:keepNext/>
        <w:keepLines/>
        <w:rPr>
          <w:b/>
        </w:rPr>
      </w:pPr>
      <w:r w:rsidRPr="00DD47DF">
        <w:rPr>
          <w:b/>
        </w:rPr>
        <w:t xml:space="preserve">Aktivity pro tento specifický cíl: </w:t>
      </w:r>
    </w:p>
    <w:p w14:paraId="2AB88A18" w14:textId="77777777" w:rsidR="00A25CBC" w:rsidRPr="00DD47DF" w:rsidRDefault="00A25CBC" w:rsidP="00A25CBC">
      <w:pPr>
        <w:pStyle w:val="Standardntext"/>
        <w:keepNext/>
        <w:keepLines/>
        <w:numPr>
          <w:ilvl w:val="0"/>
          <w:numId w:val="47"/>
        </w:numPr>
      </w:pPr>
      <w:r w:rsidRPr="00DD47DF">
        <w:t>Zakládání a rozvoj podnikových výzkumných a vývojových center ve vazbě na jasně definovanou, životaschopnou strategii firmy,</w:t>
      </w:r>
    </w:p>
    <w:p w14:paraId="04968653" w14:textId="77777777" w:rsidR="00A25CBC" w:rsidRPr="00DD47DF" w:rsidRDefault="00A25CBC" w:rsidP="00A25CBC">
      <w:pPr>
        <w:pStyle w:val="Standardntext"/>
        <w:numPr>
          <w:ilvl w:val="0"/>
          <w:numId w:val="47"/>
        </w:numPr>
      </w:pPr>
      <w:r w:rsidRPr="00DD47DF">
        <w:t>zavádění inovací výrobků a služeb do výroby a jejich uvedení na trh (např. up-scaling, pilotní výrobní linky apod.), zavádění procesních a marketingových inovací,</w:t>
      </w:r>
    </w:p>
    <w:p w14:paraId="1DABDC32" w14:textId="77777777" w:rsidR="00A25CBC" w:rsidRPr="00DD47DF" w:rsidRDefault="00A25CBC" w:rsidP="00A25CBC">
      <w:pPr>
        <w:pStyle w:val="Standardntext"/>
        <w:numPr>
          <w:ilvl w:val="0"/>
          <w:numId w:val="47"/>
        </w:numPr>
      </w:pPr>
      <w:r w:rsidRPr="00DD47DF">
        <w:t>ochrana duševního vlastnictví v podnicích, včetně pilotních projektů moderních metod ošetření duševního vlastnictví,</w:t>
      </w:r>
    </w:p>
    <w:p w14:paraId="652B2CEC" w14:textId="35C5858C" w:rsidR="00A25CBC" w:rsidRPr="00DD47DF" w:rsidRDefault="00A25CBC" w:rsidP="00A25CBC">
      <w:pPr>
        <w:pStyle w:val="Standardntext"/>
        <w:numPr>
          <w:ilvl w:val="0"/>
          <w:numId w:val="47"/>
        </w:numPr>
      </w:pPr>
      <w:r w:rsidRPr="00DD47DF">
        <w:t>průmyslový výzkum a vývoj</w:t>
      </w:r>
      <w:r w:rsidR="00391B39">
        <w:t>.</w:t>
      </w:r>
      <w:r w:rsidRPr="00DD47DF">
        <w:t xml:space="preserve"> </w:t>
      </w:r>
    </w:p>
    <w:p w14:paraId="4B094856" w14:textId="77777777" w:rsidR="00A25CBC" w:rsidRPr="00DD47DF" w:rsidRDefault="00A25CBC" w:rsidP="00A25CBC">
      <w:pPr>
        <w:pStyle w:val="Standardntext"/>
      </w:pPr>
      <w:r w:rsidRPr="00DD47DF">
        <w:t xml:space="preserve">Zvýšením inovační výkonnosti se rozumí schopnost podniků uvádět nové produkty na trh, provádět vlastní výzkum a vývoj a komercializovat jeho výsledky. Typovým příjemcem </w:t>
      </w:r>
      <w:r w:rsidRPr="00DD47DF">
        <w:lastRenderedPageBreak/>
        <w:t>podpory je inovativní malý a střední podnik působící v high-tech nebo medium-tech odvětví. Předpokládá se podpora technických i netechnických inovací.</w:t>
      </w:r>
      <w:r w:rsidRPr="00DD47DF">
        <w:rPr>
          <w:rStyle w:val="Znakapoznpodarou"/>
        </w:rPr>
        <w:footnoteReference w:id="37"/>
      </w:r>
    </w:p>
    <w:p w14:paraId="3E28D92B" w14:textId="77777777" w:rsidR="00A25CBC" w:rsidRPr="00DD47DF" w:rsidRDefault="00A25CBC" w:rsidP="00A25CBC">
      <w:pPr>
        <w:pStyle w:val="Standardntext"/>
      </w:pPr>
      <w:r w:rsidRPr="00DD47DF">
        <w:t xml:space="preserve">Typovým inovačním projektem bude </w:t>
      </w:r>
      <w:r w:rsidRPr="00DD47DF">
        <w:rPr>
          <w:b/>
        </w:rPr>
        <w:t>zavedení nových výrobků do výroby a jejich uvedení na trh</w:t>
      </w:r>
      <w:r w:rsidRPr="00DD47DF">
        <w:t xml:space="preserve"> a dále související zvýšení efektivnosti výrobních procesů a dalších procesních inovací (zavedení nových metod organizace firemních procesů, inovace procesu vývoje a zavádění nových výrobků, procesy produktové certifikace, zavedení nových prodejních kanálů, apod.). Zvláštní pozornost zde bude věnována ekoinovacím</w:t>
      </w:r>
      <w:r w:rsidRPr="00DD47DF">
        <w:rPr>
          <w:rStyle w:val="Znakapoznpodarou"/>
        </w:rPr>
        <w:footnoteReference w:id="38"/>
      </w:r>
      <w:r w:rsidRPr="00DD47DF">
        <w:t>. Produktové i procesní inovace jsou převážně výsledkem předchozího výzkumu a vývoje nebo realizovaného transferu technologií. Součástí projektu je vybavení provozovny nezbytným zařízením pro zavedení inovace a specializované poradenství, které může zahrnovat služby v oblasti transferu technologií, podpory vstupu na cizí trh, poradenství v oblasti norem a standardů, přístup k patentům. Výstupem projektů jsou inovované výrobky a služby, zejména inovace vyšších řádů, jejichž zavedení na trh povede k růstu tržeb podnikatelských subjektů provádějících vlastní inovace.</w:t>
      </w:r>
    </w:p>
    <w:p w14:paraId="40201CDD" w14:textId="77777777" w:rsidR="00A25CBC" w:rsidRPr="00DD47DF" w:rsidRDefault="00A25CBC" w:rsidP="00A25CBC">
      <w:pPr>
        <w:pStyle w:val="Standardntext"/>
      </w:pPr>
      <w:r w:rsidRPr="00DD47DF">
        <w:rPr>
          <w:b/>
        </w:rPr>
        <w:t xml:space="preserve">Projekty založení nebo rozvoje podnikových center průmyslového výzkumu, vývoje a inovací </w:t>
      </w:r>
      <w:r w:rsidRPr="00DD47DF">
        <w:t>spočívají zejména v pořízení vybavení nezbytného pro činnost centra a výlučně využívaného pro zajištění aktivit tohoto centra. Výstupem projektů je tedy vznik či rozšíření vývojového centra (oddělení) zaměřeného na průmyslový výzkum, vývoj a inovace výrobků a technologií, včetně specifického software a aplikací vedoucí k implementaci technologicky nových či zlepšení stávajících produktů, produkčních řad, výrobních procesů a technologií, pokud existuje předpoklad, že budou přeneseny a použity ve výrobě. Tento způsob podpory nepřímo zvyšuje poptávku po výsledcích výzkumu a vývoje a zároveň přímo podporuje jejich vlastní tvorbu, což ve střednědobém horizontu rovněž povede k růstu tržeb z inovací. Tyto faktory dále ovlivní růst podnikových výdajů na VaV a další inovační činnosti.</w:t>
      </w:r>
    </w:p>
    <w:p w14:paraId="2B0026C0" w14:textId="77777777" w:rsidR="00A25CBC" w:rsidRPr="00DD47DF" w:rsidRDefault="00A25CBC" w:rsidP="00A25CBC">
      <w:pPr>
        <w:pStyle w:val="Standardntext"/>
      </w:pPr>
      <w:r w:rsidRPr="00DD47DF">
        <w:t xml:space="preserve">V oblasti </w:t>
      </w:r>
      <w:r w:rsidRPr="00DD47DF">
        <w:rPr>
          <w:b/>
        </w:rPr>
        <w:t xml:space="preserve">duševního vlastnictví </w:t>
      </w:r>
      <w:r w:rsidRPr="00DD47DF">
        <w:t>se jedná o projekty, které zahrnují aktivity a související náklady, jejichž výstupem jsou podané přihlášky na ochranu práv průmyslového vlastnictví a výsledkem získání a uznání patentů a jiných práv k průmyslovému vlastnictví (užitný vzor, průmyslový vzor, ochranná známka), Cílem je účinnější ochrana podnikového duševního vlastnictví, a to zejména na zahraničních trzích.</w:t>
      </w:r>
    </w:p>
    <w:p w14:paraId="3FDB4CC5" w14:textId="77777777" w:rsidR="00A25CBC" w:rsidRPr="00DD47DF" w:rsidRDefault="00A25CBC" w:rsidP="00A25CBC">
      <w:pPr>
        <w:spacing w:after="120"/>
        <w:jc w:val="both"/>
        <w:rPr>
          <w:sz w:val="24"/>
          <w:szCs w:val="24"/>
        </w:rPr>
      </w:pPr>
      <w:r w:rsidRPr="00DD47DF">
        <w:rPr>
          <w:sz w:val="24"/>
          <w:szCs w:val="24"/>
        </w:rPr>
        <w:t xml:space="preserve">Mezi klíčové aktivity SC 1.1 náleží podpora projektů </w:t>
      </w:r>
      <w:r w:rsidRPr="00DD47DF">
        <w:rPr>
          <w:b/>
          <w:sz w:val="24"/>
          <w:szCs w:val="24"/>
        </w:rPr>
        <w:t>průmyslového výzkumu a experimentálního vývoje</w:t>
      </w:r>
      <w:r w:rsidRPr="00DD47DF">
        <w:rPr>
          <w:sz w:val="24"/>
          <w:szCs w:val="24"/>
        </w:rPr>
        <w:t xml:space="preserve">, jejichž hlavním cílem je tvorba nových znalostí potřebných pro vývoj nových produktů, materiálů, technologií a služeb. Výstupem těchto projektů jsou zejména funkční prototyp, poloprovoz, ověřená technologie, software, průmyslový vzor apod. Řešiteli projektů mohou být individuální subjekty i konsorcia složená z více partnerů z podnikatelské i výzkumné sféry. Výsledky aplikovaného výzkumu povedou k zavádění inovací vyšších řádů a k tvorbě produktů konkurenceschopných na světových trzích. Typovým projektem bude konsorcium vedené malým a středním podnikem, případně projekty MSP řešené externí organizací s výzkumnými kapacitami (tzv. RTD provider) smluvním výzkumem. Specifická pozornost bude věnována výzkumu v oblasti průmyslových výzev a klíčových </w:t>
      </w:r>
      <w:r w:rsidRPr="00DD47DF">
        <w:rPr>
          <w:sz w:val="24"/>
          <w:szCs w:val="24"/>
        </w:rPr>
        <w:lastRenderedPageBreak/>
        <w:t>technologií (KETs)</w:t>
      </w:r>
      <w:r w:rsidRPr="00DD47DF">
        <w:rPr>
          <w:sz w:val="24"/>
          <w:szCs w:val="24"/>
          <w:vertAlign w:val="superscript"/>
        </w:rPr>
        <w:footnoteReference w:id="39"/>
      </w:r>
      <w:r w:rsidRPr="00DD47DF">
        <w:rPr>
          <w:sz w:val="24"/>
          <w:szCs w:val="24"/>
        </w:rPr>
        <w:t>, které mají značný potenciál pro urychlení modernizace firemní základny i pro vznik nových aplikačních oblastí a průmyslových odvětví s vazbou na RIS3 strategii. Jedná se zejména o orientovaný výzkum v oblastech nanotechnologie; mikro- a nanoelektronika, včetně polovodičů; fotonika; pokrokové materiály a průmyslové biotechnologie, ICT. Tyto oblasti odpovídají i znalostním doménám specifikovaným v RIS3 (materiálový výzkum, nanotechnologie, mikro a nanoelektronika, fotonika, pokročilé výrobní technologie, průmyslové biotechnologie). Předpokládá se také realizace přeshraničních projektů průmyslového výzkumu (např. v režimu navazujícím na bývalé sítě ERA-NET, tj. podpora řešitelů několika poskytovateli z různých zemí)</w:t>
      </w:r>
      <w:r w:rsidRPr="00DD47DF">
        <w:rPr>
          <w:sz w:val="24"/>
          <w:szCs w:val="24"/>
          <w:vertAlign w:val="superscript"/>
        </w:rPr>
        <w:footnoteReference w:id="40"/>
      </w:r>
      <w:r w:rsidRPr="00DD47DF">
        <w:rPr>
          <w:sz w:val="24"/>
          <w:szCs w:val="24"/>
        </w:rPr>
        <w:t>.</w:t>
      </w:r>
    </w:p>
    <w:p w14:paraId="0335E753" w14:textId="2FC69025" w:rsidR="00A25CBC" w:rsidRPr="00DD47DF" w:rsidRDefault="00A25CBC" w:rsidP="00A25CBC">
      <w:pPr>
        <w:pStyle w:val="Standardntext"/>
      </w:pPr>
      <w:r w:rsidRPr="00DD47DF">
        <w:rPr>
          <w:b/>
        </w:rPr>
        <w:t xml:space="preserve">Hlavní cílová skupina: </w:t>
      </w:r>
      <w:r w:rsidRPr="00DD47DF">
        <w:t>Podnikatelské subjekty, výzkumné organizace</w:t>
      </w:r>
      <w:r w:rsidRPr="00DD47DF">
        <w:rPr>
          <w:bCs/>
        </w:rPr>
        <w:t>.</w:t>
      </w:r>
    </w:p>
    <w:p w14:paraId="45F81EBD" w14:textId="77777777" w:rsidR="00A25CBC" w:rsidRPr="00DD47DF" w:rsidRDefault="00A25CBC" w:rsidP="00A25CBC">
      <w:pPr>
        <w:pStyle w:val="Standardntext"/>
      </w:pPr>
      <w:r w:rsidRPr="00DD47DF">
        <w:rPr>
          <w:b/>
        </w:rPr>
        <w:t xml:space="preserve">Cílové území: </w:t>
      </w:r>
      <w:r w:rsidRPr="00DD47DF">
        <w:t>Území České republiky, mimo území hl. města Prahy. Z hlediska územní dimenze bude tento specifický cíl zaměřen na rozvojová a urbánní území, kde se předpokládá zapojení do integrovaného nástroje ITI.</w:t>
      </w:r>
    </w:p>
    <w:p w14:paraId="5AC00C5B" w14:textId="6F94ABB0" w:rsidR="00A25CBC" w:rsidRPr="00DD47DF" w:rsidRDefault="00A25CBC" w:rsidP="00A25CBC">
      <w:pPr>
        <w:pStyle w:val="Standardntext"/>
      </w:pPr>
      <w:r w:rsidRPr="00DD47DF">
        <w:rPr>
          <w:b/>
        </w:rPr>
        <w:t>Typy příjemců:</w:t>
      </w:r>
      <w:r w:rsidRPr="00DD47DF">
        <w:t xml:space="preserve"> Podnikatelské subjekty (zejména malé a střední, v odůvodněných případech velké podniky), organizace pro výzkum a šíření znalostí (tj. subjekty splňující definici Výzkumné organizace dle Rámce pro státní podporu Výzkumu, vývoje a inovací), dále zemědělští podnikatelé</w:t>
      </w:r>
      <w:r w:rsidRPr="00DD47DF">
        <w:rPr>
          <w:rStyle w:val="Znakapoznpodarou"/>
        </w:rPr>
        <w:footnoteReference w:id="41"/>
      </w:r>
      <w:r w:rsidRPr="00DD47DF">
        <w:t xml:space="preserve"> s výstupem projektu mimo seznam uvedený v Příloze I. Smlouvy (o EU) v oblasti VaV a inovací. </w:t>
      </w:r>
    </w:p>
    <w:p w14:paraId="14A6EBC8" w14:textId="358B6D62" w:rsidR="00A25CBC" w:rsidRPr="00DD47DF" w:rsidRDefault="00A25CBC" w:rsidP="00A25CBC">
      <w:pPr>
        <w:pStyle w:val="Standardntext"/>
      </w:pPr>
      <w:r w:rsidRPr="00DD47DF">
        <w:t>V SC 1.1 se předpokládá účast velkých podniků (dle čl. 3 odst. 1 písm. b) nařízení o EFRR), neboť svým výzkumným, vývojovým i inovačním potenciálem zajišťují přidanou hodnotu pro vysoký počet MSP, které jsou jejich subdodavateli a se kterými vstupují do společných výzkumných projektů. Výzkumné a inovační aktivity velkých podniků vytvářejí větší poptávku po produktech a službách MSP. Spolupráce s velkými podniky a využití jejich přeshraničních vazeb také usnadňuje vstup malých a středních podniků na globální trhy. Další skutečností je, že velké podniky se zaměřují na inovace vyšších řádů, které si mnohé MSP nemohou dovolit vzhledem k délce procesu. Vzhledem k významnému podílu velkých podniků na zaměstnanosti, produkci či přidané hodnotě v celé ekonomice ČR bude mít účast velkých podniků i výrazný multiplikační efekt k finančním prostředkům investovaným do VaVaI a bude mít přímý dopad na dosažení cílů programu. Velké podniky by se měly zapojit jako příjemci podpory do všech aktivit s výjimkou ochrany duševního vlastnictví.</w:t>
      </w:r>
    </w:p>
    <w:p w14:paraId="62B020A2" w14:textId="77777777" w:rsidR="00A25CBC" w:rsidRPr="00DD47DF" w:rsidRDefault="00A25CBC" w:rsidP="00441D67">
      <w:pPr>
        <w:pStyle w:val="kapitola2A0"/>
        <w:numPr>
          <w:ilvl w:val="2"/>
          <w:numId w:val="128"/>
        </w:numPr>
      </w:pPr>
      <w:bookmarkStart w:id="31" w:name="_Toc506884983"/>
      <w:r w:rsidRPr="00DD47DF">
        <w:t>Specifické cíle odpovídající investiční prioritě a očekávané výsledky</w:t>
      </w:r>
      <w:bookmarkEnd w:id="31"/>
    </w:p>
    <w:p w14:paraId="19E0E3E9" w14:textId="77777777" w:rsidR="00380F31" w:rsidRPr="00DD47DF" w:rsidRDefault="00702500" w:rsidP="00396141">
      <w:pPr>
        <w:pStyle w:val="Modrnadpis"/>
      </w:pPr>
      <w:r w:rsidRPr="00DD47DF">
        <w:t xml:space="preserve">SPECIFICKÝ CÍL </w:t>
      </w:r>
      <w:r w:rsidR="00C71E6F" w:rsidRPr="00DD47DF">
        <w:t>1.</w:t>
      </w:r>
      <w:r w:rsidR="00247D8E" w:rsidRPr="00DD47DF">
        <w:t>2</w:t>
      </w:r>
      <w:r w:rsidRPr="00DD47DF">
        <w:t xml:space="preserve">: </w:t>
      </w:r>
      <w:bookmarkEnd w:id="30"/>
      <w:r w:rsidR="00247D8E" w:rsidRPr="00DD47DF">
        <w:t>Zvýš</w:t>
      </w:r>
      <w:r w:rsidR="00771951" w:rsidRPr="00DD47DF">
        <w:t xml:space="preserve">it </w:t>
      </w:r>
      <w:r w:rsidR="00247D8E" w:rsidRPr="00DD47DF">
        <w:t>intenzit</w:t>
      </w:r>
      <w:r w:rsidR="00771951" w:rsidRPr="00DD47DF">
        <w:t>u</w:t>
      </w:r>
      <w:r w:rsidR="00247D8E" w:rsidRPr="00DD47DF">
        <w:t xml:space="preserve"> a účinnost spolupráce ve výzkumu, vývoji a inovacích</w:t>
      </w:r>
    </w:p>
    <w:p w14:paraId="63941B30" w14:textId="77777777" w:rsidR="00380F31" w:rsidRPr="00DD47DF" w:rsidRDefault="00ED2AA8" w:rsidP="007C48EE">
      <w:pPr>
        <w:pStyle w:val="Standardntext"/>
      </w:pPr>
      <w:r w:rsidRPr="00DD47DF">
        <w:t xml:space="preserve">Zkvalitňování služeb podpůrné infrastruktury povede ke zvýšení intenzity společných výzkumných, vývojových a inovačních aktivit mezi podnikatelskými subjekty a mezi </w:t>
      </w:r>
      <w:r w:rsidR="00301B17" w:rsidRPr="00DD47DF">
        <w:t>veřejným</w:t>
      </w:r>
      <w:r w:rsidRPr="00DD47DF">
        <w:t xml:space="preserve"> a podnikovým sektorem. Naplňování specifického cíle přispěje k většímu počtu transferů </w:t>
      </w:r>
      <w:r w:rsidRPr="00DD47DF">
        <w:lastRenderedPageBreak/>
        <w:t>technologií a znalostí, zvýšení mobility, mezisektorové spolupráce a zlepšování podmínek pro rozvoj inovačních firem a konkurenční výhody jako zásadního prvku ovlivňujícího efektivitu celého inovačního systému v ČR.</w:t>
      </w:r>
    </w:p>
    <w:p w14:paraId="43E3ED75" w14:textId="77777777" w:rsidR="007B234F" w:rsidRPr="00DD47DF" w:rsidRDefault="003508A9" w:rsidP="007B234F">
      <w:pPr>
        <w:pStyle w:val="Modrnadpis"/>
      </w:pPr>
      <w:r w:rsidRPr="00DD47DF">
        <w:t>Výsledky, kterých chce ČR dosáhnout s podporou Unie</w:t>
      </w:r>
    </w:p>
    <w:p w14:paraId="1A19865C" w14:textId="77777777" w:rsidR="00B2096C" w:rsidRPr="00DD47DF" w:rsidRDefault="002E27F7" w:rsidP="002908E2">
      <w:pPr>
        <w:numPr>
          <w:ilvl w:val="0"/>
          <w:numId w:val="53"/>
        </w:numPr>
        <w:spacing w:after="120"/>
        <w:jc w:val="both"/>
        <w:rPr>
          <w:rFonts w:cs="Calibri"/>
          <w:sz w:val="24"/>
          <w:szCs w:val="24"/>
        </w:rPr>
      </w:pPr>
      <w:r w:rsidRPr="00DD47DF">
        <w:rPr>
          <w:rFonts w:cs="Calibri"/>
          <w:sz w:val="24"/>
          <w:szCs w:val="24"/>
        </w:rPr>
        <w:t xml:space="preserve">Širší spektrum a vyšší kvalita služeb </w:t>
      </w:r>
      <w:r w:rsidR="00B2096C" w:rsidRPr="00DD47DF">
        <w:rPr>
          <w:rFonts w:cs="Calibri"/>
          <w:sz w:val="24"/>
          <w:szCs w:val="24"/>
        </w:rPr>
        <w:t xml:space="preserve">poskytovaných podpůrnou infrastrukturou (vědeckotechnickými parky, inkubátory a inovačními centry) inovačním firmám a dalším aktérům v inovačním systému. Naplňování poslání podpůrné infrastruktury povede k úzkému propojení a efektivní spolupráci privátní sféry s veřejným výzkumným sektorem a přispěje k vytvoření mechanismů dlouhodobé spolupráce různých účastníků inovačního systému. </w:t>
      </w:r>
    </w:p>
    <w:p w14:paraId="60443DA1" w14:textId="77777777" w:rsidR="00B2096C" w:rsidRPr="00DD47DF" w:rsidRDefault="002E27F7" w:rsidP="002908E2">
      <w:pPr>
        <w:numPr>
          <w:ilvl w:val="0"/>
          <w:numId w:val="53"/>
        </w:numPr>
        <w:spacing w:after="120"/>
        <w:jc w:val="both"/>
        <w:rPr>
          <w:rFonts w:cs="Calibri"/>
          <w:sz w:val="24"/>
          <w:szCs w:val="24"/>
        </w:rPr>
      </w:pPr>
      <w:r w:rsidRPr="00DD47DF">
        <w:rPr>
          <w:rFonts w:cs="Calibri"/>
          <w:sz w:val="24"/>
          <w:szCs w:val="24"/>
        </w:rPr>
        <w:t>Efektivnější</w:t>
      </w:r>
      <w:r w:rsidR="00B2096C" w:rsidRPr="00DD47DF">
        <w:rPr>
          <w:rFonts w:cs="Calibri"/>
          <w:sz w:val="24"/>
          <w:szCs w:val="24"/>
        </w:rPr>
        <w:t xml:space="preserve"> zapojení klastrů a dalších inovačních sítí do inovačního systému přispěje ke zlepšení vzájemné spolupráce firem v oblasti VaVaI, definovaní a řešení společných potřeb MSP ve spolupráci s výzkumnou sférou. Excelentní klastry </w:t>
      </w:r>
      <w:r w:rsidR="00B2096C" w:rsidRPr="00DD47DF">
        <w:rPr>
          <w:bCs/>
          <w:sz w:val="24"/>
          <w:szCs w:val="24"/>
        </w:rPr>
        <w:t xml:space="preserve">budou generovat kvalitní výstupy v oblasti VaV a budou schopny se úspěšně zapojovat </w:t>
      </w:r>
      <w:r w:rsidR="00B2096C" w:rsidRPr="00DD47DF">
        <w:rPr>
          <w:rFonts w:cs="Calibri"/>
          <w:sz w:val="24"/>
          <w:szCs w:val="24"/>
        </w:rPr>
        <w:t xml:space="preserve">do evropských výzkumných projektů. </w:t>
      </w:r>
    </w:p>
    <w:p w14:paraId="34FD2AE5" w14:textId="77777777" w:rsidR="00B2096C" w:rsidRPr="00DD47DF" w:rsidRDefault="00B2096C" w:rsidP="002908E2">
      <w:pPr>
        <w:numPr>
          <w:ilvl w:val="0"/>
          <w:numId w:val="53"/>
        </w:numPr>
        <w:spacing w:after="120"/>
        <w:jc w:val="both"/>
        <w:rPr>
          <w:rFonts w:cs="Calibri"/>
          <w:sz w:val="24"/>
          <w:szCs w:val="24"/>
        </w:rPr>
      </w:pPr>
      <w:r w:rsidRPr="00DD47DF">
        <w:rPr>
          <w:rFonts w:cs="Calibri"/>
          <w:sz w:val="24"/>
          <w:szCs w:val="24"/>
        </w:rPr>
        <w:t>Vytvoření a naplňování střednědobých až dlouhodobých vizí technologického vývoje v návaznosti na otázky budoucího hospodářského růstu, konkurenceschopnosti a trvale udržitelného rozvoje v České republice i v Evropě prostřednictvím technologických platforem povede ke zkvalitnění podnikatelského prostředí a strategického zacílení výzkumu a vývoje ve významných technologických oblastech na národní nebo mezinárodní úrovni.</w:t>
      </w:r>
    </w:p>
    <w:p w14:paraId="6F63721F" w14:textId="77777777" w:rsidR="00B2096C" w:rsidRPr="00DD47DF" w:rsidRDefault="00B2096C" w:rsidP="002908E2">
      <w:pPr>
        <w:numPr>
          <w:ilvl w:val="0"/>
          <w:numId w:val="53"/>
        </w:numPr>
        <w:spacing w:after="120"/>
        <w:jc w:val="both"/>
        <w:rPr>
          <w:rFonts w:cs="Calibri"/>
          <w:sz w:val="24"/>
          <w:szCs w:val="24"/>
        </w:rPr>
      </w:pPr>
      <w:r w:rsidRPr="00DD47DF">
        <w:rPr>
          <w:rFonts w:cs="Calibri"/>
          <w:sz w:val="24"/>
          <w:szCs w:val="24"/>
        </w:rPr>
        <w:t xml:space="preserve">Vyšší využití výsledků výzkumu s potenciálem komerčního využití založeného na předpokladu intenzivní spolupráce výzkumných organizací se subjekty aplikační sféry prostřednictvím tzv. proof-of-concept. </w:t>
      </w:r>
    </w:p>
    <w:p w14:paraId="551E14C8" w14:textId="77777777" w:rsidR="00B2096C" w:rsidRPr="00DD47DF" w:rsidRDefault="00B2096C" w:rsidP="002908E2">
      <w:pPr>
        <w:pStyle w:val="Standardntext"/>
        <w:numPr>
          <w:ilvl w:val="0"/>
          <w:numId w:val="53"/>
        </w:numPr>
      </w:pPr>
      <w:r w:rsidRPr="00DD47DF">
        <w:t>Posílení mobility a transferu znalostí mezi podnikovou a akademickou sférou s cílem zavádění produktových a procesních inovací v podnicích a sblížení výzkumných témat prováděných ve veřejném sektoru s potřebami podniků. Nárůst interakcí mezi podniky a veřejnými VaV a vzdělávacími institucemi povede k lepšímu porozumění jejich skutečným přínosům na obou stranách a většímu otevření univerzit ke spolupráci s podnikatelskou sférou.</w:t>
      </w:r>
    </w:p>
    <w:p w14:paraId="7E1030DE" w14:textId="77777777" w:rsidR="00A90CB3" w:rsidRPr="00DD47DF" w:rsidRDefault="00A90CB3" w:rsidP="00073A01">
      <w:pPr>
        <w:pStyle w:val="Titulek"/>
        <w:keepNext/>
        <w:keepLines/>
        <w:rPr>
          <w:rFonts w:cs="Calibri"/>
        </w:rPr>
      </w:pPr>
      <w:r w:rsidRPr="00DD47DF">
        <w:rPr>
          <w:rFonts w:cs="Calibri"/>
        </w:rPr>
        <w:t xml:space="preserve">Tabulka </w:t>
      </w:r>
      <w:r w:rsidR="002756E7" w:rsidRPr="00DD47DF">
        <w:rPr>
          <w:rFonts w:cs="Calibri"/>
        </w:rPr>
        <w:fldChar w:fldCharType="begin"/>
      </w:r>
      <w:r w:rsidR="002A1792" w:rsidRPr="00DD47DF">
        <w:rPr>
          <w:rFonts w:cs="Calibri"/>
        </w:rPr>
        <w:instrText xml:space="preserve"> SEQ Tabulka \* ARABIC \c </w:instrText>
      </w:r>
      <w:r w:rsidR="002756E7" w:rsidRPr="00DD47DF">
        <w:rPr>
          <w:rFonts w:cs="Calibri"/>
        </w:rPr>
        <w:fldChar w:fldCharType="separate"/>
      </w:r>
      <w:r w:rsidR="00117847">
        <w:rPr>
          <w:rFonts w:cs="Calibri"/>
          <w:noProof/>
        </w:rPr>
        <w:t>3</w:t>
      </w:r>
      <w:r w:rsidR="002756E7" w:rsidRPr="00DD47DF">
        <w:rPr>
          <w:rFonts w:cs="Calibri"/>
        </w:rPr>
        <w:fldChar w:fldCharType="end"/>
      </w:r>
      <w:r w:rsidR="000F7B0A" w:rsidRPr="00DD47DF">
        <w:rPr>
          <w:rFonts w:cs="Calibri"/>
        </w:rPr>
        <w:t>b</w:t>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5"/>
        <w:gridCol w:w="2033"/>
        <w:gridCol w:w="946"/>
        <w:gridCol w:w="1225"/>
        <w:gridCol w:w="915"/>
        <w:gridCol w:w="886"/>
        <w:gridCol w:w="934"/>
        <w:gridCol w:w="688"/>
        <w:gridCol w:w="1034"/>
      </w:tblGrid>
      <w:tr w:rsidR="00CF739D" w:rsidRPr="00DD47DF" w14:paraId="2562B094" w14:textId="77777777">
        <w:trPr>
          <w:trHeight w:hRule="exact" w:val="1276"/>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E2FAA49" w14:textId="77777777" w:rsidR="00CF739D" w:rsidRPr="00DD47DF" w:rsidRDefault="00CF739D" w:rsidP="001B2E5C">
            <w:pPr>
              <w:pStyle w:val="Tabulka"/>
              <w:rPr>
                <w:rFonts w:cs="Calibri"/>
                <w:b/>
                <w:bCs/>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5A49341" w14:textId="77777777" w:rsidR="00CF739D" w:rsidRPr="00DD47DF" w:rsidRDefault="00CF739D" w:rsidP="001B2E5C">
            <w:pPr>
              <w:pStyle w:val="Tabulka"/>
              <w:rPr>
                <w:rFonts w:cs="Calibri"/>
                <w:b/>
                <w:bCs/>
              </w:rPr>
            </w:pPr>
            <w:r w:rsidRPr="00DD47DF">
              <w:rPr>
                <w:rFonts w:cs="Calibri"/>
                <w:b/>
                <w:bCs/>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5B1EB32" w14:textId="77777777" w:rsidR="00CF739D" w:rsidRPr="00DD47DF" w:rsidRDefault="00CF739D" w:rsidP="001B2E5C">
            <w:pPr>
              <w:pStyle w:val="Tabulka"/>
              <w:rPr>
                <w:rFonts w:cs="Calibri"/>
                <w:b/>
                <w:bCs/>
              </w:rPr>
            </w:pPr>
            <w:r w:rsidRPr="00DD47DF">
              <w:rPr>
                <w:rFonts w:cs="Calibri"/>
                <w:b/>
                <w:bCs/>
              </w:rPr>
              <w:t>Měrná</w:t>
            </w:r>
          </w:p>
          <w:p w14:paraId="7598BB0C" w14:textId="77777777" w:rsidR="00CF739D" w:rsidRPr="00DD47DF" w:rsidRDefault="00CF739D" w:rsidP="001B2E5C">
            <w:pPr>
              <w:pStyle w:val="Tabulka"/>
              <w:rPr>
                <w:rFonts w:cs="Calibri"/>
                <w:b/>
                <w:bCs/>
              </w:rPr>
            </w:pPr>
            <w:r w:rsidRPr="00DD47DF">
              <w:rPr>
                <w:rFonts w:cs="Calibri"/>
                <w:b/>
                <w:bCs/>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F4CAC0C" w14:textId="77777777" w:rsidR="00CF739D" w:rsidRPr="00DD47DF" w:rsidRDefault="00CF739D" w:rsidP="001B2E5C">
            <w:pPr>
              <w:pStyle w:val="Tabulka"/>
              <w:rPr>
                <w:rFonts w:cs="Calibri"/>
                <w:b/>
                <w:bCs/>
              </w:rPr>
            </w:pPr>
            <w:r w:rsidRPr="00DD47DF">
              <w:rPr>
                <w:rFonts w:cs="Calibri"/>
                <w:b/>
                <w:bCs/>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B714FC1" w14:textId="77777777" w:rsidR="00CF739D" w:rsidRPr="00DD47DF" w:rsidRDefault="004B0854" w:rsidP="001B2E5C">
            <w:pPr>
              <w:pStyle w:val="Tabulka"/>
              <w:rPr>
                <w:rFonts w:cs="Calibri"/>
                <w:b/>
                <w:bCs/>
              </w:rPr>
            </w:pPr>
            <w:r w:rsidRPr="00DD47DF">
              <w:rPr>
                <w:rFonts w:cs="Calibri"/>
                <w:b/>
                <w:bCs/>
              </w:rPr>
              <w:t>Výchozí</w:t>
            </w:r>
            <w:r w:rsidR="00CF739D" w:rsidRPr="00DD47DF">
              <w:rPr>
                <w:rFonts w:cs="Calibri"/>
                <w:b/>
                <w:bCs/>
              </w:rPr>
              <w:t xml:space="preserve">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50D81A6" w14:textId="77777777" w:rsidR="00CF739D" w:rsidRPr="00DD47DF" w:rsidRDefault="004B0854" w:rsidP="004B0854">
            <w:pPr>
              <w:pStyle w:val="Tabulka"/>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2336B4F" w14:textId="77777777" w:rsidR="00CF739D" w:rsidRPr="00DD47DF" w:rsidRDefault="00CF739D" w:rsidP="001B2E5C">
            <w:pPr>
              <w:pStyle w:val="Tabulka"/>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9A8A3C5" w14:textId="77777777" w:rsidR="00CF739D" w:rsidRPr="00DD47DF" w:rsidRDefault="00CF739D" w:rsidP="001B2E5C">
            <w:pPr>
              <w:pStyle w:val="Tabulka"/>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59F8FF7" w14:textId="77777777" w:rsidR="00CF739D" w:rsidRPr="00DD47DF" w:rsidRDefault="00CF739D" w:rsidP="001B2E5C">
            <w:pPr>
              <w:pStyle w:val="Tabulka"/>
              <w:rPr>
                <w:rFonts w:cs="Calibri"/>
                <w:b/>
                <w:bCs/>
              </w:rPr>
            </w:pPr>
            <w:r w:rsidRPr="00DD47DF">
              <w:rPr>
                <w:rFonts w:cs="Calibri"/>
                <w:b/>
                <w:bCs/>
              </w:rPr>
              <w:t>Četnost podávání zpráv</w:t>
            </w:r>
          </w:p>
        </w:tc>
      </w:tr>
      <w:tr w:rsidR="009964FE" w:rsidRPr="00DD47DF" w14:paraId="502FF719" w14:textId="77777777" w:rsidTr="008F259C">
        <w:trPr>
          <w:trHeight w:hRule="exact" w:val="2718"/>
        </w:trPr>
        <w:tc>
          <w:tcPr>
            <w:tcW w:w="0" w:type="auto"/>
            <w:tcBorders>
              <w:top w:val="single" w:sz="4" w:space="0" w:color="000000"/>
              <w:left w:val="single" w:sz="4" w:space="0" w:color="000000"/>
              <w:bottom w:val="single" w:sz="4" w:space="0" w:color="000000"/>
              <w:right w:val="single" w:sz="4" w:space="0" w:color="000000"/>
            </w:tcBorders>
            <w:vAlign w:val="center"/>
          </w:tcPr>
          <w:p w14:paraId="561CD9EF" w14:textId="77777777" w:rsidR="009964FE" w:rsidRPr="00DD47DF" w:rsidRDefault="008120C1" w:rsidP="007D5585">
            <w:pPr>
              <w:pStyle w:val="Tabulka"/>
              <w:rPr>
                <w:rFonts w:cs="Calibri"/>
              </w:rPr>
            </w:pPr>
            <w:r w:rsidRPr="00DD47DF">
              <w:rPr>
                <w:rFonts w:cs="Calibri"/>
              </w:rPr>
              <w:lastRenderedPageBreak/>
              <w:t>21011</w:t>
            </w:r>
          </w:p>
        </w:tc>
        <w:tc>
          <w:tcPr>
            <w:tcW w:w="0" w:type="auto"/>
            <w:tcBorders>
              <w:top w:val="single" w:sz="4" w:space="0" w:color="000000"/>
              <w:left w:val="single" w:sz="4" w:space="0" w:color="000000"/>
              <w:bottom w:val="single" w:sz="4" w:space="0" w:color="000000"/>
              <w:right w:val="single" w:sz="4" w:space="0" w:color="000000"/>
            </w:tcBorders>
            <w:vAlign w:val="center"/>
          </w:tcPr>
          <w:p w14:paraId="2BE17A32" w14:textId="77777777" w:rsidR="009964FE" w:rsidRPr="00DD47DF" w:rsidRDefault="00F6040D" w:rsidP="00985574">
            <w:pPr>
              <w:pStyle w:val="Tabulka"/>
              <w:jc w:val="left"/>
              <w:rPr>
                <w:rFonts w:cs="Calibri"/>
              </w:rPr>
            </w:pPr>
            <w:r w:rsidRPr="00DD47DF">
              <w:rPr>
                <w:rFonts w:cs="Calibri"/>
              </w:rPr>
              <w:t>Výdaje podnikatelského sektoru na provádění VaV ve vládním a vysokoškolském sektoru jako % celkových výdajů na provádění VaV v těchto sektorech</w:t>
            </w:r>
          </w:p>
        </w:tc>
        <w:tc>
          <w:tcPr>
            <w:tcW w:w="0" w:type="auto"/>
            <w:tcBorders>
              <w:top w:val="single" w:sz="4" w:space="0" w:color="000000"/>
              <w:left w:val="single" w:sz="4" w:space="0" w:color="000000"/>
              <w:bottom w:val="single" w:sz="4" w:space="0" w:color="000000"/>
              <w:right w:val="single" w:sz="4" w:space="0" w:color="000000"/>
            </w:tcBorders>
            <w:vAlign w:val="center"/>
          </w:tcPr>
          <w:p w14:paraId="041997E0" w14:textId="77777777" w:rsidR="009964FE" w:rsidRPr="00DD47DF" w:rsidRDefault="00F6040D" w:rsidP="007D5585">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4E41954" w14:textId="77777777" w:rsidR="009964FE" w:rsidRPr="00DD47DF" w:rsidRDefault="009964FE" w:rsidP="007D5585">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1DACAB1F" w14:textId="77777777" w:rsidR="009964FE" w:rsidRPr="00DD47DF" w:rsidRDefault="00F6040D" w:rsidP="007D5585">
            <w:pPr>
              <w:pStyle w:val="Tabulka"/>
              <w:rPr>
                <w:rFonts w:cs="Calibri"/>
              </w:rPr>
            </w:pPr>
            <w:r w:rsidRPr="00DD47DF">
              <w:rPr>
                <w:rFonts w:cs="Calibri"/>
              </w:rPr>
              <w:t>5,6</w:t>
            </w:r>
          </w:p>
        </w:tc>
        <w:tc>
          <w:tcPr>
            <w:tcW w:w="0" w:type="auto"/>
            <w:tcBorders>
              <w:top w:val="single" w:sz="4" w:space="0" w:color="000000"/>
              <w:left w:val="single" w:sz="4" w:space="0" w:color="000000"/>
              <w:bottom w:val="single" w:sz="4" w:space="0" w:color="000000"/>
              <w:right w:val="single" w:sz="4" w:space="0" w:color="000000"/>
            </w:tcBorders>
            <w:vAlign w:val="center"/>
          </w:tcPr>
          <w:p w14:paraId="042D848E" w14:textId="77777777" w:rsidR="009964FE" w:rsidRPr="00DD47DF" w:rsidRDefault="00F6040D" w:rsidP="007D5585">
            <w:pPr>
              <w:pStyle w:val="Tabulka"/>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6142E937" w14:textId="77777777" w:rsidR="009964FE" w:rsidRPr="00DD47DF" w:rsidRDefault="006D0B8B" w:rsidP="007D5585">
            <w:pPr>
              <w:pStyle w:val="Tabulka"/>
              <w:rPr>
                <w:rFonts w:cs="Calibri"/>
              </w:rPr>
            </w:pPr>
            <w:r w:rsidRPr="00DD47DF">
              <w:rPr>
                <w:rFonts w:cs="Calibri"/>
              </w:rPr>
              <w:t>6,5 – 7,5</w:t>
            </w:r>
            <w:r w:rsidR="007E6815" w:rsidRPr="00DD47DF">
              <w:rPr>
                <w:rStyle w:val="Znakapoznpodarou"/>
                <w:rFonts w:cs="Calibri"/>
              </w:rPr>
              <w:footnoteReference w:id="42"/>
            </w:r>
          </w:p>
        </w:tc>
        <w:tc>
          <w:tcPr>
            <w:tcW w:w="0" w:type="auto"/>
            <w:tcBorders>
              <w:top w:val="single" w:sz="4" w:space="0" w:color="000000"/>
              <w:left w:val="single" w:sz="4" w:space="0" w:color="000000"/>
              <w:bottom w:val="single" w:sz="4" w:space="0" w:color="000000"/>
              <w:right w:val="single" w:sz="4" w:space="0" w:color="000000"/>
            </w:tcBorders>
            <w:vAlign w:val="center"/>
          </w:tcPr>
          <w:p w14:paraId="5EF9D492" w14:textId="77777777" w:rsidR="009964FE" w:rsidRPr="00DD47DF" w:rsidRDefault="00F6040D" w:rsidP="007D5585">
            <w:pPr>
              <w:pStyle w:val="Tabulka"/>
              <w:rPr>
                <w:rFonts w:cs="Calibri"/>
              </w:rPr>
            </w:pPr>
            <w:r w:rsidRPr="00DD47DF">
              <w:rPr>
                <w:rFonts w:cs="Calibri"/>
              </w:rPr>
              <w:t>ČSÚ</w:t>
            </w:r>
          </w:p>
        </w:tc>
        <w:tc>
          <w:tcPr>
            <w:tcW w:w="0" w:type="auto"/>
            <w:tcBorders>
              <w:top w:val="single" w:sz="4" w:space="0" w:color="000000"/>
              <w:left w:val="single" w:sz="4" w:space="0" w:color="000000"/>
              <w:bottom w:val="single" w:sz="4" w:space="0" w:color="000000"/>
              <w:right w:val="single" w:sz="4" w:space="0" w:color="000000"/>
            </w:tcBorders>
            <w:vAlign w:val="center"/>
          </w:tcPr>
          <w:p w14:paraId="315CCCF7" w14:textId="77777777" w:rsidR="009964FE" w:rsidRPr="00DD47DF" w:rsidRDefault="00F6040D" w:rsidP="007D5585">
            <w:pPr>
              <w:pStyle w:val="Tabulka"/>
              <w:rPr>
                <w:rFonts w:cs="Calibri"/>
              </w:rPr>
            </w:pPr>
            <w:r w:rsidRPr="00DD47DF">
              <w:rPr>
                <w:rFonts w:cs="Calibri"/>
              </w:rPr>
              <w:t>ročně</w:t>
            </w:r>
          </w:p>
        </w:tc>
      </w:tr>
    </w:tbl>
    <w:p w14:paraId="5B274BFA" w14:textId="77777777" w:rsidR="00FF25A4" w:rsidRPr="00DD47DF" w:rsidRDefault="001B2E5C" w:rsidP="00441D67">
      <w:pPr>
        <w:pStyle w:val="kapitola2A0"/>
        <w:numPr>
          <w:ilvl w:val="2"/>
          <w:numId w:val="128"/>
        </w:numPr>
      </w:pPr>
      <w:bookmarkStart w:id="32" w:name="_Toc506884984"/>
      <w:r w:rsidRPr="00DD47DF">
        <w:t>Opatření, jež má být podpořeno v rámci investiční priority</w:t>
      </w:r>
      <w:bookmarkEnd w:id="32"/>
    </w:p>
    <w:p w14:paraId="0D9AA41E" w14:textId="77777777" w:rsidR="00FF1673" w:rsidRPr="00DD47DF" w:rsidRDefault="00D479AF" w:rsidP="00A25CBC">
      <w:pPr>
        <w:pStyle w:val="Nadpis5"/>
        <w:numPr>
          <w:ilvl w:val="4"/>
          <w:numId w:val="129"/>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0096D4C4" w14:textId="77777777" w:rsidR="00497C7C" w:rsidRPr="00DD47DF" w:rsidRDefault="00497C7C" w:rsidP="00497C7C">
      <w:pPr>
        <w:pStyle w:val="Modrnadpis"/>
      </w:pPr>
      <w:r w:rsidRPr="00DD47DF">
        <w:t>SPECIFICKÝ CÍL 1.2: Zvýšit intenzitu a účinnost spolupráce ve výzkumu, vývoji a inovacích</w:t>
      </w:r>
    </w:p>
    <w:p w14:paraId="356D09B8" w14:textId="77777777" w:rsidR="00497C7C" w:rsidRPr="00DD47DF" w:rsidRDefault="000A2EB4" w:rsidP="00497C7C">
      <w:pPr>
        <w:pStyle w:val="Standardntext"/>
        <w:keepNext/>
        <w:keepLines/>
        <w:rPr>
          <w:b/>
        </w:rPr>
      </w:pPr>
      <w:r w:rsidRPr="00DD47DF">
        <w:rPr>
          <w:b/>
        </w:rPr>
        <w:t>Aktivity pro tento specifický cíl:</w:t>
      </w:r>
    </w:p>
    <w:p w14:paraId="331A9942" w14:textId="77777777" w:rsidR="00497C7C" w:rsidRPr="00DD47DF" w:rsidRDefault="00497C7C" w:rsidP="002908E2">
      <w:pPr>
        <w:pStyle w:val="Standardntext"/>
        <w:keepNext/>
        <w:keepLines/>
        <w:numPr>
          <w:ilvl w:val="0"/>
          <w:numId w:val="48"/>
        </w:numPr>
      </w:pPr>
      <w:r w:rsidRPr="00DD47DF">
        <w:t>Tvorba nových a rozšiřování a zvyšování kvality současných služeb podpůrné infrastruktury, tj. vědecko-technických parků, podnikatelských inovačních center, podnikatelských inkubátorů,</w:t>
      </w:r>
    </w:p>
    <w:p w14:paraId="1E764DDF" w14:textId="77777777" w:rsidR="00497C7C" w:rsidRPr="00DD47DF" w:rsidRDefault="00497C7C" w:rsidP="002908E2">
      <w:pPr>
        <w:pStyle w:val="Standardntext"/>
        <w:numPr>
          <w:ilvl w:val="0"/>
          <w:numId w:val="48"/>
        </w:numPr>
      </w:pPr>
      <w:r w:rsidRPr="00DD47DF">
        <w:t>rozvoj sítí spolupráce, vč. klastrů a technologických platforem (zejména kolektivní výzkum, založený na potřebách většího počtu MSP i větších firem, rozvoj mezisektorové spolupráce a internacionalizace),</w:t>
      </w:r>
    </w:p>
    <w:p w14:paraId="3B963622" w14:textId="77777777" w:rsidR="00497C7C" w:rsidRPr="00DD47DF" w:rsidRDefault="00497C7C" w:rsidP="002908E2">
      <w:pPr>
        <w:pStyle w:val="Standardntext"/>
        <w:numPr>
          <w:ilvl w:val="0"/>
          <w:numId w:val="48"/>
        </w:numPr>
      </w:pPr>
      <w:r w:rsidRPr="00DD47DF">
        <w:t>vytváření partnerství pro znalostní transfer mezi podniky a univerzitami,</w:t>
      </w:r>
    </w:p>
    <w:p w14:paraId="0CA79331" w14:textId="77777777" w:rsidR="00497C7C" w:rsidRPr="00DD47DF" w:rsidRDefault="00497C7C" w:rsidP="002908E2">
      <w:pPr>
        <w:pStyle w:val="Standardntext"/>
        <w:numPr>
          <w:ilvl w:val="0"/>
          <w:numId w:val="48"/>
        </w:numPr>
      </w:pPr>
      <w:r w:rsidRPr="00DD47DF">
        <w:t>rozvoj komunikace a sdílení poznatků mezi podnikovou a výzkumnou sférou,</w:t>
      </w:r>
    </w:p>
    <w:p w14:paraId="13C6744D" w14:textId="77777777" w:rsidR="00497C7C" w:rsidRPr="00DD47DF" w:rsidRDefault="00497C7C" w:rsidP="002908E2">
      <w:pPr>
        <w:pStyle w:val="Standardntext"/>
        <w:numPr>
          <w:ilvl w:val="0"/>
          <w:numId w:val="48"/>
        </w:numPr>
      </w:pPr>
      <w:r w:rsidRPr="00DD47DF">
        <w:t>rozšiřování/výstavba sdílené infrastruktury pro průmyslový výzkum</w:t>
      </w:r>
      <w:r w:rsidRPr="00DD47DF">
        <w:rPr>
          <w:rStyle w:val="Znakapoznpodarou"/>
        </w:rPr>
        <w:footnoteReference w:id="43"/>
      </w:r>
      <w:r w:rsidRPr="00DD47DF">
        <w:t>,</w:t>
      </w:r>
    </w:p>
    <w:p w14:paraId="3F687BF9" w14:textId="77777777" w:rsidR="00497C7C" w:rsidRPr="00DD47DF" w:rsidRDefault="00497C7C" w:rsidP="002908E2">
      <w:pPr>
        <w:pStyle w:val="Standardntext"/>
        <w:numPr>
          <w:ilvl w:val="0"/>
          <w:numId w:val="48"/>
        </w:numPr>
      </w:pPr>
      <w:r w:rsidRPr="00DD47DF">
        <w:t>aktivity vedoucí ke komercializaci výsledků výzkumu pomocí aktivit ověření proveditelnosti („proof – of – concept“), pozornost bude věnována opatřením v oblasti nízkouhlíkové ekonomiky a adaptace na klimatické změny.</w:t>
      </w:r>
    </w:p>
    <w:p w14:paraId="2668DCAB" w14:textId="77777777" w:rsidR="00497C7C" w:rsidRPr="00DD47DF" w:rsidRDefault="00497C7C" w:rsidP="00497C7C">
      <w:pPr>
        <w:pStyle w:val="Standardntext"/>
      </w:pPr>
      <w:r w:rsidRPr="00DD47DF">
        <w:t>Specifický cíl 1.2 zahrnuje zejména aktivity zaměřené na zlepšení vnějšího prostředí pro podnikové inovace, tj. intervence rozvíjející služby podpůrné inovační infrastruktury, které pomáhají řešit problémy nedostatku kapacit podnikatelských subjektů (zejména MSP), lidských i finančních zdrojů, nedostatku odborných znalostí v podnikatelském sektoru způsobené zejména nedostatečnou spoluprací při rozvoji výzkumných, vývojových a inovačních aktivit.</w:t>
      </w:r>
    </w:p>
    <w:p w14:paraId="1FE66477" w14:textId="77777777" w:rsidR="00497C7C" w:rsidRPr="00DD47DF" w:rsidRDefault="00497C7C" w:rsidP="00497C7C">
      <w:pPr>
        <w:pStyle w:val="Standardntext"/>
      </w:pPr>
      <w:r w:rsidRPr="00DD47DF">
        <w:t xml:space="preserve">Cílem pro období 2014 - 2020 bude postup do další fáze, která se zaměří zejména na zkvalitňování služeb VaV infrastruktury s důrazem na naplňování jejich poslání – růst počtu </w:t>
      </w:r>
      <w:r w:rsidRPr="00DD47DF">
        <w:lastRenderedPageBreak/>
        <w:t>transferů technologií a znalostí, zlepšování podmínek pro vznik a rozvoj inovačních firem apod. Cílem tedy již není založení spolupráce, ale její další zefektivnění vedoucí k růstu konkurenceschopnosti regionů.</w:t>
      </w:r>
    </w:p>
    <w:p w14:paraId="64A8E2A0" w14:textId="77777777" w:rsidR="004934FF" w:rsidRPr="00DD47DF" w:rsidRDefault="00497C7C" w:rsidP="00497C7C">
      <w:pPr>
        <w:pStyle w:val="Standardntext"/>
      </w:pPr>
      <w:r w:rsidRPr="00DD47DF">
        <w:rPr>
          <w:b/>
        </w:rPr>
        <w:t xml:space="preserve">Vědeckotechnické parky (jejichž součástí jsou inovační centra a podnikatelské inkubátory) </w:t>
      </w:r>
      <w:r w:rsidRPr="00DD47DF">
        <w:t>budou prostřednictvím vlastních expertů nebo formou zprostředkování ověřených externích služeb poskytovat inkubovaným a dalším inovativním MSP služby specializovaného poradenství.</w:t>
      </w:r>
      <w:r w:rsidRPr="00DD47DF">
        <w:rPr>
          <w:rStyle w:val="Znakapoznpodarou"/>
        </w:rPr>
        <w:footnoteReference w:id="44"/>
      </w:r>
      <w:r w:rsidRPr="00DD47DF">
        <w:t xml:space="preserve"> Důraz bude kladen na rozvoj kvality služeb v těchto oblastech: (i) strategické řízení a management inovací; (ii) strategické poradenství při vstupu na nové trhy; (iii) ochrany a využití práv duševního vlastnictví; (iv) navazování a rozvíjení výzkumné spolupráce; (v) komercializace výsledků výzkumu; (vi) přístupu ke kapitálu apod. Vědeckotechnické parky (VTP) dále poskytují vzdělávací, osvětové služby spojené s VaVaI.</w:t>
      </w:r>
    </w:p>
    <w:p w14:paraId="3E0AF336" w14:textId="77777777" w:rsidR="00497C7C" w:rsidRPr="00DD47DF" w:rsidRDefault="004934FF" w:rsidP="00497C7C">
      <w:pPr>
        <w:pStyle w:val="Standardntext"/>
      </w:pPr>
      <w:r w:rsidRPr="00DD47DF">
        <w:rPr>
          <w:b/>
        </w:rPr>
        <w:t>Podpora sdílené infrastruktury</w:t>
      </w:r>
      <w:r w:rsidRPr="00DD47DF">
        <w:t xml:space="preserve"> se bude v nejvyšší míře zaměřovat na optimalizaci existující výzkumné a inovační infrastruktury. V</w:t>
      </w:r>
      <w:r w:rsidR="00497C7C" w:rsidRPr="00DD47DF">
        <w:t xml:space="preserve"> odůvodněných případech bude umožněno také rozšíření prostor VTP a pořízení nového vybavení a zlepšení kapacit pro společné využívání technologií, v ojedinělých případech také výstavba nové sdílené infrastruktury v regionu, kde bude prokázán nedostatek vhodné výzkumné infrastruktury pro podnikatelské subjekty, tj. v případech doložené analýzy absorpční kapacity a poptávky ze strany podnikatelských subjektů, kterou není možné naplnit ze strany již existující inovační infrastruktury.</w:t>
      </w:r>
      <w:r w:rsidR="00497C7C" w:rsidRPr="00DD47DF">
        <w:rPr>
          <w:rStyle w:val="Znakapoznpodarou"/>
        </w:rPr>
        <w:footnoteReference w:id="45"/>
      </w:r>
      <w:r w:rsidR="00497C7C" w:rsidRPr="00DD47DF">
        <w:t xml:space="preserve"> Realizace projektů povede k nárůstu výdajů podnikatelského sektoru na provádění VaV</w:t>
      </w:r>
      <w:r w:rsidR="00BA4E72" w:rsidRPr="00DD47DF">
        <w:t xml:space="preserve"> </w:t>
      </w:r>
      <w:r w:rsidR="00497C7C" w:rsidRPr="00DD47DF">
        <w:t>ve vládním a vysokoškolském sektoru (relevantní i pro další aktivity SC1.2) a ke zvýšení počtu podniků využívajících nově vytvořené podpůrné služby inovační infrastruktury i k většímu počtu rychle rostoucích firem nově umístěných v inovační infrastruktuře.</w:t>
      </w:r>
    </w:p>
    <w:p w14:paraId="45212559" w14:textId="77777777" w:rsidR="00497C7C" w:rsidRPr="00DD47DF" w:rsidRDefault="00497C7C" w:rsidP="00497C7C">
      <w:pPr>
        <w:pStyle w:val="Standardntext"/>
      </w:pPr>
      <w:r w:rsidRPr="00DD47DF">
        <w:rPr>
          <w:b/>
        </w:rPr>
        <w:t>Aktivity klastrů</w:t>
      </w:r>
      <w:r w:rsidRPr="00DD47DF">
        <w:t xml:space="preserve"> spočívají zejména v posilování spolupráce mezi podnikatelskými subjekty vedoucí k diverzifikaci produktů, sdílení know-how a znalostí a přispívající k inteligentní specializaci; prohlubování spolupráce s vědeckovýzkumnou sférou s cílem posunu odvětví na vyšší technologickou úroveň i spolupráce v oblasti vzdělávání, studentských stáží apod.; další oblastí je internacionalizace, tj. navazování spolupráce v evropském výzkumném prostoru, zapojování se do konsorcií v evropských výzkumných programech</w:t>
      </w:r>
      <w:r w:rsidR="004934FF" w:rsidRPr="00DD47DF">
        <w:t xml:space="preserve"> a</w:t>
      </w:r>
      <w:r w:rsidRPr="00DD47DF">
        <w:t xml:space="preserve"> přeshraničních sítí excelentních klastrů (se zaměřením na budoucí výzvy a klíčové technologie), koordinovaný přístup na třetí trhy apod. Součástí projektu může dále být rozvoj kvalitní sdílené infrastruktury a</w:t>
      </w:r>
      <w:r w:rsidR="00BA4E72" w:rsidRPr="00DD47DF">
        <w:t xml:space="preserve"> projekty kolektivního výzkumu</w:t>
      </w:r>
      <w:r w:rsidRPr="00DD47DF">
        <w:t>, které odpovídají inovačním potřebám více malých a středních podniků daného průmyslového odvětví nebo technologické oblasti. Předpokládá se také realizace projektů přeshraničního kolektivního výzkumu (zejména mezisektorového)</w:t>
      </w:r>
      <w:r w:rsidRPr="00DD47DF">
        <w:rPr>
          <w:rStyle w:val="Znakapoznpodarou"/>
        </w:rPr>
        <w:footnoteReference w:id="46"/>
      </w:r>
      <w:r w:rsidRPr="00DD47DF">
        <w:t>. Hlavní důraz bude kladen na rozvoj aktivit zralých klastrů v konceptu klastrové excelence - klastry</w:t>
      </w:r>
      <w:r w:rsidR="00BA4E72" w:rsidRPr="00DD47DF">
        <w:t xml:space="preserve"> </w:t>
      </w:r>
      <w:r w:rsidRPr="00DD47DF">
        <w:t xml:space="preserve">budou důležitými aktéry v regionálních RIS3 strategiích, které mohou využít kritické masy podniků a znalostní základny k dalšímu posilování pozice regionu v zavedených průmyslových odvětvích či technologických oblastech; posilování přeshraničních vazeb může </w:t>
      </w:r>
      <w:r w:rsidRPr="00DD47DF">
        <w:lastRenderedPageBreak/>
        <w:t xml:space="preserve">zároveň přispět k rozvoji nových znalostí přesahujících tradiční odvětvová vymezení (tzv. emerging industries). </w:t>
      </w:r>
    </w:p>
    <w:p w14:paraId="23A2B328" w14:textId="77777777" w:rsidR="00497C7C" w:rsidRPr="00DD47DF" w:rsidRDefault="00497C7C" w:rsidP="00497C7C">
      <w:pPr>
        <w:pStyle w:val="Standardntext"/>
      </w:pPr>
      <w:r w:rsidRPr="00DD47DF">
        <w:t xml:space="preserve">Typovým projektem </w:t>
      </w:r>
      <w:r w:rsidRPr="00DD47DF">
        <w:rPr>
          <w:b/>
        </w:rPr>
        <w:t>technologické platformy</w:t>
      </w:r>
      <w:r w:rsidRPr="00DD47DF">
        <w:t xml:space="preserve"> je podpora její koordinační činnosti zejména v oblasti průmyslových (a souvisejících společenských) výzev daného odvětví, technologického foresightu, iniciace </w:t>
      </w:r>
      <w:r w:rsidR="004934FF" w:rsidRPr="00DD47DF">
        <w:t>VaV</w:t>
      </w:r>
      <w:r w:rsidRPr="00DD47DF">
        <w:t xml:space="preserve"> projektů v oblastech definovaných ve strategických výzkumných agendách jako klíčových pro budoucí konkurenceschopnost a udržitelný rozvoj, navázání hlubší spolupráce TP s evropskými technologickými platformami a zapojování českých výzkumných institucí a podniků do činnosti evropských platforem, koordinace českých subjektů v přístupu do Horizont 2020 a dalších evropských programů.</w:t>
      </w:r>
    </w:p>
    <w:p w14:paraId="33BFC79E" w14:textId="77777777" w:rsidR="00497C7C" w:rsidRPr="00DD47DF" w:rsidRDefault="00497C7C" w:rsidP="00497C7C">
      <w:pPr>
        <w:pStyle w:val="Standardntext"/>
      </w:pPr>
      <w:r w:rsidRPr="00DD47DF">
        <w:t>Služby</w:t>
      </w:r>
      <w:r w:rsidR="004934FF" w:rsidRPr="00DD47DF">
        <w:t xml:space="preserve"> a aktivity</w:t>
      </w:r>
      <w:r w:rsidRPr="00DD47DF">
        <w:t xml:space="preserve"> uvedené podpůrné infrastruktury přispějí </w:t>
      </w:r>
      <w:r w:rsidR="004934FF" w:rsidRPr="00DD47DF">
        <w:t xml:space="preserve">také k rozvoji komunikace </w:t>
      </w:r>
      <w:r w:rsidRPr="00DD47DF">
        <w:t xml:space="preserve">a sdílení poznatků mezi podnikovou a výzkumnou sférou, jejímž výsledkem budou zejména společné projekty a realizované transfery technologií a znalostí. Na regionální úrovni </w:t>
      </w:r>
      <w:r w:rsidR="004934FF" w:rsidRPr="00DD47DF">
        <w:t>bude tato aktivita realizována</w:t>
      </w:r>
      <w:r w:rsidRPr="00DD47DF">
        <w:t xml:space="preserve"> </w:t>
      </w:r>
      <w:r w:rsidR="004934FF" w:rsidRPr="00DD47DF">
        <w:rPr>
          <w:b/>
        </w:rPr>
        <w:t xml:space="preserve">schématy </w:t>
      </w:r>
      <w:r w:rsidRPr="00DD47DF">
        <w:rPr>
          <w:b/>
        </w:rPr>
        <w:t>typu inovačních voucherů</w:t>
      </w:r>
      <w:r w:rsidRPr="00DD47DF">
        <w:t xml:space="preserve">. Inovační vouchery budou využívat podnikatelské subjekty </w:t>
      </w:r>
      <w:r w:rsidR="004934FF" w:rsidRPr="00DD47DF">
        <w:t xml:space="preserve">pro projekty menšího rozsahu zaměřené </w:t>
      </w:r>
      <w:r w:rsidRPr="00DD47DF">
        <w:t>zejména na nákup služeb od znalostních institucí pro zahájení či zintenzivnění vlastních inovačních aktivit. Služby budou zahrnovat např. měření, zkoušky, výpočty, konzultace, spolupráce s doktorandy, služby v oblasti nákupu, transferu duševního vlastnictví, apod.</w:t>
      </w:r>
    </w:p>
    <w:p w14:paraId="5F59DA2E" w14:textId="77777777" w:rsidR="00497C7C" w:rsidRPr="00DD47DF" w:rsidRDefault="00497C7C" w:rsidP="00497C7C">
      <w:pPr>
        <w:pStyle w:val="Standardntext"/>
      </w:pPr>
      <w:r w:rsidRPr="00DD47DF">
        <w:t xml:space="preserve">V oblasti transferu znalostí budou využity zkušenosti s pilotními </w:t>
      </w:r>
      <w:r w:rsidRPr="00DD47DF">
        <w:rPr>
          <w:b/>
        </w:rPr>
        <w:t>projekty partnerství univerzit a MSP</w:t>
      </w:r>
      <w:r w:rsidRPr="00DD47DF">
        <w:t>, při nichž byl v OPPI vyzkoušen model britského programu Knowledge Transfer Partnership. Program bude podporovat společné projekty podnikatelů a univerzit, při kterých dochází k přímé aplikaci výzkumných poznatků v podniku, které mají strategický význam pro jeho další rozvoj, za účasti úspěšných absolventů a za přímého dohledu odborného univerzitního pracoviště. Realizované projekty transferu znalostí vykazují ekonomické přínosy v oblasti získání nových zakázek, snížení výrobních nákladů, zrychlení vývojových procesů a jejich přenos do výroby apod. vytvořená partnerství přispívají také ke sblížení výzkumných témat na univerzitních pracovištích s potřebami podniků a jsou často také východiskem pro navázání dalších společných aktivit, které zahrnují širokou škálu oblastí od studentských/postgraduálních projektů, stáží, výzkumu a využití duševního vlastnictví.</w:t>
      </w:r>
    </w:p>
    <w:p w14:paraId="1513F220" w14:textId="77777777" w:rsidR="00497C7C" w:rsidRPr="00DD47DF" w:rsidRDefault="00497C7C" w:rsidP="00497C7C">
      <w:pPr>
        <w:pStyle w:val="Standardntext"/>
      </w:pPr>
      <w:r w:rsidRPr="00DD47DF">
        <w:t xml:space="preserve">Typovým projektem </w:t>
      </w:r>
      <w:r w:rsidRPr="00DD47DF">
        <w:rPr>
          <w:b/>
        </w:rPr>
        <w:t>proof of concept</w:t>
      </w:r>
      <w:r w:rsidR="00BA4E72" w:rsidRPr="00DD47DF">
        <w:rPr>
          <w:b/>
        </w:rPr>
        <w:t xml:space="preserve"> </w:t>
      </w:r>
      <w:r w:rsidRPr="00DD47DF">
        <w:t xml:space="preserve">bude soubor činností, které zajistí posunutí výsledků výzkumu ke komerčnímu využití. Východiskem projektů proof of concept je nápad nebo rozpracovaný výzkum. Projekt proof of concept se skládá ze dvou </w:t>
      </w:r>
      <w:r w:rsidR="004D74A2" w:rsidRPr="00DD47DF">
        <w:t>na sebe navazujících kroků. V prvním</w:t>
      </w:r>
      <w:r w:rsidRPr="00DD47DF">
        <w:t xml:space="preserve"> kroku bude zkoumána proveditelnost výzkumu. V projektu budou podporovány činnosti související s mapováním aplikovatelnosti a průzkumem trhu</w:t>
      </w:r>
      <w:r w:rsidR="004D74A2" w:rsidRPr="00DD47DF">
        <w:t xml:space="preserve"> </w:t>
      </w:r>
      <w:r w:rsidRPr="00DD47DF">
        <w:t xml:space="preserve">a zájmu aplikační sféry. V případě kladně vyhodnocené studie proveditelnosti </w:t>
      </w:r>
      <w:r w:rsidR="004D74A2" w:rsidRPr="00DD47DF">
        <w:t>bude projekt pokračovat krokem dva a to</w:t>
      </w:r>
      <w:r w:rsidRPr="00DD47DF">
        <w:t xml:space="preserve"> </w:t>
      </w:r>
      <w:r w:rsidR="004D74A2" w:rsidRPr="00DD47DF">
        <w:t>d</w:t>
      </w:r>
      <w:r w:rsidRPr="00DD47DF">
        <w:t>otažení</w:t>
      </w:r>
      <w:r w:rsidR="004D74A2" w:rsidRPr="00DD47DF">
        <w:t>m</w:t>
      </w:r>
      <w:r w:rsidRPr="00DD47DF">
        <w:t xml:space="preserve"> výrobku/služby do finálního stádia, tj. </w:t>
      </w:r>
      <w:r w:rsidR="004D74A2" w:rsidRPr="00DD47DF">
        <w:t>zejména</w:t>
      </w:r>
      <w:r w:rsidRPr="00DD47DF">
        <w:t xml:space="preserve"> činnosti vedoucí ke vzniku funkčního vzorku/prototypu, nalezení strategického komerčního partnera, patentování a případně vznik nové spin-off firmy. Výsledkem tohoto kroku bude funkční vzorek/prototyp se zvýšenou možností jeho dalšího uplatnění v praxi (např. smlouva s komerčním partnerem, založená spin-off firma nebo přímý prodej prototypu/funkčního vzorku).</w:t>
      </w:r>
    </w:p>
    <w:p w14:paraId="393C802E" w14:textId="77777777" w:rsidR="00497C7C" w:rsidRPr="00DD47DF" w:rsidRDefault="003D2AA6" w:rsidP="00497C7C">
      <w:pPr>
        <w:pStyle w:val="Standardntext"/>
      </w:pPr>
      <w:r w:rsidRPr="00DD47DF">
        <w:t>Všechny plánované a</w:t>
      </w:r>
      <w:r w:rsidR="00497C7C" w:rsidRPr="00DD47DF">
        <w:t xml:space="preserve">ktivity SC 1.1 a SC 1.2 </w:t>
      </w:r>
      <w:r w:rsidRPr="00DD47DF">
        <w:t xml:space="preserve">vycházejí z potřeb zohledněných v Národní RIS3 strategii a </w:t>
      </w:r>
      <w:r w:rsidR="00497C7C" w:rsidRPr="00DD47DF">
        <w:t xml:space="preserve">mají přímou vazbu na tyto strategické cíle Národní RIS3 strategie: „Zvýšit inovační poptávku ve firmách (i ve veřejném sektoru)“, „Zvýšit míru podnikání ve společnosti s důrazem na zakládání nových rychle rostoucích firem“ a „Zvýšit relevanci výzkumu“. Jde především o vzájemnou provázanost s typovými aktivitami/projekty/operacemi specifických cílů A1.1 „Posílit výzkumné a vývojové kapacity podniků“, A1.2 „Zlepšit strategické řízení v MSP“, A1.3 „Posílit technologickou spolupráci firem“, A2.1 „Zvýšit počet nových firem </w:t>
      </w:r>
      <w:r w:rsidR="00497C7C" w:rsidRPr="00DD47DF">
        <w:lastRenderedPageBreak/>
        <w:t>usilujících o inovace, zejména vyšších řádů“ a C1.1 „Posílit spolupráci a interakci mezi VO a aplikační sférou“ Národní RIS3 strategie.</w:t>
      </w:r>
    </w:p>
    <w:p w14:paraId="610E3448" w14:textId="77777777" w:rsidR="00497C7C" w:rsidRPr="00DD47DF" w:rsidRDefault="00497C7C" w:rsidP="00497C7C">
      <w:pPr>
        <w:pStyle w:val="Standardntext"/>
      </w:pPr>
      <w:r w:rsidRPr="00DD47DF">
        <w:rPr>
          <w:b/>
        </w:rPr>
        <w:t xml:space="preserve">Hlavní cílová skupina: </w:t>
      </w:r>
      <w:r w:rsidRPr="00DD47DF">
        <w:t>Podnikatelské subjekty (zejména MSP), výzkumné organizace</w:t>
      </w:r>
    </w:p>
    <w:p w14:paraId="78F8AA9C" w14:textId="77777777" w:rsidR="00497C7C" w:rsidRPr="00DD47DF" w:rsidRDefault="00497C7C" w:rsidP="00497C7C">
      <w:pPr>
        <w:pStyle w:val="Standardntext"/>
      </w:pPr>
      <w:r w:rsidRPr="00DD47DF">
        <w:rPr>
          <w:b/>
        </w:rPr>
        <w:t xml:space="preserve">Cílové území: </w:t>
      </w:r>
      <w:r w:rsidRPr="00DD47DF">
        <w:t>Území České republiky, mimo území hl. m. Prahy. Z hlediska územní dimenze bude tento specifický cíl zaměřen na rozvojová a urbánní území, kde se předpokládá zapojení do integrovaného nástroje ITI.</w:t>
      </w:r>
    </w:p>
    <w:p w14:paraId="76B6178F" w14:textId="77777777" w:rsidR="00497C7C" w:rsidRPr="00DD47DF" w:rsidRDefault="00497C7C" w:rsidP="00497C7C">
      <w:pPr>
        <w:pStyle w:val="Standardntext"/>
      </w:pPr>
      <w:r w:rsidRPr="00DD47DF">
        <w:rPr>
          <w:b/>
          <w:szCs w:val="22"/>
        </w:rPr>
        <w:t>Typy příjemců:</w:t>
      </w:r>
      <w:r w:rsidRPr="00DD47DF">
        <w:rPr>
          <w:szCs w:val="22"/>
        </w:rPr>
        <w:t xml:space="preserve"> Podnikatelské subjekty, podnikatelská seskupení, orgány státní správy a samosprávy (včetně jejich svazků), jim podřízené či jimi zřízené organizace, organizace pro výzkum a šíření znalostí (tj. subjekty splňující definici výzkumné organizace dle Rámce pro státní podporu Výzkumu, vývoje a inovací), neziskové organizace</w:t>
      </w:r>
      <w:r w:rsidRPr="00DD47DF">
        <w:rPr>
          <w:rStyle w:val="Znakapoznpodarou"/>
        </w:rPr>
        <w:footnoteReference w:id="47"/>
      </w:r>
      <w:r w:rsidRPr="00DD47DF">
        <w:rPr>
          <w:szCs w:val="22"/>
        </w:rPr>
        <w:t>.</w:t>
      </w:r>
    </w:p>
    <w:p w14:paraId="42B2B093" w14:textId="77777777" w:rsidR="00CE1180" w:rsidRPr="00DD47DF" w:rsidRDefault="00446534" w:rsidP="00497C7C">
      <w:pPr>
        <w:pStyle w:val="Standardntext"/>
      </w:pPr>
      <w:r w:rsidRPr="00DD47DF">
        <w:t>V SC 1.2 se předpokládá zapojení velkých podniků pouze výjimečně, a to jen u aktivit, které negenerují čistý příjem, jako např. výstavba a provoz VTP zaměřených především na inkubaci inovačních MSP. Zapojení do těchto aktivit má výhody nejen z hlediska sdílení jejich personálního a materiálního vybavení, ale velké podniky mohou zajistit pro danou inovační infrastrukturu širokou publicitu a přitáhnout další výzkumníky či podnikatele z řad MSP.</w:t>
      </w:r>
    </w:p>
    <w:p w14:paraId="5C2CD955" w14:textId="77777777" w:rsidR="00D71D90" w:rsidRPr="00DD47DF" w:rsidRDefault="00BA6461" w:rsidP="00A25CBC">
      <w:pPr>
        <w:pStyle w:val="Nadpis5"/>
        <w:numPr>
          <w:ilvl w:val="4"/>
          <w:numId w:val="129"/>
        </w:numPr>
      </w:pPr>
      <w:r w:rsidRPr="00DD47DF">
        <w:t>Hlavní zásady pro výběr operací</w:t>
      </w:r>
    </w:p>
    <w:p w14:paraId="3F9A7B3A" w14:textId="655A987B" w:rsidR="00794BE8" w:rsidRPr="00DD47DF" w:rsidRDefault="00FE3385" w:rsidP="001D5D0B">
      <w:pPr>
        <w:pStyle w:val="Standardntext"/>
      </w:pPr>
      <w:r w:rsidRPr="00DD47DF">
        <w:rPr>
          <w:b/>
        </w:rPr>
        <w:t xml:space="preserve">Společné obecné zásady pro výběr operací pro všechny investiční priority celého OP PIK: </w:t>
      </w:r>
      <w:r w:rsidR="00046F11" w:rsidRPr="00DD47DF">
        <w:t>V</w:t>
      </w:r>
      <w:r w:rsidRPr="00DD47DF">
        <w:t> </w:t>
      </w:r>
      <w:r w:rsidR="00046F11" w:rsidRPr="00DD47DF">
        <w:t xml:space="preserve">rámci </w:t>
      </w:r>
      <w:r w:rsidR="001D5D0B" w:rsidRPr="00DD47DF">
        <w:t xml:space="preserve">dané </w:t>
      </w:r>
      <w:r w:rsidR="00046F11" w:rsidRPr="00DD47DF">
        <w:t xml:space="preserve">investiční priority budou vyhlašovány výzvy na předkládání individuálních projektů. </w:t>
      </w:r>
      <w:r w:rsidR="00855A0B" w:rsidRPr="00DD47DF">
        <w:t>Předložené projekty budou</w:t>
      </w:r>
      <w:r w:rsidR="00BA4E72" w:rsidRPr="00DD47DF">
        <w:t xml:space="preserve"> </w:t>
      </w:r>
      <w:r w:rsidR="00855A0B" w:rsidRPr="00DD47DF">
        <w:t>nejdříve posuzovány ze strany řídícího orgánu / zprostředkujícího subjektu z pohledu jejich souladu s podmínkami daného programu podpory.</w:t>
      </w:r>
      <w:r w:rsidR="00046F11" w:rsidRPr="00DD47DF">
        <w:t xml:space="preserve"> </w:t>
      </w:r>
      <w:r w:rsidR="005F6001" w:rsidRPr="00DD47DF">
        <w:t xml:space="preserve">Projektové žádosti, které úspěšně projdou tímto procesem, budou hodnoceny odbornými hodnotiteli dle předem definovaných výběrových kritérií odpovídajících charakteru jednotlivých specifických cílů a v rámci nich podporovaných aktivit. Projekty bude hodnotit zásadně interní </w:t>
      </w:r>
      <w:r w:rsidR="00B01274">
        <w:t>hodnotitel</w:t>
      </w:r>
      <w:r w:rsidR="00B01274" w:rsidRPr="00DD47DF">
        <w:t xml:space="preserve"> </w:t>
      </w:r>
      <w:r w:rsidR="005F6001" w:rsidRPr="00DD47DF">
        <w:t xml:space="preserve">řídícího orgánu (popř. zprostředkujícího subjektu) znalý problematiky dané prioritní osy, resp. specifického cíle operačního programu, který si v případě </w:t>
      </w:r>
      <w:r w:rsidR="001D5D0B" w:rsidRPr="00DD47DF">
        <w:t xml:space="preserve">že projekt přesáhne odborné kapacity řídícího orgánu (především u projektů VaV), může objednat doplňkově externí hodnocení, jehož závěry promítne do svého finálního posudku. </w:t>
      </w:r>
      <w:r w:rsidR="00EE1707" w:rsidRPr="00EE1707">
        <w:t>Externí odborník bude moci být zapojen do hodnocení projektů rovněž při přesahu kapacitních (administrativních) možností Řídicího orgánu.</w:t>
      </w:r>
      <w:r w:rsidR="005340DB">
        <w:t xml:space="preserve"> </w:t>
      </w:r>
      <w:r w:rsidR="001D5D0B" w:rsidRPr="00DD47DF">
        <w:t xml:space="preserve">Takto předpřipravené a posouzené projekty budou předloženy na jednání </w:t>
      </w:r>
      <w:r w:rsidR="00543559">
        <w:t>výběrové</w:t>
      </w:r>
      <w:r w:rsidR="00543559" w:rsidRPr="00DD47DF">
        <w:t xml:space="preserve"> </w:t>
      </w:r>
      <w:r w:rsidR="001D5D0B" w:rsidRPr="00DD47DF">
        <w:t>komise (</w:t>
      </w:r>
      <w:r w:rsidR="00543559">
        <w:t>V</w:t>
      </w:r>
      <w:r w:rsidR="001D5D0B" w:rsidRPr="00DD47DF">
        <w:t xml:space="preserve">K). Tato komise, která bude mít lichý počet členů (max. 7) ze zástupců ŘO OP PIK a zprostředkujícího subjektu (kdy musí být zachována převaha zástupců ŘO, primárně z útvaru odpovědného za implementaci příslušné prioritní osy), kteří jsou bezúhonní, nejsou v konfliktu zájmu a prokazují odbornou praxi (znalost problematiky) v dané oblasti, bude souhrnně posuzovat projekty předložené na dané zasedání </w:t>
      </w:r>
      <w:r w:rsidR="00543559">
        <w:t>V</w:t>
      </w:r>
      <w:r w:rsidR="001D5D0B" w:rsidRPr="00DD47DF">
        <w:t xml:space="preserve">K. V případě svých pochybností o relevantnosti odborného návrhu hodnotitele ohledně konkrétního projektu, zjevného procesního pochybení či nových závažných odborných skutečností může </w:t>
      </w:r>
      <w:r w:rsidR="00543559">
        <w:t>V</w:t>
      </w:r>
      <w:r w:rsidR="001D5D0B" w:rsidRPr="00DD47DF">
        <w:t xml:space="preserve">K vrátit projekt k přehodnocení a k vyjádření se k jejím výhradám. </w:t>
      </w:r>
      <w:r w:rsidR="00BA68C1">
        <w:t>Výběrová</w:t>
      </w:r>
      <w:r w:rsidR="00BA68C1" w:rsidRPr="00DD47DF">
        <w:t xml:space="preserve"> </w:t>
      </w:r>
      <w:r w:rsidR="001D5D0B" w:rsidRPr="00DD47DF">
        <w:t>komise bude oprávněna projekt doporučit ke schválení jen v případě, že předešlé odborné hodnocení (posudky interních, resp. externích hodnotitelů) bude kladné (pro tyto účely může výzva stanovit také minimální počet bodů nezbytný pro doporučení projektu).</w:t>
      </w:r>
      <w:r w:rsidR="009203E1" w:rsidRPr="00DD47DF">
        <w:t xml:space="preserve"> </w:t>
      </w:r>
      <w:r w:rsidR="001D5D0B" w:rsidRPr="00DD47DF">
        <w:t xml:space="preserve">ŘO OP PIK bude oprávněn vydat rozhodnutí o poskytnutí dotace pouze u projektů, které </w:t>
      </w:r>
      <w:r w:rsidR="00BA68C1">
        <w:t>výběrová</w:t>
      </w:r>
      <w:r w:rsidR="00BA68C1" w:rsidRPr="00DD47DF">
        <w:t xml:space="preserve"> </w:t>
      </w:r>
      <w:r w:rsidR="001D5D0B" w:rsidRPr="00DD47DF">
        <w:t>komise doporučí ke schválení.</w:t>
      </w:r>
      <w:r w:rsidR="009203E1" w:rsidRPr="00DD47DF">
        <w:t xml:space="preserve"> </w:t>
      </w:r>
      <w:r w:rsidR="001D5D0B" w:rsidRPr="00DD47DF">
        <w:t xml:space="preserve">ŘO OP PIK bude pravidelně (nejméně pololetně) vyhodnocovat </w:t>
      </w:r>
      <w:r w:rsidR="001D5D0B" w:rsidRPr="00DD47DF">
        <w:lastRenderedPageBreak/>
        <w:t>takovéto případy vrácení projektů k novému posouzení a bude navrhovat Monitorovacímu výboru OP PIK případná systémová zlepšení k výběrovému procesu.</w:t>
      </w:r>
      <w:r w:rsidR="00046F11" w:rsidRPr="00DD47DF">
        <w:t xml:space="preserve"> </w:t>
      </w:r>
    </w:p>
    <w:p w14:paraId="247648BF" w14:textId="77777777" w:rsidR="00794BE8" w:rsidRPr="00DD47DF" w:rsidRDefault="00794BE8" w:rsidP="00794BE8">
      <w:pPr>
        <w:pStyle w:val="Standardntext"/>
      </w:pPr>
      <w:r w:rsidRPr="00DD47DF">
        <w:t xml:space="preserve">V rámci výběru a hodnocení projektů budou </w:t>
      </w:r>
      <w:r w:rsidR="00A25CBC" w:rsidRPr="00DD47DF">
        <w:t xml:space="preserve">v této investiční prioritě </w:t>
      </w:r>
      <w:r w:rsidRPr="00DD47DF">
        <w:t>posuzována především následující kritéria:</w:t>
      </w:r>
    </w:p>
    <w:p w14:paraId="68D197B5" w14:textId="77777777" w:rsidR="00794BE8" w:rsidRPr="00DD47DF" w:rsidRDefault="00794BE8" w:rsidP="002908E2">
      <w:pPr>
        <w:pStyle w:val="Standardntext"/>
        <w:numPr>
          <w:ilvl w:val="0"/>
          <w:numId w:val="43"/>
        </w:numPr>
      </w:pPr>
      <w:r w:rsidRPr="00DD47DF">
        <w:t xml:space="preserve">Kvalita a potřebnost projektu s ohledem </w:t>
      </w:r>
      <w:r w:rsidR="00D819D2" w:rsidRPr="00DD47DF">
        <w:t xml:space="preserve">na očekávaný stupeň inovace v případě projektů zaměřených na zavádění a rozvoj podnikových výzkumných a vývojových center, zavádění inovací, </w:t>
      </w:r>
      <w:r w:rsidR="00BD2FD9" w:rsidRPr="00DD47DF">
        <w:t xml:space="preserve">zejména vyšších řádů, </w:t>
      </w:r>
      <w:r w:rsidR="00D819D2" w:rsidRPr="00DD47DF">
        <w:t>vlastní VaV aktivity a ochranu duševního vlastnictví v</w:t>
      </w:r>
      <w:r w:rsidR="005802ED" w:rsidRPr="00DD47DF">
        <w:t> </w:t>
      </w:r>
      <w:r w:rsidR="00D819D2" w:rsidRPr="00DD47DF">
        <w:t>podnicích</w:t>
      </w:r>
      <w:r w:rsidR="005802ED" w:rsidRPr="00DD47DF">
        <w:t>. Bonifikovány budou projekty, u kterých žadatel (soukromý podnikatelský subjekt) prokáže spolupráci s veřejnými výzkumnými organizacemi a vysokými školami</w:t>
      </w:r>
      <w:r w:rsidR="00643205" w:rsidRPr="00DD47DF">
        <w:t>, prokáže využívání výsledků vzniklých v rámci činnosti výzkumných organizací nebo institucí terciárního vzdělávání, a komercializační projekty, které jsou přímo výsledkem technologického transferu. Obdobně budou bonifikovány i projekty vykazující synergie s projekty OP VVV</w:t>
      </w:r>
      <w:r w:rsidR="005802ED" w:rsidRPr="00DD47DF">
        <w:t xml:space="preserve">. </w:t>
      </w:r>
      <w:r w:rsidR="00D819D2" w:rsidRPr="00DD47DF">
        <w:t>U projektů inovační infrastruktury se při hodnocení bude přihlížet zejména na zajištění aktivní spolupráce s vědeckovýzkumnou sférou a řešení aktuálních potřeb v oblasti VaVaI.</w:t>
      </w:r>
      <w:r w:rsidR="0038384A" w:rsidRPr="00DD47DF">
        <w:t xml:space="preserve"> P</w:t>
      </w:r>
      <w:r w:rsidR="00F96502" w:rsidRPr="00DD47DF">
        <w:t>odnikatelské inkubátory musí předložit detailní a realistický podnikatelský plán, přičemž zvláštní pozornost by měla být věnována udržitelnosti jejich neziskových inkubačních aktivit.</w:t>
      </w:r>
    </w:p>
    <w:p w14:paraId="4BB5F02B" w14:textId="77777777" w:rsidR="00BD2FD9" w:rsidRPr="00DD47DF" w:rsidRDefault="00BD2FD9" w:rsidP="002908E2">
      <w:pPr>
        <w:pStyle w:val="Standardntext"/>
        <w:numPr>
          <w:ilvl w:val="0"/>
          <w:numId w:val="43"/>
        </w:numPr>
      </w:pPr>
      <w:r w:rsidRPr="00DD47DF">
        <w:t>Pozitivní dopad na technologický rozvoj regionu (tzv. technologický spillover).</w:t>
      </w:r>
    </w:p>
    <w:p w14:paraId="1DCB6D4D" w14:textId="77777777" w:rsidR="00BD2FD9" w:rsidRPr="00DD47DF" w:rsidRDefault="00BD2FD9" w:rsidP="002908E2">
      <w:pPr>
        <w:pStyle w:val="Standardntext"/>
        <w:numPr>
          <w:ilvl w:val="0"/>
          <w:numId w:val="43"/>
        </w:numPr>
      </w:pPr>
      <w:r w:rsidRPr="00DD47DF">
        <w:t>Výstup projektu zejména v podobě nového produktu, uvedeného na trh, či zavedení nové technologie výroby.</w:t>
      </w:r>
    </w:p>
    <w:p w14:paraId="202CE7FC" w14:textId="77777777" w:rsidR="00643205" w:rsidRPr="00DD47DF" w:rsidRDefault="00643205" w:rsidP="002908E2">
      <w:pPr>
        <w:pStyle w:val="Standardntext"/>
        <w:numPr>
          <w:ilvl w:val="0"/>
          <w:numId w:val="43"/>
        </w:numPr>
      </w:pPr>
      <w:r w:rsidRPr="00DD47DF">
        <w:t>Bodově zvýhodněny budou projekty MSP a v případě velkých projektů budou zvýhodněny projekty realizované společně s MSP, případně s předpokládanou spoluprací MSP.</w:t>
      </w:r>
    </w:p>
    <w:p w14:paraId="75CC6D2F" w14:textId="77777777" w:rsidR="00794BE8" w:rsidRPr="00DD47DF" w:rsidRDefault="00794BE8" w:rsidP="002908E2">
      <w:pPr>
        <w:pStyle w:val="Standardntext"/>
        <w:numPr>
          <w:ilvl w:val="0"/>
          <w:numId w:val="43"/>
        </w:numPr>
      </w:pPr>
      <w:r w:rsidRPr="00DD47DF">
        <w:t>Soulad projektu s</w:t>
      </w:r>
      <w:r w:rsidR="00BA4E72" w:rsidRPr="00DD47DF">
        <w:t xml:space="preserve"> </w:t>
      </w:r>
      <w:r w:rsidRPr="00DD47DF">
        <w:t xml:space="preserve">územní dimenzí a uplatněním integrovaných </w:t>
      </w:r>
      <w:r w:rsidR="009D1769" w:rsidRPr="00DD47DF">
        <w:t>nástrojů</w:t>
      </w:r>
      <w:r w:rsidRPr="00DD47DF">
        <w:t xml:space="preserve"> (ITI) v rámci této investiční priority</w:t>
      </w:r>
      <w:r w:rsidR="00D23729" w:rsidRPr="00DD47DF">
        <w:t xml:space="preserve"> (viz </w:t>
      </w:r>
      <w:r w:rsidR="00D23729" w:rsidRPr="00DD47DF">
        <w:rPr>
          <w:i/>
        </w:rPr>
        <w:t>Cílové území</w:t>
      </w:r>
      <w:r w:rsidR="00D23729" w:rsidRPr="00DD47DF">
        <w:t xml:space="preserve"> v</w:t>
      </w:r>
      <w:r w:rsidR="00C63CF5" w:rsidRPr="00DD47DF">
        <w:t> oddíle 2.A.6.1 a dále oddíl 4</w:t>
      </w:r>
      <w:r w:rsidR="00D23729" w:rsidRPr="00DD47DF">
        <w:t>)</w:t>
      </w:r>
      <w:r w:rsidRPr="00DD47DF">
        <w:t>.</w:t>
      </w:r>
    </w:p>
    <w:p w14:paraId="3E859E95" w14:textId="77777777" w:rsidR="00794BE8" w:rsidRPr="00DD47DF" w:rsidRDefault="00794BE8" w:rsidP="002908E2">
      <w:pPr>
        <w:pStyle w:val="Standardntext"/>
        <w:numPr>
          <w:ilvl w:val="0"/>
          <w:numId w:val="43"/>
        </w:numPr>
      </w:pPr>
      <w:r w:rsidRPr="00DD47DF">
        <w:t>Soulad projektu s prioritami RIS3.</w:t>
      </w:r>
    </w:p>
    <w:p w14:paraId="2721935F" w14:textId="77777777" w:rsidR="00794BE8" w:rsidRDefault="00794BE8" w:rsidP="002908E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55252CEC" w14:textId="2CBC21C7" w:rsidR="0049216C" w:rsidRPr="00DD47DF" w:rsidRDefault="001337BB" w:rsidP="001337BB">
      <w:pPr>
        <w:pStyle w:val="Standardntext"/>
        <w:numPr>
          <w:ilvl w:val="0"/>
          <w:numId w:val="43"/>
        </w:numPr>
      </w:pPr>
      <w:r w:rsidRPr="001337BB">
        <w:t>V případě podpory formou finančních nástrojů bude výběr operací a příjemců proveden ŘO podle výběrových kritérií schválených MV OP PIK, v souladu s výsledky předběžného posouzení FN. Výběr konečných příjemců bude provádět správce finančního nástroje.</w:t>
      </w:r>
    </w:p>
    <w:p w14:paraId="4E1F63CD" w14:textId="77777777" w:rsidR="00794BE8" w:rsidRPr="00DD47DF" w:rsidRDefault="00643205" w:rsidP="002908E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25448378" w14:textId="77777777" w:rsidR="00D71D90" w:rsidRPr="00DD47DF" w:rsidRDefault="00BA6461" w:rsidP="00A25CBC">
      <w:pPr>
        <w:pStyle w:val="Nadpis5"/>
        <w:numPr>
          <w:ilvl w:val="4"/>
          <w:numId w:val="129"/>
        </w:numPr>
        <w:rPr>
          <w:rFonts w:cs="Calibri"/>
        </w:rPr>
      </w:pPr>
      <w:r w:rsidRPr="00DD47DF">
        <w:lastRenderedPageBreak/>
        <w:t>Plánované využití finančních nástrojů (použije-li se)</w:t>
      </w:r>
    </w:p>
    <w:p w14:paraId="50745DD2" w14:textId="076387D2" w:rsidR="00814828" w:rsidRPr="00DD47DF" w:rsidRDefault="00055AD8" w:rsidP="00814828">
      <w:pPr>
        <w:pStyle w:val="Standardntext"/>
      </w:pPr>
      <w:r w:rsidRPr="00055AD8">
        <w:rPr>
          <w:lang w:val="x-none"/>
        </w:rPr>
        <w:t>Při provádění této investiční priority budou koneční příjemci podpořeni finančními nástroji. Detaily stanoví Řídící orgán OP PIK na základě předběžného posouzení finančních nástrojů OP PIK dle čl. 37 odst. 2 obecného nařízení, případně jeho revize podle čl. 37 odst. 2 písm. g) obecného nařízení.</w:t>
      </w:r>
      <w:r w:rsidRPr="00055AD8">
        <w:t xml:space="preserve"> </w:t>
      </w:r>
      <w:r w:rsidRPr="00055AD8">
        <w:rPr>
          <w:lang w:val="x-none"/>
        </w:rPr>
        <w:t>Předběžné posouzení finančních nástrojů musí být dokončeno dříve, než řídicí orgán rozhodne, že finanční nástroj obdrží příspěvek z programu</w:t>
      </w:r>
      <w:r w:rsidRPr="00055AD8">
        <w:t>.</w:t>
      </w:r>
    </w:p>
    <w:p w14:paraId="1B402938" w14:textId="77777777" w:rsidR="00D71D90" w:rsidRPr="00DD47DF" w:rsidRDefault="00BA6461" w:rsidP="00A25CBC">
      <w:pPr>
        <w:pStyle w:val="Nadpis5"/>
        <w:numPr>
          <w:ilvl w:val="4"/>
          <w:numId w:val="129"/>
        </w:numPr>
      </w:pPr>
      <w:r w:rsidRPr="00DD47DF">
        <w:t>Plánované využití velkých projektů (použije-li se)</w:t>
      </w:r>
    </w:p>
    <w:p w14:paraId="0779FA5A" w14:textId="77777777" w:rsidR="0036276B" w:rsidRPr="00DD47DF" w:rsidRDefault="008B5752" w:rsidP="0036276B">
      <w:pPr>
        <w:pStyle w:val="Standardntext"/>
      </w:pPr>
      <w:r w:rsidRPr="00DD47DF">
        <w:t xml:space="preserve">Velké projekty ve smyslu čl. </w:t>
      </w:r>
      <w:r w:rsidR="00936B90" w:rsidRPr="00DD47DF">
        <w:t>10</w:t>
      </w:r>
      <w:r w:rsidRPr="00DD47DF">
        <w:t>0 obecného nařízení nejsou plánovány</w:t>
      </w:r>
      <w:r w:rsidR="0036276B" w:rsidRPr="00DD47DF">
        <w:t>.</w:t>
      </w:r>
    </w:p>
    <w:p w14:paraId="6D85FA3A" w14:textId="77777777" w:rsidR="00C16A07" w:rsidRPr="00DD47DF" w:rsidRDefault="00BA6461" w:rsidP="00A25CBC">
      <w:pPr>
        <w:pStyle w:val="Nadpis5"/>
        <w:keepNext w:val="0"/>
        <w:keepLines w:val="0"/>
        <w:numPr>
          <w:ilvl w:val="4"/>
          <w:numId w:val="129"/>
        </w:numPr>
      </w:pPr>
      <w:r w:rsidRPr="00DD47DF">
        <w:t>Ukazatele výstupů podle investiční priority a případně podle kategorie regionů</w:t>
      </w:r>
    </w:p>
    <w:p w14:paraId="47DD715D" w14:textId="77777777" w:rsidR="007E7041" w:rsidRPr="00DD47DF" w:rsidRDefault="007E7041" w:rsidP="008F72F4">
      <w:pPr>
        <w:pStyle w:val="Titulek"/>
        <w:rPr>
          <w:rFonts w:cs="Calibri"/>
        </w:rPr>
      </w:pPr>
      <w:r w:rsidRPr="00DD47DF">
        <w:rPr>
          <w:rFonts w:cs="Calibri"/>
        </w:rPr>
        <w:t xml:space="preserve">Tabulka </w:t>
      </w:r>
      <w:r w:rsidR="002756E7" w:rsidRPr="00DD47DF">
        <w:rPr>
          <w:rFonts w:cs="Calibri"/>
        </w:rPr>
        <w:fldChar w:fldCharType="begin"/>
      </w:r>
      <w:r w:rsidR="002A1792"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5000" w:type="pct"/>
        <w:tblCellMar>
          <w:left w:w="57" w:type="dxa"/>
          <w:right w:w="57" w:type="dxa"/>
        </w:tblCellMar>
        <w:tblLook w:val="01E0" w:firstRow="1" w:lastRow="1" w:firstColumn="1" w:lastColumn="1" w:noHBand="0" w:noVBand="0"/>
      </w:tblPr>
      <w:tblGrid>
        <w:gridCol w:w="1098"/>
        <w:gridCol w:w="2002"/>
        <w:gridCol w:w="1336"/>
        <w:gridCol w:w="665"/>
        <w:gridCol w:w="1043"/>
        <w:gridCol w:w="1201"/>
        <w:gridCol w:w="998"/>
        <w:gridCol w:w="983"/>
      </w:tblGrid>
      <w:tr w:rsidR="00876781" w:rsidRPr="00DD47DF" w14:paraId="5C13EC03" w14:textId="77777777" w:rsidTr="00055AD8">
        <w:trPr>
          <w:trHeight w:hRule="exact" w:val="1044"/>
        </w:trPr>
        <w:tc>
          <w:tcPr>
            <w:tcW w:w="58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552E503" w14:textId="77777777" w:rsidR="005553E9" w:rsidRPr="00DD47DF" w:rsidRDefault="005553E9" w:rsidP="008F72F4">
            <w:pPr>
              <w:pStyle w:val="Tabulka"/>
              <w:rPr>
                <w:rFonts w:cs="Calibri"/>
                <w:b/>
              </w:rPr>
            </w:pPr>
            <w:r w:rsidRPr="00DD47DF">
              <w:rPr>
                <w:rFonts w:cs="Calibri"/>
                <w:b/>
              </w:rPr>
              <w:t>ID</w:t>
            </w:r>
          </w:p>
        </w:tc>
        <w:tc>
          <w:tcPr>
            <w:tcW w:w="10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82870F8" w14:textId="77777777" w:rsidR="005553E9" w:rsidRPr="00DD47DF" w:rsidRDefault="001B2E5C" w:rsidP="008F72F4">
            <w:pPr>
              <w:pStyle w:val="Tabulka"/>
              <w:rPr>
                <w:rFonts w:cs="Calibri"/>
                <w:b/>
              </w:rPr>
            </w:pPr>
            <w:r w:rsidRPr="00DD47DF">
              <w:rPr>
                <w:rFonts w:cs="Calibri"/>
                <w:b/>
              </w:rPr>
              <w:t>Ukazatel</w:t>
            </w:r>
          </w:p>
        </w:tc>
        <w:tc>
          <w:tcPr>
            <w:tcW w:w="71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2829B82" w14:textId="77777777" w:rsidR="005553E9" w:rsidRPr="00DD47DF" w:rsidRDefault="005553E9" w:rsidP="008F72F4">
            <w:pPr>
              <w:pStyle w:val="Tabulka"/>
              <w:rPr>
                <w:rFonts w:cs="Calibri"/>
                <w:b/>
              </w:rPr>
            </w:pPr>
            <w:r w:rsidRPr="00DD47DF">
              <w:rPr>
                <w:rFonts w:cs="Calibri"/>
                <w:b/>
              </w:rPr>
              <w:t>Měrná jednotka</w:t>
            </w:r>
          </w:p>
        </w:tc>
        <w:tc>
          <w:tcPr>
            <w:tcW w:w="35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79493A8" w14:textId="77777777" w:rsidR="005553E9" w:rsidRPr="00DD47DF" w:rsidRDefault="005553E9" w:rsidP="008F72F4">
            <w:pPr>
              <w:pStyle w:val="Tabulka"/>
              <w:rPr>
                <w:rFonts w:cs="Calibri"/>
                <w:b/>
              </w:rPr>
            </w:pPr>
            <w:r w:rsidRPr="00DD47DF">
              <w:rPr>
                <w:rFonts w:cs="Calibri"/>
                <w:b/>
              </w:rPr>
              <w:t>Fond</w:t>
            </w:r>
          </w:p>
        </w:tc>
        <w:tc>
          <w:tcPr>
            <w:tcW w:w="55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9F16E2B" w14:textId="77777777" w:rsidR="005553E9" w:rsidRPr="00DD47DF" w:rsidRDefault="005553E9" w:rsidP="00400435">
            <w:pPr>
              <w:pStyle w:val="Tabulka"/>
              <w:rPr>
                <w:rFonts w:cs="Calibri"/>
                <w:b/>
              </w:rPr>
            </w:pPr>
            <w:r w:rsidRPr="00DD47DF">
              <w:rPr>
                <w:rFonts w:cs="Calibri"/>
                <w:b/>
              </w:rPr>
              <w:t>Kategorie regionu</w:t>
            </w:r>
          </w:p>
        </w:tc>
        <w:tc>
          <w:tcPr>
            <w:tcW w:w="64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E1C552B" w14:textId="77777777" w:rsidR="005553E9" w:rsidRPr="00DD47DF" w:rsidRDefault="005553E9" w:rsidP="00956C4F">
            <w:pPr>
              <w:pStyle w:val="Tabulka"/>
              <w:rPr>
                <w:rFonts w:cs="Calibri"/>
                <w:b/>
              </w:rPr>
            </w:pPr>
            <w:r w:rsidRPr="00DD47DF">
              <w:rPr>
                <w:rFonts w:cs="Calibri"/>
                <w:b/>
              </w:rPr>
              <w:t>Cílová hodnota</w:t>
            </w:r>
            <w:r w:rsidR="00956C4F" w:rsidRPr="00DD47DF">
              <w:rPr>
                <w:rFonts w:cs="Calibri"/>
                <w:b/>
              </w:rPr>
              <w:t xml:space="preserve"> </w:t>
            </w:r>
            <w:r w:rsidR="001B2E5C" w:rsidRPr="00DD47DF">
              <w:rPr>
                <w:rFonts w:cs="Calibri"/>
                <w:b/>
              </w:rPr>
              <w:t>(2023</w:t>
            </w:r>
            <w:r w:rsidRPr="00DD47DF">
              <w:rPr>
                <w:rFonts w:cs="Calibri"/>
                <w:b/>
              </w:rPr>
              <w:t>)</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FFC1BAD" w14:textId="77777777" w:rsidR="005553E9" w:rsidRPr="00DD47DF" w:rsidRDefault="005553E9" w:rsidP="008F72F4">
            <w:pPr>
              <w:pStyle w:val="Tabulka"/>
              <w:rPr>
                <w:rFonts w:cs="Calibri"/>
                <w:b/>
              </w:rPr>
            </w:pPr>
            <w:r w:rsidRPr="00DD47DF">
              <w:rPr>
                <w:rFonts w:cs="Calibri"/>
                <w:b/>
              </w:rPr>
              <w:t>Zdroj údajů</w:t>
            </w:r>
          </w:p>
        </w:tc>
        <w:tc>
          <w:tcPr>
            <w:tcW w:w="52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5BE9982" w14:textId="77777777" w:rsidR="005553E9" w:rsidRPr="00DD47DF" w:rsidRDefault="001B2E5C" w:rsidP="008F72F4">
            <w:pPr>
              <w:pStyle w:val="Tabulka"/>
              <w:rPr>
                <w:rFonts w:cs="Calibri"/>
                <w:b/>
              </w:rPr>
            </w:pPr>
            <w:r w:rsidRPr="00DD47DF">
              <w:rPr>
                <w:rFonts w:cs="Calibri"/>
                <w:b/>
              </w:rPr>
              <w:t>Četnost podávání zpráv</w:t>
            </w:r>
          </w:p>
        </w:tc>
      </w:tr>
      <w:tr w:rsidR="00876781" w:rsidRPr="00DD47DF" w14:paraId="75AEE3E9" w14:textId="77777777" w:rsidTr="00055AD8">
        <w:trPr>
          <w:trHeight w:hRule="exact" w:val="968"/>
        </w:trPr>
        <w:tc>
          <w:tcPr>
            <w:tcW w:w="589" w:type="pct"/>
            <w:tcBorders>
              <w:top w:val="single" w:sz="4" w:space="0" w:color="000000"/>
              <w:left w:val="single" w:sz="4" w:space="0" w:color="000000"/>
              <w:bottom w:val="single" w:sz="4" w:space="0" w:color="000000"/>
              <w:right w:val="single" w:sz="4" w:space="0" w:color="000000"/>
            </w:tcBorders>
            <w:vAlign w:val="center"/>
          </w:tcPr>
          <w:p w14:paraId="03521C7D" w14:textId="24026185" w:rsidR="006D0B8B" w:rsidRPr="00DD47DF" w:rsidRDefault="00C75691" w:rsidP="008F72F4">
            <w:pPr>
              <w:pStyle w:val="Tabulka"/>
              <w:rPr>
                <w:rFonts w:cs="Calibri"/>
              </w:rPr>
            </w:pPr>
            <w:r w:rsidRPr="00DD47DF">
              <w:rPr>
                <w:rFonts w:cs="Calibri"/>
              </w:rPr>
              <w:t xml:space="preserve">CO </w:t>
            </w:r>
            <w:r w:rsidR="008E5044" w:rsidRPr="00DD47DF">
              <w:rPr>
                <w:rFonts w:cs="Calibri"/>
              </w:rPr>
              <w:t>01</w:t>
            </w:r>
          </w:p>
        </w:tc>
        <w:tc>
          <w:tcPr>
            <w:tcW w:w="1074" w:type="pct"/>
            <w:tcBorders>
              <w:top w:val="single" w:sz="4" w:space="0" w:color="000000"/>
              <w:left w:val="single" w:sz="4" w:space="0" w:color="000000"/>
              <w:bottom w:val="single" w:sz="4" w:space="0" w:color="000000"/>
              <w:right w:val="single" w:sz="4" w:space="0" w:color="000000"/>
            </w:tcBorders>
            <w:vAlign w:val="center"/>
          </w:tcPr>
          <w:p w14:paraId="001BA262" w14:textId="77777777" w:rsidR="006D0B8B" w:rsidRPr="00DD47DF" w:rsidRDefault="006D0B8B" w:rsidP="008F72F4">
            <w:pPr>
              <w:pStyle w:val="Tabulka"/>
              <w:jc w:val="left"/>
              <w:rPr>
                <w:rFonts w:cs="Calibri"/>
              </w:rPr>
            </w:pPr>
            <w:r w:rsidRPr="00DD47DF">
              <w:rPr>
                <w:rFonts w:cs="Calibri"/>
              </w:rPr>
              <w:t>Počet podniků pobírajících podporu</w:t>
            </w:r>
          </w:p>
        </w:tc>
        <w:tc>
          <w:tcPr>
            <w:tcW w:w="716" w:type="pct"/>
            <w:tcBorders>
              <w:top w:val="single" w:sz="4" w:space="0" w:color="000000"/>
              <w:left w:val="single" w:sz="4" w:space="0" w:color="000000"/>
              <w:bottom w:val="single" w:sz="4" w:space="0" w:color="000000"/>
              <w:right w:val="single" w:sz="4" w:space="0" w:color="000000"/>
            </w:tcBorders>
            <w:vAlign w:val="center"/>
          </w:tcPr>
          <w:p w14:paraId="3F313B35" w14:textId="77777777" w:rsidR="006D0B8B" w:rsidRPr="00DD47DF" w:rsidRDefault="006D0B8B" w:rsidP="008F72F4">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5EB9342B" w14:textId="77777777" w:rsidR="006D0B8B" w:rsidRPr="00DD47DF" w:rsidRDefault="006D0B8B" w:rsidP="008F72F4">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02132FFD" w14:textId="77777777" w:rsidR="006D0B8B" w:rsidRPr="00DD47DF" w:rsidRDefault="006D0B8B" w:rsidP="00400435">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3524B2A2" w14:textId="77777777" w:rsidR="006D0B8B" w:rsidRPr="00DD47DF" w:rsidRDefault="004E43E2" w:rsidP="00994365">
            <w:pPr>
              <w:pStyle w:val="Tabulka"/>
              <w:rPr>
                <w:rFonts w:cs="Calibri"/>
              </w:rPr>
            </w:pPr>
            <w:r w:rsidRPr="00DD47DF">
              <w:rPr>
                <w:rFonts w:cs="Calibri"/>
              </w:rPr>
              <w:t xml:space="preserve">1 </w:t>
            </w:r>
            <w:r w:rsidR="00D05818" w:rsidRPr="00DD47DF">
              <w:rPr>
                <w:rFonts w:cs="Calibri"/>
              </w:rPr>
              <w:t>9</w:t>
            </w:r>
            <w:r w:rsidRPr="00DD47DF">
              <w:rPr>
                <w:rFonts w:cs="Calibri"/>
              </w:rPr>
              <w:t>70</w:t>
            </w:r>
          </w:p>
        </w:tc>
        <w:tc>
          <w:tcPr>
            <w:tcW w:w="535" w:type="pct"/>
            <w:tcBorders>
              <w:top w:val="single" w:sz="4" w:space="0" w:color="000000"/>
              <w:left w:val="single" w:sz="4" w:space="0" w:color="000000"/>
              <w:bottom w:val="single" w:sz="4" w:space="0" w:color="000000"/>
              <w:right w:val="single" w:sz="4" w:space="0" w:color="000000"/>
            </w:tcBorders>
            <w:vAlign w:val="center"/>
          </w:tcPr>
          <w:p w14:paraId="5BE5D3C2" w14:textId="77777777" w:rsidR="006D0B8B" w:rsidRPr="00DD47DF" w:rsidRDefault="00080743" w:rsidP="008F72F4">
            <w:pPr>
              <w:pStyle w:val="Tabulka"/>
              <w:rPr>
                <w:rFonts w:cs="Calibri"/>
              </w:rPr>
            </w:pPr>
            <w:r>
              <w:rPr>
                <w:rFonts w:cs="Calibri"/>
              </w:rPr>
              <w:t>MS2014+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1AF9A154" w14:textId="77777777" w:rsidR="006D0B8B" w:rsidRPr="00DD47DF" w:rsidRDefault="00080743" w:rsidP="008F72F4">
            <w:pPr>
              <w:pStyle w:val="Tabulka"/>
              <w:rPr>
                <w:rFonts w:cs="Calibri"/>
              </w:rPr>
            </w:pPr>
            <w:r>
              <w:rPr>
                <w:rFonts w:cs="Calibri"/>
              </w:rPr>
              <w:t>průběžně</w:t>
            </w:r>
          </w:p>
        </w:tc>
      </w:tr>
      <w:tr w:rsidR="00876781" w:rsidRPr="00DD47DF" w14:paraId="663D2405"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516A5E06" w14:textId="0A63F98C" w:rsidR="006D0B8B" w:rsidRPr="00DD47DF" w:rsidRDefault="00C75691" w:rsidP="008F72F4">
            <w:pPr>
              <w:pStyle w:val="Tabulka"/>
              <w:rPr>
                <w:rFonts w:cs="Calibri"/>
              </w:rPr>
            </w:pPr>
            <w:r w:rsidRPr="00DD47DF">
              <w:rPr>
                <w:rFonts w:cs="Calibri"/>
              </w:rPr>
              <w:t xml:space="preserve">CO </w:t>
            </w:r>
            <w:r w:rsidR="008E5044" w:rsidRPr="00DD47DF">
              <w:rPr>
                <w:rFonts w:cs="Calibri"/>
              </w:rPr>
              <w:t>02</w:t>
            </w:r>
          </w:p>
        </w:tc>
        <w:tc>
          <w:tcPr>
            <w:tcW w:w="1074" w:type="pct"/>
            <w:tcBorders>
              <w:top w:val="single" w:sz="4" w:space="0" w:color="000000"/>
              <w:left w:val="single" w:sz="4" w:space="0" w:color="000000"/>
              <w:bottom w:val="single" w:sz="4" w:space="0" w:color="000000"/>
              <w:right w:val="single" w:sz="4" w:space="0" w:color="000000"/>
            </w:tcBorders>
            <w:vAlign w:val="center"/>
          </w:tcPr>
          <w:p w14:paraId="78A5FA19" w14:textId="77777777" w:rsidR="006D0B8B" w:rsidRPr="00DD47DF" w:rsidRDefault="006D0B8B" w:rsidP="008F72F4">
            <w:pPr>
              <w:pStyle w:val="Tabulka"/>
              <w:jc w:val="left"/>
              <w:rPr>
                <w:rFonts w:cs="Calibri"/>
              </w:rPr>
            </w:pPr>
            <w:r w:rsidRPr="00DD47DF">
              <w:rPr>
                <w:rFonts w:cs="Calibri"/>
              </w:rPr>
              <w:t>Počet podniků pobírajících granty</w:t>
            </w:r>
          </w:p>
        </w:tc>
        <w:tc>
          <w:tcPr>
            <w:tcW w:w="716" w:type="pct"/>
            <w:tcBorders>
              <w:top w:val="single" w:sz="4" w:space="0" w:color="000000"/>
              <w:left w:val="single" w:sz="4" w:space="0" w:color="000000"/>
              <w:bottom w:val="single" w:sz="4" w:space="0" w:color="000000"/>
              <w:right w:val="single" w:sz="4" w:space="0" w:color="000000"/>
            </w:tcBorders>
            <w:vAlign w:val="center"/>
          </w:tcPr>
          <w:p w14:paraId="12787CD5" w14:textId="77777777" w:rsidR="006D0B8B" w:rsidRPr="00DD47DF" w:rsidRDefault="006D0B8B" w:rsidP="008F72F4">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3359B2A6" w14:textId="77777777" w:rsidR="006D0B8B" w:rsidRPr="00DD47DF" w:rsidRDefault="006D0B8B" w:rsidP="008F72F4">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132757C9" w14:textId="77777777" w:rsidR="006D0B8B" w:rsidRPr="00DD47DF" w:rsidRDefault="006D0B8B" w:rsidP="00400435">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675F6673" w14:textId="23C42034" w:rsidR="006D0B8B" w:rsidRPr="00DD47DF" w:rsidRDefault="00055AD8" w:rsidP="00994365">
            <w:pPr>
              <w:pStyle w:val="Tabulka"/>
              <w:rPr>
                <w:rFonts w:cs="Calibri"/>
              </w:rPr>
            </w:pPr>
            <w:r>
              <w:rPr>
                <w:rFonts w:cs="Calibri"/>
              </w:rPr>
              <w:t>1 967</w:t>
            </w:r>
          </w:p>
        </w:tc>
        <w:tc>
          <w:tcPr>
            <w:tcW w:w="535" w:type="pct"/>
            <w:tcBorders>
              <w:top w:val="single" w:sz="4" w:space="0" w:color="000000"/>
              <w:left w:val="single" w:sz="4" w:space="0" w:color="000000"/>
              <w:bottom w:val="single" w:sz="4" w:space="0" w:color="000000"/>
              <w:right w:val="single" w:sz="4" w:space="0" w:color="000000"/>
            </w:tcBorders>
            <w:vAlign w:val="center"/>
          </w:tcPr>
          <w:p w14:paraId="51EA3EF7" w14:textId="77777777" w:rsidR="006D0B8B" w:rsidRPr="00DD47DF" w:rsidRDefault="00934A97" w:rsidP="008F72F4">
            <w:pPr>
              <w:pStyle w:val="Tabulka"/>
              <w:rPr>
                <w:rFonts w:cs="Calibri"/>
              </w:rPr>
            </w:pPr>
            <w:r>
              <w:rPr>
                <w:rFonts w:cs="Calibri"/>
              </w:rPr>
              <w:t>MS</w:t>
            </w:r>
            <w:r w:rsidR="00080743">
              <w:rPr>
                <w:rFonts w:cs="Calibri"/>
              </w:rPr>
              <w:t>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227E66DE" w14:textId="77777777" w:rsidR="006D0B8B" w:rsidRPr="00DD47DF" w:rsidRDefault="00080743" w:rsidP="008F72F4">
            <w:pPr>
              <w:pStyle w:val="Tabulka"/>
              <w:rPr>
                <w:rFonts w:cs="Calibri"/>
              </w:rPr>
            </w:pPr>
            <w:r>
              <w:rPr>
                <w:rFonts w:cs="Calibri"/>
              </w:rPr>
              <w:t>průběžně</w:t>
            </w:r>
          </w:p>
        </w:tc>
      </w:tr>
      <w:tr w:rsidR="00055AD8" w:rsidRPr="00DD47DF" w14:paraId="180D4BED"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623A22BF" w14:textId="54377561" w:rsidR="00055AD8" w:rsidRPr="00DD47DF" w:rsidRDefault="00055AD8" w:rsidP="00055AD8">
            <w:pPr>
              <w:pStyle w:val="Tabulka"/>
              <w:rPr>
                <w:rFonts w:cs="Calibri"/>
              </w:rPr>
            </w:pPr>
            <w:r w:rsidRPr="00E435D7">
              <w:rPr>
                <w:rFonts w:cs="Calibri"/>
              </w:rPr>
              <w:t xml:space="preserve">CO 03 </w:t>
            </w:r>
          </w:p>
        </w:tc>
        <w:tc>
          <w:tcPr>
            <w:tcW w:w="1074" w:type="pct"/>
            <w:tcBorders>
              <w:top w:val="single" w:sz="4" w:space="0" w:color="000000"/>
              <w:left w:val="single" w:sz="4" w:space="0" w:color="000000"/>
              <w:bottom w:val="single" w:sz="4" w:space="0" w:color="000000"/>
              <w:right w:val="single" w:sz="4" w:space="0" w:color="000000"/>
            </w:tcBorders>
            <w:vAlign w:val="center"/>
          </w:tcPr>
          <w:p w14:paraId="6B53E3EF" w14:textId="6E9EE9B2" w:rsidR="00055AD8" w:rsidRPr="0002304E" w:rsidRDefault="00055AD8" w:rsidP="00055AD8">
            <w:pPr>
              <w:pStyle w:val="Tabulka"/>
              <w:jc w:val="left"/>
              <w:rPr>
                <w:rFonts w:cs="Calibri"/>
              </w:rPr>
            </w:pPr>
            <w:r w:rsidRPr="00E435D7">
              <w:rPr>
                <w:rFonts w:cs="Calibri"/>
              </w:rPr>
              <w:t>Počet podniků pobírajících jinou finanční podporu než granty</w:t>
            </w:r>
          </w:p>
        </w:tc>
        <w:tc>
          <w:tcPr>
            <w:tcW w:w="716" w:type="pct"/>
            <w:tcBorders>
              <w:top w:val="single" w:sz="4" w:space="0" w:color="000000"/>
              <w:left w:val="single" w:sz="4" w:space="0" w:color="000000"/>
              <w:bottom w:val="single" w:sz="4" w:space="0" w:color="000000"/>
              <w:right w:val="single" w:sz="4" w:space="0" w:color="000000"/>
            </w:tcBorders>
            <w:vAlign w:val="center"/>
          </w:tcPr>
          <w:p w14:paraId="0C5C2CE8" w14:textId="61783B3C" w:rsidR="00055AD8" w:rsidRPr="00DD47DF" w:rsidRDefault="00055AD8" w:rsidP="00055AD8">
            <w:pPr>
              <w:pStyle w:val="Tabulka"/>
              <w:rPr>
                <w:rFonts w:cs="Calibri"/>
              </w:rPr>
            </w:pPr>
            <w:r w:rsidRPr="00E435D7">
              <w:rPr>
                <w:rFonts w:cs="Calibri"/>
              </w:rPr>
              <w:t xml:space="preserve">podniky </w:t>
            </w:r>
          </w:p>
        </w:tc>
        <w:tc>
          <w:tcPr>
            <w:tcW w:w="357" w:type="pct"/>
            <w:tcBorders>
              <w:top w:val="single" w:sz="4" w:space="0" w:color="000000"/>
              <w:left w:val="single" w:sz="4" w:space="0" w:color="000000"/>
              <w:bottom w:val="single" w:sz="4" w:space="0" w:color="000000"/>
              <w:right w:val="single" w:sz="4" w:space="0" w:color="000000"/>
            </w:tcBorders>
            <w:vAlign w:val="center"/>
          </w:tcPr>
          <w:p w14:paraId="4733751B" w14:textId="5C856A73" w:rsidR="00055AD8" w:rsidRPr="00DD47DF" w:rsidRDefault="00055AD8" w:rsidP="00055AD8">
            <w:pPr>
              <w:pStyle w:val="Tabulka"/>
              <w:rPr>
                <w:rFonts w:cs="Calibri"/>
              </w:rPr>
            </w:pPr>
            <w:r w:rsidRPr="00E435D7">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1C2068D3" w14:textId="0551AF13" w:rsidR="00055AD8" w:rsidRPr="00DD47DF" w:rsidRDefault="00055AD8" w:rsidP="00055AD8">
            <w:pPr>
              <w:pStyle w:val="Tabulka"/>
              <w:rPr>
                <w:rFonts w:cs="Calibri"/>
              </w:rPr>
            </w:pPr>
            <w:r w:rsidRPr="00E435D7">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22621C3A" w14:textId="29B61198" w:rsidR="00055AD8" w:rsidRPr="00DD47DF" w:rsidRDefault="00055AD8" w:rsidP="00055AD8">
            <w:pPr>
              <w:pStyle w:val="Tabulka"/>
              <w:rPr>
                <w:rFonts w:cs="Calibri"/>
              </w:rPr>
            </w:pPr>
            <w:r w:rsidRPr="00E435D7">
              <w:rPr>
                <w:rFonts w:cs="Calibri"/>
              </w:rPr>
              <w:t>3</w:t>
            </w:r>
          </w:p>
        </w:tc>
        <w:tc>
          <w:tcPr>
            <w:tcW w:w="535" w:type="pct"/>
            <w:tcBorders>
              <w:top w:val="single" w:sz="4" w:space="0" w:color="000000"/>
              <w:left w:val="single" w:sz="4" w:space="0" w:color="000000"/>
              <w:bottom w:val="single" w:sz="4" w:space="0" w:color="000000"/>
              <w:right w:val="single" w:sz="4" w:space="0" w:color="000000"/>
            </w:tcBorders>
            <w:vAlign w:val="center"/>
          </w:tcPr>
          <w:p w14:paraId="28E1B20A" w14:textId="48CDB5B5" w:rsidR="00055AD8" w:rsidRDefault="00055AD8" w:rsidP="00055AD8">
            <w:pPr>
              <w:pStyle w:val="Tabulka"/>
              <w:rPr>
                <w:rFonts w:cs="Calibri"/>
              </w:rPr>
            </w:pPr>
            <w:r w:rsidRPr="00E435D7">
              <w:rPr>
                <w:rFonts w:cs="Calibri"/>
              </w:rPr>
              <w:t>MS2014+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757802B8" w14:textId="16C0B128" w:rsidR="00055AD8" w:rsidRDefault="00055AD8" w:rsidP="00055AD8">
            <w:pPr>
              <w:pStyle w:val="Tabulka"/>
              <w:rPr>
                <w:rFonts w:cs="Calibri"/>
              </w:rPr>
            </w:pPr>
            <w:r w:rsidRPr="00E435D7">
              <w:rPr>
                <w:rFonts w:cs="Calibri"/>
              </w:rPr>
              <w:t>průběžně</w:t>
            </w:r>
          </w:p>
        </w:tc>
      </w:tr>
      <w:tr w:rsidR="00055AD8" w:rsidRPr="00DD47DF" w14:paraId="348103FE"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529BB7B2" w14:textId="38691540" w:rsidR="00055AD8" w:rsidRPr="00DD47DF" w:rsidRDefault="00055AD8" w:rsidP="00055AD8">
            <w:pPr>
              <w:pStyle w:val="Tabulka"/>
              <w:rPr>
                <w:rFonts w:cs="Calibri"/>
              </w:rPr>
            </w:pPr>
            <w:r w:rsidRPr="00DD47DF">
              <w:rPr>
                <w:rFonts w:cs="Calibri"/>
              </w:rPr>
              <w:t>CO 06</w:t>
            </w:r>
          </w:p>
        </w:tc>
        <w:tc>
          <w:tcPr>
            <w:tcW w:w="1074" w:type="pct"/>
            <w:tcBorders>
              <w:top w:val="single" w:sz="4" w:space="0" w:color="000000"/>
              <w:left w:val="single" w:sz="4" w:space="0" w:color="000000"/>
              <w:bottom w:val="single" w:sz="4" w:space="0" w:color="000000"/>
              <w:right w:val="single" w:sz="4" w:space="0" w:color="000000"/>
            </w:tcBorders>
            <w:vAlign w:val="center"/>
          </w:tcPr>
          <w:p w14:paraId="3AE30660" w14:textId="77777777" w:rsidR="00055AD8" w:rsidRPr="00DD47DF" w:rsidRDefault="00055AD8" w:rsidP="00055AD8">
            <w:pPr>
              <w:pStyle w:val="Tabulka"/>
              <w:jc w:val="left"/>
              <w:rPr>
                <w:rFonts w:cs="Calibri"/>
              </w:rPr>
            </w:pPr>
            <w:r w:rsidRPr="0002304E">
              <w:rPr>
                <w:rFonts w:cs="Calibri"/>
              </w:rPr>
              <w:t>Soukromé investice odpovídající veřejné podpoře podniků (granty)</w:t>
            </w:r>
          </w:p>
        </w:tc>
        <w:tc>
          <w:tcPr>
            <w:tcW w:w="716" w:type="pct"/>
            <w:tcBorders>
              <w:top w:val="single" w:sz="4" w:space="0" w:color="000000"/>
              <w:left w:val="single" w:sz="4" w:space="0" w:color="000000"/>
              <w:bottom w:val="single" w:sz="4" w:space="0" w:color="000000"/>
              <w:right w:val="single" w:sz="4" w:space="0" w:color="000000"/>
            </w:tcBorders>
            <w:vAlign w:val="center"/>
          </w:tcPr>
          <w:p w14:paraId="32785B21" w14:textId="77777777" w:rsidR="00055AD8" w:rsidRPr="00DD47DF" w:rsidRDefault="00055AD8" w:rsidP="00055AD8">
            <w:pPr>
              <w:pStyle w:val="Tabulka"/>
              <w:rPr>
                <w:rFonts w:cs="Calibri"/>
              </w:rPr>
            </w:pPr>
            <w:r w:rsidRPr="00DD47DF">
              <w:rPr>
                <w:rFonts w:cs="Calibri"/>
              </w:rPr>
              <w:t>EUR</w:t>
            </w:r>
          </w:p>
        </w:tc>
        <w:tc>
          <w:tcPr>
            <w:tcW w:w="357" w:type="pct"/>
            <w:tcBorders>
              <w:top w:val="single" w:sz="4" w:space="0" w:color="000000"/>
              <w:left w:val="single" w:sz="4" w:space="0" w:color="000000"/>
              <w:bottom w:val="single" w:sz="4" w:space="0" w:color="000000"/>
              <w:right w:val="single" w:sz="4" w:space="0" w:color="000000"/>
            </w:tcBorders>
            <w:vAlign w:val="center"/>
          </w:tcPr>
          <w:p w14:paraId="4E4CDB0D"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757C684C"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40BA1F00" w14:textId="48688E92" w:rsidR="00055AD8" w:rsidRPr="00DD47DF" w:rsidRDefault="00127560" w:rsidP="00055AD8">
            <w:pPr>
              <w:pStyle w:val="Tabulka"/>
              <w:rPr>
                <w:rFonts w:cs="Calibri"/>
              </w:rPr>
            </w:pPr>
            <w:r>
              <w:rPr>
                <w:rFonts w:cs="Calibri"/>
              </w:rPr>
              <w:t>3</w:t>
            </w:r>
            <w:r w:rsidR="00055AD8" w:rsidRPr="00DD47DF">
              <w:rPr>
                <w:rFonts w:cs="Calibri"/>
              </w:rPr>
              <w:t xml:space="preserve"> 761 000 000</w:t>
            </w:r>
          </w:p>
        </w:tc>
        <w:tc>
          <w:tcPr>
            <w:tcW w:w="535" w:type="pct"/>
            <w:tcBorders>
              <w:top w:val="single" w:sz="4" w:space="0" w:color="000000"/>
              <w:left w:val="single" w:sz="4" w:space="0" w:color="000000"/>
              <w:bottom w:val="single" w:sz="4" w:space="0" w:color="000000"/>
              <w:right w:val="single" w:sz="4" w:space="0" w:color="000000"/>
            </w:tcBorders>
            <w:vAlign w:val="center"/>
          </w:tcPr>
          <w:p w14:paraId="3F441259" w14:textId="77777777" w:rsidR="00055AD8" w:rsidRPr="00DD47DF" w:rsidRDefault="00055AD8" w:rsidP="00055AD8">
            <w:pPr>
              <w:pStyle w:val="Tabulka"/>
              <w:rPr>
                <w:rFonts w:cs="Calibri"/>
              </w:rPr>
            </w:pPr>
            <w:r>
              <w:rPr>
                <w:rFonts w:cs="Calibri"/>
              </w:rPr>
              <w:t>MS2014+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3180C7E2" w14:textId="77777777" w:rsidR="00055AD8" w:rsidRPr="00DD47DF" w:rsidRDefault="00055AD8" w:rsidP="00055AD8">
            <w:pPr>
              <w:pStyle w:val="Tabulka"/>
              <w:rPr>
                <w:rFonts w:cs="Calibri"/>
              </w:rPr>
            </w:pPr>
            <w:r>
              <w:rPr>
                <w:rFonts w:cs="Calibri"/>
              </w:rPr>
              <w:t>průběžně</w:t>
            </w:r>
          </w:p>
        </w:tc>
      </w:tr>
      <w:tr w:rsidR="00055AD8" w:rsidRPr="00DD47DF" w14:paraId="5F01CABF"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5482E769" w14:textId="1B3E3E9C" w:rsidR="00055AD8" w:rsidRPr="00DD47DF" w:rsidDel="00C75691" w:rsidRDefault="00055AD8" w:rsidP="00055AD8">
            <w:pPr>
              <w:pStyle w:val="Tabulka"/>
              <w:rPr>
                <w:rFonts w:cs="Calibri"/>
              </w:rPr>
            </w:pPr>
            <w:r w:rsidRPr="00DD47DF">
              <w:rPr>
                <w:rFonts w:cs="Calibri"/>
              </w:rPr>
              <w:t>CO 24</w:t>
            </w:r>
          </w:p>
        </w:tc>
        <w:tc>
          <w:tcPr>
            <w:tcW w:w="1074" w:type="pct"/>
            <w:tcBorders>
              <w:top w:val="single" w:sz="4" w:space="0" w:color="000000"/>
              <w:left w:val="single" w:sz="4" w:space="0" w:color="000000"/>
              <w:bottom w:val="single" w:sz="4" w:space="0" w:color="000000"/>
              <w:right w:val="single" w:sz="4" w:space="0" w:color="000000"/>
            </w:tcBorders>
            <w:vAlign w:val="center"/>
          </w:tcPr>
          <w:p w14:paraId="3CF49391" w14:textId="77777777" w:rsidR="00055AD8" w:rsidRPr="00DD47DF" w:rsidRDefault="00055AD8" w:rsidP="00055AD8">
            <w:pPr>
              <w:pStyle w:val="Tabulka"/>
              <w:jc w:val="left"/>
              <w:rPr>
                <w:rFonts w:cs="Calibri"/>
              </w:rPr>
            </w:pPr>
            <w:r w:rsidRPr="00DD47DF">
              <w:rPr>
                <w:rFonts w:cs="Calibri"/>
              </w:rPr>
              <w:t>Počet nových výzkumných pracovníků v podporovaných subjektech</w:t>
            </w:r>
          </w:p>
        </w:tc>
        <w:tc>
          <w:tcPr>
            <w:tcW w:w="716" w:type="pct"/>
            <w:tcBorders>
              <w:top w:val="single" w:sz="4" w:space="0" w:color="000000"/>
              <w:left w:val="single" w:sz="4" w:space="0" w:color="000000"/>
              <w:bottom w:val="single" w:sz="4" w:space="0" w:color="000000"/>
              <w:right w:val="single" w:sz="4" w:space="0" w:color="000000"/>
            </w:tcBorders>
            <w:vAlign w:val="center"/>
          </w:tcPr>
          <w:p w14:paraId="0DCDF526" w14:textId="77777777" w:rsidR="00055AD8" w:rsidRPr="00DD47DF" w:rsidRDefault="00055AD8" w:rsidP="00055AD8">
            <w:pPr>
              <w:pStyle w:val="Tabulka"/>
              <w:rPr>
                <w:rFonts w:cs="Calibri"/>
              </w:rPr>
            </w:pPr>
            <w:r w:rsidRPr="00DD47DF">
              <w:rPr>
                <w:rFonts w:cs="Calibri"/>
              </w:rPr>
              <w:t>FTE</w:t>
            </w:r>
          </w:p>
        </w:tc>
        <w:tc>
          <w:tcPr>
            <w:tcW w:w="357" w:type="pct"/>
            <w:tcBorders>
              <w:top w:val="single" w:sz="4" w:space="0" w:color="000000"/>
              <w:left w:val="single" w:sz="4" w:space="0" w:color="000000"/>
              <w:bottom w:val="single" w:sz="4" w:space="0" w:color="000000"/>
              <w:right w:val="single" w:sz="4" w:space="0" w:color="000000"/>
            </w:tcBorders>
            <w:vAlign w:val="center"/>
          </w:tcPr>
          <w:p w14:paraId="3142739E"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5D5A52CE"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6D27A3F1" w14:textId="77777777" w:rsidR="00055AD8" w:rsidRPr="00DD47DF" w:rsidRDefault="00055AD8" w:rsidP="00055AD8">
            <w:pPr>
              <w:pStyle w:val="Tabulka"/>
              <w:rPr>
                <w:rFonts w:cs="Calibri"/>
              </w:rPr>
            </w:pPr>
            <w:r w:rsidRPr="00DD47DF">
              <w:rPr>
                <w:rFonts w:cs="Calibri"/>
              </w:rPr>
              <w:t>3 260</w:t>
            </w:r>
          </w:p>
        </w:tc>
        <w:tc>
          <w:tcPr>
            <w:tcW w:w="535" w:type="pct"/>
            <w:tcBorders>
              <w:top w:val="single" w:sz="4" w:space="0" w:color="000000"/>
              <w:left w:val="single" w:sz="4" w:space="0" w:color="000000"/>
              <w:bottom w:val="single" w:sz="4" w:space="0" w:color="000000"/>
              <w:right w:val="single" w:sz="4" w:space="0" w:color="000000"/>
            </w:tcBorders>
            <w:vAlign w:val="center"/>
          </w:tcPr>
          <w:p w14:paraId="24C93F1A"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5786874F" w14:textId="77777777" w:rsidR="00055AD8" w:rsidRPr="00DD47DF" w:rsidRDefault="00055AD8" w:rsidP="00055AD8">
            <w:pPr>
              <w:pStyle w:val="Tabulka"/>
              <w:rPr>
                <w:rFonts w:cs="Calibri"/>
              </w:rPr>
            </w:pPr>
            <w:r>
              <w:rPr>
                <w:rFonts w:cs="Calibri"/>
              </w:rPr>
              <w:t>průběžně</w:t>
            </w:r>
          </w:p>
        </w:tc>
      </w:tr>
      <w:tr w:rsidR="00055AD8" w:rsidRPr="00DD47DF" w14:paraId="7C7C73DC"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62CBF48D" w14:textId="3DF49FFE" w:rsidR="00055AD8" w:rsidRPr="00DD47DF" w:rsidRDefault="00055AD8" w:rsidP="00055AD8">
            <w:pPr>
              <w:pStyle w:val="Tabulka"/>
              <w:rPr>
                <w:rFonts w:cs="Calibri"/>
              </w:rPr>
            </w:pPr>
            <w:r w:rsidRPr="00DD47DF">
              <w:rPr>
                <w:rFonts w:cs="Calibri"/>
              </w:rPr>
              <w:t>CO 26</w:t>
            </w:r>
          </w:p>
        </w:tc>
        <w:tc>
          <w:tcPr>
            <w:tcW w:w="1074" w:type="pct"/>
            <w:tcBorders>
              <w:top w:val="single" w:sz="4" w:space="0" w:color="000000"/>
              <w:left w:val="single" w:sz="4" w:space="0" w:color="000000"/>
              <w:bottom w:val="single" w:sz="4" w:space="0" w:color="000000"/>
              <w:right w:val="single" w:sz="4" w:space="0" w:color="000000"/>
            </w:tcBorders>
            <w:vAlign w:val="center"/>
          </w:tcPr>
          <w:p w14:paraId="4571A608" w14:textId="77777777" w:rsidR="00055AD8" w:rsidRPr="00DD47DF" w:rsidRDefault="00055AD8" w:rsidP="00055AD8">
            <w:pPr>
              <w:pStyle w:val="Tabulka"/>
              <w:jc w:val="left"/>
              <w:rPr>
                <w:rFonts w:cs="Calibri"/>
              </w:rPr>
            </w:pPr>
            <w:r w:rsidRPr="00DD47DF">
              <w:rPr>
                <w:rFonts w:cs="Calibri"/>
              </w:rPr>
              <w:t>Počet podniků spolupracujících s výzkumnými institucemi</w:t>
            </w:r>
          </w:p>
        </w:tc>
        <w:tc>
          <w:tcPr>
            <w:tcW w:w="716" w:type="pct"/>
            <w:tcBorders>
              <w:top w:val="single" w:sz="4" w:space="0" w:color="000000"/>
              <w:left w:val="single" w:sz="4" w:space="0" w:color="000000"/>
              <w:bottom w:val="single" w:sz="4" w:space="0" w:color="000000"/>
              <w:right w:val="single" w:sz="4" w:space="0" w:color="000000"/>
            </w:tcBorders>
            <w:vAlign w:val="center"/>
          </w:tcPr>
          <w:p w14:paraId="33FB4E75" w14:textId="77777777" w:rsidR="00055AD8" w:rsidRPr="00DD47DF" w:rsidRDefault="00055AD8" w:rsidP="00055AD8">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4AFDB845"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0292F9C6"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5B84D813" w14:textId="2A06E044" w:rsidR="00055AD8" w:rsidRPr="00DD47DF" w:rsidRDefault="00055AD8" w:rsidP="0018368F">
            <w:pPr>
              <w:pStyle w:val="Tabulka"/>
              <w:rPr>
                <w:rFonts w:cs="Calibri"/>
              </w:rPr>
            </w:pPr>
            <w:r w:rsidRPr="00DD47DF">
              <w:rPr>
                <w:rFonts w:cs="Calibri"/>
              </w:rPr>
              <w:t xml:space="preserve">2 </w:t>
            </w:r>
            <w:r w:rsidR="0018368F">
              <w:rPr>
                <w:rFonts w:cs="Calibri"/>
              </w:rPr>
              <w:t>200</w:t>
            </w:r>
          </w:p>
        </w:tc>
        <w:tc>
          <w:tcPr>
            <w:tcW w:w="535" w:type="pct"/>
            <w:tcBorders>
              <w:top w:val="single" w:sz="4" w:space="0" w:color="000000"/>
              <w:left w:val="single" w:sz="4" w:space="0" w:color="000000"/>
              <w:bottom w:val="single" w:sz="4" w:space="0" w:color="000000"/>
              <w:right w:val="single" w:sz="4" w:space="0" w:color="000000"/>
            </w:tcBorders>
            <w:vAlign w:val="center"/>
          </w:tcPr>
          <w:p w14:paraId="1262451F"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5F02762D" w14:textId="77777777" w:rsidR="00055AD8" w:rsidRPr="00DD47DF" w:rsidRDefault="00055AD8" w:rsidP="00055AD8">
            <w:pPr>
              <w:pStyle w:val="Tabulka"/>
              <w:rPr>
                <w:rFonts w:cs="Calibri"/>
              </w:rPr>
            </w:pPr>
            <w:r>
              <w:rPr>
                <w:rFonts w:cs="Calibri"/>
              </w:rPr>
              <w:t>průběžně</w:t>
            </w:r>
          </w:p>
        </w:tc>
      </w:tr>
      <w:tr w:rsidR="00055AD8" w:rsidRPr="00DD47DF" w14:paraId="38927460"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4D75C51E" w14:textId="6CAAAB63" w:rsidR="00055AD8" w:rsidRPr="00DD47DF" w:rsidRDefault="00055AD8" w:rsidP="00055AD8">
            <w:pPr>
              <w:pStyle w:val="Tabulka"/>
              <w:rPr>
                <w:rFonts w:cs="Calibri"/>
              </w:rPr>
            </w:pPr>
            <w:r w:rsidRPr="00DD47DF">
              <w:rPr>
                <w:rFonts w:cs="Calibri"/>
              </w:rPr>
              <w:t>CO 27</w:t>
            </w:r>
          </w:p>
        </w:tc>
        <w:tc>
          <w:tcPr>
            <w:tcW w:w="1074" w:type="pct"/>
            <w:tcBorders>
              <w:top w:val="single" w:sz="4" w:space="0" w:color="000000"/>
              <w:left w:val="single" w:sz="4" w:space="0" w:color="000000"/>
              <w:bottom w:val="single" w:sz="4" w:space="0" w:color="000000"/>
              <w:right w:val="single" w:sz="4" w:space="0" w:color="000000"/>
            </w:tcBorders>
            <w:vAlign w:val="center"/>
          </w:tcPr>
          <w:p w14:paraId="3A17F607" w14:textId="77777777" w:rsidR="00055AD8" w:rsidRPr="00DD47DF" w:rsidRDefault="00055AD8" w:rsidP="00055AD8">
            <w:pPr>
              <w:pStyle w:val="Tabulka"/>
              <w:jc w:val="left"/>
              <w:rPr>
                <w:rFonts w:cs="Calibri"/>
              </w:rPr>
            </w:pPr>
            <w:r w:rsidRPr="00DD47DF">
              <w:rPr>
                <w:rFonts w:cs="Calibri"/>
              </w:rPr>
              <w:t>Soukromé investice v projektech s veřejnou podporou v oblasti inovací nebo výzkumu a vývoje</w:t>
            </w:r>
          </w:p>
        </w:tc>
        <w:tc>
          <w:tcPr>
            <w:tcW w:w="716" w:type="pct"/>
            <w:tcBorders>
              <w:top w:val="single" w:sz="4" w:space="0" w:color="000000"/>
              <w:left w:val="single" w:sz="4" w:space="0" w:color="000000"/>
              <w:bottom w:val="single" w:sz="4" w:space="0" w:color="000000"/>
              <w:right w:val="single" w:sz="4" w:space="0" w:color="000000"/>
            </w:tcBorders>
            <w:vAlign w:val="center"/>
          </w:tcPr>
          <w:p w14:paraId="4446341F" w14:textId="77777777" w:rsidR="00055AD8" w:rsidRPr="00DD47DF" w:rsidRDefault="00055AD8" w:rsidP="00055AD8">
            <w:pPr>
              <w:pStyle w:val="Tabulka"/>
              <w:rPr>
                <w:rFonts w:cs="Calibri"/>
              </w:rPr>
            </w:pPr>
            <w:r w:rsidRPr="00DD47DF">
              <w:rPr>
                <w:rFonts w:cs="Calibri"/>
              </w:rPr>
              <w:t>EUR</w:t>
            </w:r>
          </w:p>
        </w:tc>
        <w:tc>
          <w:tcPr>
            <w:tcW w:w="357" w:type="pct"/>
            <w:tcBorders>
              <w:top w:val="single" w:sz="4" w:space="0" w:color="000000"/>
              <w:left w:val="single" w:sz="4" w:space="0" w:color="000000"/>
              <w:bottom w:val="single" w:sz="4" w:space="0" w:color="000000"/>
              <w:right w:val="single" w:sz="4" w:space="0" w:color="000000"/>
            </w:tcBorders>
            <w:vAlign w:val="center"/>
          </w:tcPr>
          <w:p w14:paraId="544A7156"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46EAD58C"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3A0F2584" w14:textId="6E324CDE" w:rsidR="00055AD8" w:rsidRPr="00DD47DF" w:rsidRDefault="00127560" w:rsidP="00055AD8">
            <w:pPr>
              <w:pStyle w:val="Tabulka"/>
              <w:rPr>
                <w:rFonts w:cs="Calibri"/>
              </w:rPr>
            </w:pPr>
            <w:r>
              <w:rPr>
                <w:rFonts w:cs="Calibri"/>
              </w:rPr>
              <w:t>3</w:t>
            </w:r>
            <w:r w:rsidR="00055AD8" w:rsidRPr="00DD47DF">
              <w:rPr>
                <w:rFonts w:cs="Calibri"/>
              </w:rPr>
              <w:t xml:space="preserve"> 761 000 000</w:t>
            </w:r>
          </w:p>
        </w:tc>
        <w:tc>
          <w:tcPr>
            <w:tcW w:w="535" w:type="pct"/>
            <w:tcBorders>
              <w:top w:val="single" w:sz="4" w:space="0" w:color="000000"/>
              <w:left w:val="single" w:sz="4" w:space="0" w:color="000000"/>
              <w:bottom w:val="single" w:sz="4" w:space="0" w:color="000000"/>
              <w:right w:val="single" w:sz="4" w:space="0" w:color="000000"/>
            </w:tcBorders>
            <w:vAlign w:val="center"/>
          </w:tcPr>
          <w:p w14:paraId="721F01A1" w14:textId="77777777" w:rsidR="00055AD8" w:rsidRPr="00DD47DF" w:rsidRDefault="00055AD8" w:rsidP="00055AD8">
            <w:pPr>
              <w:pStyle w:val="Tabulka"/>
              <w:rPr>
                <w:rFonts w:cs="Calibri"/>
              </w:rPr>
            </w:pPr>
            <w:r>
              <w:rPr>
                <w:rFonts w:cs="Calibri"/>
              </w:rPr>
              <w:t>MS2014+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2A8E8509" w14:textId="77777777" w:rsidR="00055AD8" w:rsidRPr="00DD47DF" w:rsidRDefault="00055AD8" w:rsidP="00055AD8">
            <w:pPr>
              <w:pStyle w:val="Tabulka"/>
              <w:rPr>
                <w:rFonts w:cs="Calibri"/>
              </w:rPr>
            </w:pPr>
            <w:r>
              <w:rPr>
                <w:rFonts w:cs="Calibri"/>
              </w:rPr>
              <w:t>průběžně</w:t>
            </w:r>
          </w:p>
        </w:tc>
      </w:tr>
      <w:tr w:rsidR="00055AD8" w:rsidRPr="00DD47DF" w14:paraId="5FFFBA83"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65875300" w14:textId="6A7DE62E" w:rsidR="00055AD8" w:rsidRPr="00DD47DF" w:rsidRDefault="00055AD8" w:rsidP="00055AD8">
            <w:pPr>
              <w:pStyle w:val="Tabulka"/>
              <w:jc w:val="left"/>
              <w:rPr>
                <w:rFonts w:cs="Calibri"/>
              </w:rPr>
            </w:pPr>
            <w:r w:rsidRPr="00DD47DF">
              <w:rPr>
                <w:rFonts w:cs="Calibri"/>
              </w:rPr>
              <w:lastRenderedPageBreak/>
              <w:t>CO 28</w:t>
            </w:r>
          </w:p>
        </w:tc>
        <w:tc>
          <w:tcPr>
            <w:tcW w:w="1074" w:type="pct"/>
            <w:tcBorders>
              <w:top w:val="single" w:sz="4" w:space="0" w:color="000000"/>
              <w:left w:val="single" w:sz="4" w:space="0" w:color="000000"/>
              <w:bottom w:val="single" w:sz="4" w:space="0" w:color="000000"/>
              <w:right w:val="single" w:sz="4" w:space="0" w:color="000000"/>
            </w:tcBorders>
            <w:vAlign w:val="center"/>
          </w:tcPr>
          <w:p w14:paraId="138815D2" w14:textId="77777777" w:rsidR="00055AD8" w:rsidRPr="00DD47DF" w:rsidRDefault="00055AD8" w:rsidP="00055AD8">
            <w:pPr>
              <w:pStyle w:val="Tabulka"/>
              <w:jc w:val="left"/>
              <w:rPr>
                <w:rFonts w:cs="Calibri"/>
              </w:rPr>
            </w:pPr>
            <w:r w:rsidRPr="00DD47DF">
              <w:rPr>
                <w:rFonts w:cs="Calibri"/>
              </w:rPr>
              <w:t>Počet podniků, které dostávají podporu pro účely uvádění nových výrobků na trh</w:t>
            </w:r>
          </w:p>
        </w:tc>
        <w:tc>
          <w:tcPr>
            <w:tcW w:w="716" w:type="pct"/>
            <w:tcBorders>
              <w:top w:val="single" w:sz="4" w:space="0" w:color="000000"/>
              <w:left w:val="single" w:sz="4" w:space="0" w:color="000000"/>
              <w:bottom w:val="single" w:sz="4" w:space="0" w:color="000000"/>
              <w:right w:val="single" w:sz="4" w:space="0" w:color="000000"/>
            </w:tcBorders>
            <w:vAlign w:val="center"/>
          </w:tcPr>
          <w:p w14:paraId="66B9E590" w14:textId="77777777" w:rsidR="00055AD8" w:rsidRPr="00DD47DF" w:rsidRDefault="00055AD8" w:rsidP="00055AD8">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04A8C212"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5929F093"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38FF0E8B" w14:textId="64D664EC" w:rsidR="00055AD8" w:rsidRPr="00DD47DF" w:rsidRDefault="004F3191" w:rsidP="00055AD8">
            <w:pPr>
              <w:pStyle w:val="Tabulka"/>
              <w:rPr>
                <w:rFonts w:cs="Calibri"/>
              </w:rPr>
            </w:pPr>
            <w:r>
              <w:rPr>
                <w:rFonts w:cs="Calibri"/>
              </w:rPr>
              <w:t>222</w:t>
            </w:r>
          </w:p>
        </w:tc>
        <w:tc>
          <w:tcPr>
            <w:tcW w:w="535" w:type="pct"/>
            <w:tcBorders>
              <w:top w:val="single" w:sz="4" w:space="0" w:color="000000"/>
              <w:left w:val="single" w:sz="4" w:space="0" w:color="000000"/>
              <w:bottom w:val="single" w:sz="4" w:space="0" w:color="000000"/>
              <w:right w:val="single" w:sz="4" w:space="0" w:color="000000"/>
            </w:tcBorders>
            <w:vAlign w:val="center"/>
          </w:tcPr>
          <w:p w14:paraId="2BDDCDDA" w14:textId="77777777" w:rsidR="00055AD8" w:rsidRPr="00DD47DF" w:rsidRDefault="00055AD8" w:rsidP="00055AD8">
            <w:pPr>
              <w:pStyle w:val="Tabulka"/>
              <w:rPr>
                <w:rFonts w:cs="Calibri"/>
              </w:rPr>
            </w:pPr>
            <w:r>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772EF87D" w14:textId="77777777" w:rsidR="00055AD8" w:rsidRPr="00DD47DF" w:rsidRDefault="00055AD8" w:rsidP="00055AD8">
            <w:pPr>
              <w:pStyle w:val="Tabulka"/>
              <w:rPr>
                <w:rFonts w:cs="Calibri"/>
              </w:rPr>
            </w:pPr>
            <w:r>
              <w:rPr>
                <w:rFonts w:cs="Calibri"/>
              </w:rPr>
              <w:t>průběžně</w:t>
            </w:r>
          </w:p>
        </w:tc>
      </w:tr>
      <w:tr w:rsidR="00055AD8" w:rsidRPr="00DD47DF" w14:paraId="3FB5CD88"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70A30B07" w14:textId="7AF45E3B" w:rsidR="00055AD8" w:rsidRPr="00DD47DF" w:rsidRDefault="00055AD8" w:rsidP="00055AD8">
            <w:pPr>
              <w:pStyle w:val="Tabulka"/>
              <w:jc w:val="left"/>
              <w:rPr>
                <w:rFonts w:cs="Calibri"/>
              </w:rPr>
            </w:pPr>
            <w:r w:rsidRPr="00DD47DF">
              <w:rPr>
                <w:rFonts w:cs="Calibri"/>
              </w:rPr>
              <w:t>CO 29</w:t>
            </w:r>
          </w:p>
        </w:tc>
        <w:tc>
          <w:tcPr>
            <w:tcW w:w="1074" w:type="pct"/>
            <w:tcBorders>
              <w:top w:val="single" w:sz="4" w:space="0" w:color="000000"/>
              <w:left w:val="single" w:sz="4" w:space="0" w:color="000000"/>
              <w:bottom w:val="single" w:sz="4" w:space="0" w:color="000000"/>
              <w:right w:val="single" w:sz="4" w:space="0" w:color="000000"/>
            </w:tcBorders>
            <w:vAlign w:val="center"/>
          </w:tcPr>
          <w:p w14:paraId="39EB0AC6" w14:textId="77777777" w:rsidR="00055AD8" w:rsidRPr="00DD47DF" w:rsidRDefault="00055AD8" w:rsidP="00055AD8">
            <w:pPr>
              <w:pStyle w:val="Tabulka"/>
              <w:jc w:val="left"/>
              <w:rPr>
                <w:rFonts w:cs="Calibri"/>
              </w:rPr>
            </w:pPr>
            <w:r w:rsidRPr="00DD47DF">
              <w:rPr>
                <w:rFonts w:cs="Calibri"/>
              </w:rPr>
              <w:t>Počet podniků, které dostávají podporu pro účely zavádění výrobků nových pro podnik</w:t>
            </w:r>
          </w:p>
        </w:tc>
        <w:tc>
          <w:tcPr>
            <w:tcW w:w="716" w:type="pct"/>
            <w:tcBorders>
              <w:top w:val="single" w:sz="4" w:space="0" w:color="000000"/>
              <w:left w:val="single" w:sz="4" w:space="0" w:color="000000"/>
              <w:bottom w:val="single" w:sz="4" w:space="0" w:color="000000"/>
              <w:right w:val="single" w:sz="4" w:space="0" w:color="000000"/>
            </w:tcBorders>
            <w:vAlign w:val="center"/>
          </w:tcPr>
          <w:p w14:paraId="090911E5" w14:textId="77777777" w:rsidR="00055AD8" w:rsidRPr="00DD47DF" w:rsidRDefault="00055AD8" w:rsidP="00055AD8">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3C002801"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6D0B6F79"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6AC06F3D" w14:textId="0FEA91DF" w:rsidR="00055AD8" w:rsidRPr="00DD47DF" w:rsidRDefault="004F3191" w:rsidP="00055AD8">
            <w:pPr>
              <w:pStyle w:val="Tabulka"/>
              <w:rPr>
                <w:rFonts w:cs="Calibri"/>
              </w:rPr>
            </w:pPr>
            <w:r>
              <w:rPr>
                <w:rFonts w:cs="Calibri"/>
              </w:rPr>
              <w:t>475</w:t>
            </w:r>
          </w:p>
        </w:tc>
        <w:tc>
          <w:tcPr>
            <w:tcW w:w="535" w:type="pct"/>
            <w:tcBorders>
              <w:top w:val="single" w:sz="4" w:space="0" w:color="000000"/>
              <w:left w:val="single" w:sz="4" w:space="0" w:color="000000"/>
              <w:bottom w:val="single" w:sz="4" w:space="0" w:color="000000"/>
              <w:right w:val="single" w:sz="4" w:space="0" w:color="000000"/>
            </w:tcBorders>
            <w:vAlign w:val="center"/>
          </w:tcPr>
          <w:p w14:paraId="737861C8" w14:textId="77777777" w:rsidR="00055AD8" w:rsidRPr="00DD47DF" w:rsidRDefault="00055AD8" w:rsidP="00055AD8">
            <w:pPr>
              <w:pStyle w:val="Tabulka"/>
              <w:rPr>
                <w:rFonts w:cs="Calibri"/>
              </w:rPr>
            </w:pPr>
            <w:r>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6C4C21B3" w14:textId="77777777" w:rsidR="00055AD8" w:rsidRPr="00DD47DF" w:rsidRDefault="00055AD8" w:rsidP="00055AD8">
            <w:pPr>
              <w:pStyle w:val="Tabulka"/>
              <w:rPr>
                <w:rFonts w:cs="Calibri"/>
              </w:rPr>
            </w:pPr>
            <w:r>
              <w:rPr>
                <w:rFonts w:cs="Calibri"/>
              </w:rPr>
              <w:t>průběžně</w:t>
            </w:r>
          </w:p>
        </w:tc>
      </w:tr>
      <w:tr w:rsidR="00055AD8" w:rsidRPr="00DD47DF" w14:paraId="0CC52E2C"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3C9ABDD6" w14:textId="77777777" w:rsidR="00055AD8" w:rsidRPr="00DD47DF" w:rsidDel="00C75691" w:rsidRDefault="00055AD8" w:rsidP="00055AD8">
            <w:pPr>
              <w:pStyle w:val="Tabulka"/>
              <w:jc w:val="left"/>
              <w:rPr>
                <w:rFonts w:cs="Calibri"/>
              </w:rPr>
            </w:pPr>
            <w:r w:rsidRPr="00DD47DF">
              <w:rPr>
                <w:rFonts w:cs="Calibri"/>
              </w:rPr>
              <w:t>20101</w:t>
            </w:r>
          </w:p>
        </w:tc>
        <w:tc>
          <w:tcPr>
            <w:tcW w:w="1074" w:type="pct"/>
            <w:tcBorders>
              <w:top w:val="single" w:sz="4" w:space="0" w:color="000000"/>
              <w:left w:val="single" w:sz="4" w:space="0" w:color="000000"/>
              <w:bottom w:val="single" w:sz="4" w:space="0" w:color="000000"/>
              <w:right w:val="single" w:sz="4" w:space="0" w:color="000000"/>
            </w:tcBorders>
            <w:vAlign w:val="center"/>
          </w:tcPr>
          <w:p w14:paraId="17719602" w14:textId="77777777" w:rsidR="00055AD8" w:rsidRPr="00DD47DF" w:rsidRDefault="00055AD8" w:rsidP="00055AD8">
            <w:pPr>
              <w:pStyle w:val="Tabulka"/>
              <w:jc w:val="left"/>
              <w:rPr>
                <w:rFonts w:cs="Calibri"/>
              </w:rPr>
            </w:pPr>
            <w:r w:rsidRPr="00DD47DF">
              <w:rPr>
                <w:rFonts w:cs="Calibri"/>
              </w:rPr>
              <w:t>Počet výzkumných organizací spolupracujících s firmami</w:t>
            </w:r>
          </w:p>
        </w:tc>
        <w:tc>
          <w:tcPr>
            <w:tcW w:w="716" w:type="pct"/>
            <w:tcBorders>
              <w:top w:val="single" w:sz="4" w:space="0" w:color="000000"/>
              <w:left w:val="single" w:sz="4" w:space="0" w:color="000000"/>
              <w:bottom w:val="single" w:sz="4" w:space="0" w:color="000000"/>
              <w:right w:val="single" w:sz="4" w:space="0" w:color="000000"/>
            </w:tcBorders>
            <w:vAlign w:val="center"/>
          </w:tcPr>
          <w:p w14:paraId="7B948757" w14:textId="77777777" w:rsidR="00055AD8" w:rsidRPr="00DD47DF" w:rsidRDefault="00055AD8" w:rsidP="00055AD8">
            <w:pPr>
              <w:pStyle w:val="Tabulka"/>
              <w:rPr>
                <w:rFonts w:cs="Calibri"/>
              </w:rPr>
            </w:pPr>
            <w:r w:rsidRPr="00DD47DF">
              <w:rPr>
                <w:rFonts w:cs="Calibri"/>
              </w:rPr>
              <w:t>organizace</w:t>
            </w:r>
          </w:p>
        </w:tc>
        <w:tc>
          <w:tcPr>
            <w:tcW w:w="357" w:type="pct"/>
            <w:tcBorders>
              <w:top w:val="single" w:sz="4" w:space="0" w:color="000000"/>
              <w:left w:val="single" w:sz="4" w:space="0" w:color="000000"/>
              <w:bottom w:val="single" w:sz="4" w:space="0" w:color="000000"/>
              <w:right w:val="single" w:sz="4" w:space="0" w:color="000000"/>
            </w:tcBorders>
            <w:vAlign w:val="center"/>
          </w:tcPr>
          <w:p w14:paraId="0C1912CA"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38F27E5D"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49E68B5A" w14:textId="77777777" w:rsidR="00055AD8" w:rsidRPr="00DD47DF" w:rsidRDefault="00055AD8" w:rsidP="00055AD8">
            <w:pPr>
              <w:pStyle w:val="Tabulka"/>
              <w:rPr>
                <w:rFonts w:cs="Calibri"/>
              </w:rPr>
            </w:pPr>
            <w:r w:rsidRPr="00DD47DF">
              <w:rPr>
                <w:rFonts w:cs="Calibri"/>
              </w:rPr>
              <w:t>195</w:t>
            </w:r>
          </w:p>
        </w:tc>
        <w:tc>
          <w:tcPr>
            <w:tcW w:w="535" w:type="pct"/>
            <w:tcBorders>
              <w:top w:val="single" w:sz="4" w:space="0" w:color="000000"/>
              <w:left w:val="single" w:sz="4" w:space="0" w:color="000000"/>
              <w:bottom w:val="single" w:sz="4" w:space="0" w:color="000000"/>
              <w:right w:val="single" w:sz="4" w:space="0" w:color="000000"/>
            </w:tcBorders>
            <w:vAlign w:val="center"/>
          </w:tcPr>
          <w:p w14:paraId="2C7CE62C"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4E96DDBB" w14:textId="77777777" w:rsidR="00055AD8" w:rsidRPr="00DD47DF" w:rsidRDefault="00055AD8" w:rsidP="00055AD8">
            <w:pPr>
              <w:pStyle w:val="Tabulka"/>
              <w:rPr>
                <w:rFonts w:cs="Calibri"/>
              </w:rPr>
            </w:pPr>
            <w:r>
              <w:rPr>
                <w:rFonts w:cs="Calibri"/>
              </w:rPr>
              <w:t>průběžně</w:t>
            </w:r>
          </w:p>
        </w:tc>
      </w:tr>
      <w:tr w:rsidR="00055AD8" w:rsidRPr="00DD47DF" w14:paraId="020D26F5"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0388FC4B" w14:textId="77777777" w:rsidR="00055AD8" w:rsidRPr="00DD47DF" w:rsidDel="00C75691" w:rsidRDefault="00055AD8" w:rsidP="00055AD8">
            <w:pPr>
              <w:pStyle w:val="Tabulka"/>
              <w:jc w:val="left"/>
              <w:rPr>
                <w:rFonts w:cs="Calibri"/>
              </w:rPr>
            </w:pPr>
            <w:r w:rsidRPr="00DD47DF">
              <w:rPr>
                <w:rFonts w:cs="Calibri"/>
              </w:rPr>
              <w:t>23000</w:t>
            </w:r>
          </w:p>
        </w:tc>
        <w:tc>
          <w:tcPr>
            <w:tcW w:w="1074" w:type="pct"/>
            <w:tcBorders>
              <w:top w:val="single" w:sz="4" w:space="0" w:color="000000"/>
              <w:left w:val="single" w:sz="4" w:space="0" w:color="000000"/>
              <w:bottom w:val="single" w:sz="4" w:space="0" w:color="000000"/>
              <w:right w:val="single" w:sz="4" w:space="0" w:color="000000"/>
            </w:tcBorders>
            <w:vAlign w:val="center"/>
          </w:tcPr>
          <w:p w14:paraId="39438677" w14:textId="77777777" w:rsidR="00055AD8" w:rsidRPr="00DD47DF" w:rsidRDefault="00055AD8" w:rsidP="00055AD8">
            <w:pPr>
              <w:pStyle w:val="Tabulka"/>
              <w:jc w:val="left"/>
              <w:rPr>
                <w:rFonts w:cs="Calibri"/>
              </w:rPr>
            </w:pPr>
            <w:r w:rsidRPr="00DD47DF">
              <w:rPr>
                <w:rFonts w:cs="Calibri"/>
              </w:rPr>
              <w:t>Počet nově vzniklých a modernizovaných inovačních infrastruktur</w:t>
            </w:r>
          </w:p>
        </w:tc>
        <w:tc>
          <w:tcPr>
            <w:tcW w:w="716" w:type="pct"/>
            <w:tcBorders>
              <w:top w:val="single" w:sz="4" w:space="0" w:color="000000"/>
              <w:left w:val="single" w:sz="4" w:space="0" w:color="000000"/>
              <w:bottom w:val="single" w:sz="4" w:space="0" w:color="000000"/>
              <w:right w:val="single" w:sz="4" w:space="0" w:color="000000"/>
            </w:tcBorders>
            <w:vAlign w:val="center"/>
          </w:tcPr>
          <w:p w14:paraId="6E8A4610" w14:textId="77777777" w:rsidR="00055AD8" w:rsidRPr="00DD47DF" w:rsidRDefault="00055AD8" w:rsidP="00055AD8">
            <w:pPr>
              <w:pStyle w:val="Tabulka"/>
              <w:rPr>
                <w:rFonts w:cs="Calibri"/>
              </w:rPr>
            </w:pPr>
            <w:r w:rsidRPr="00DD47DF">
              <w:rPr>
                <w:rFonts w:cs="Calibri"/>
              </w:rPr>
              <w:t>Infrastruktury</w:t>
            </w:r>
          </w:p>
        </w:tc>
        <w:tc>
          <w:tcPr>
            <w:tcW w:w="357" w:type="pct"/>
            <w:tcBorders>
              <w:top w:val="single" w:sz="4" w:space="0" w:color="000000"/>
              <w:left w:val="single" w:sz="4" w:space="0" w:color="000000"/>
              <w:bottom w:val="single" w:sz="4" w:space="0" w:color="000000"/>
              <w:right w:val="single" w:sz="4" w:space="0" w:color="000000"/>
            </w:tcBorders>
            <w:vAlign w:val="center"/>
          </w:tcPr>
          <w:p w14:paraId="49AED4EA"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532AEDA6"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30EBCE93" w14:textId="34EACD36" w:rsidR="00055AD8" w:rsidRPr="00DD47DF" w:rsidRDefault="00F03BBB" w:rsidP="00055AD8">
            <w:pPr>
              <w:pStyle w:val="Tabulka"/>
              <w:rPr>
                <w:rFonts w:cs="Calibri"/>
              </w:rPr>
            </w:pPr>
            <w:r>
              <w:rPr>
                <w:rFonts w:cs="Calibri"/>
              </w:rPr>
              <w:t>31</w:t>
            </w:r>
          </w:p>
        </w:tc>
        <w:tc>
          <w:tcPr>
            <w:tcW w:w="535" w:type="pct"/>
            <w:tcBorders>
              <w:top w:val="single" w:sz="4" w:space="0" w:color="000000"/>
              <w:left w:val="single" w:sz="4" w:space="0" w:color="000000"/>
              <w:bottom w:val="single" w:sz="4" w:space="0" w:color="000000"/>
              <w:right w:val="single" w:sz="4" w:space="0" w:color="000000"/>
            </w:tcBorders>
            <w:vAlign w:val="center"/>
          </w:tcPr>
          <w:p w14:paraId="6160AC00"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54B36A98" w14:textId="77777777" w:rsidR="00055AD8" w:rsidRPr="00DD47DF" w:rsidRDefault="00055AD8" w:rsidP="00055AD8">
            <w:pPr>
              <w:pStyle w:val="Tabulka"/>
              <w:rPr>
                <w:rFonts w:cs="Calibri"/>
              </w:rPr>
            </w:pPr>
            <w:r>
              <w:rPr>
                <w:rFonts w:cs="Calibri"/>
              </w:rPr>
              <w:t>průběžně</w:t>
            </w:r>
          </w:p>
        </w:tc>
      </w:tr>
      <w:tr w:rsidR="00055AD8" w:rsidRPr="00DD47DF" w14:paraId="3872FFF0"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4D9C4165" w14:textId="77777777" w:rsidR="00055AD8" w:rsidRPr="00DD47DF" w:rsidRDefault="00055AD8" w:rsidP="00055AD8">
            <w:pPr>
              <w:pStyle w:val="Tabulka"/>
              <w:jc w:val="left"/>
              <w:rPr>
                <w:rFonts w:cs="Calibri"/>
              </w:rPr>
            </w:pPr>
            <w:r w:rsidRPr="00DD47DF">
              <w:rPr>
                <w:rFonts w:cs="Calibri"/>
              </w:rPr>
              <w:t>22100</w:t>
            </w:r>
          </w:p>
        </w:tc>
        <w:tc>
          <w:tcPr>
            <w:tcW w:w="1074" w:type="pct"/>
            <w:tcBorders>
              <w:top w:val="single" w:sz="4" w:space="0" w:color="000000"/>
              <w:left w:val="single" w:sz="4" w:space="0" w:color="000000"/>
              <w:bottom w:val="single" w:sz="4" w:space="0" w:color="000000"/>
              <w:right w:val="single" w:sz="4" w:space="0" w:color="000000"/>
            </w:tcBorders>
            <w:vAlign w:val="center"/>
          </w:tcPr>
          <w:p w14:paraId="7E85A8F7" w14:textId="77777777" w:rsidR="00055AD8" w:rsidRPr="00DD47DF" w:rsidRDefault="00055AD8" w:rsidP="00055AD8">
            <w:pPr>
              <w:pStyle w:val="Tabulka"/>
              <w:jc w:val="left"/>
              <w:rPr>
                <w:rFonts w:cs="Calibri"/>
              </w:rPr>
            </w:pPr>
            <w:r w:rsidRPr="00DD47DF">
              <w:rPr>
                <w:rFonts w:cs="Calibri"/>
              </w:rPr>
              <w:t>Počet přihlášek na ochranu práv průmyslového vlastnictví</w:t>
            </w:r>
          </w:p>
        </w:tc>
        <w:tc>
          <w:tcPr>
            <w:tcW w:w="716" w:type="pct"/>
            <w:tcBorders>
              <w:top w:val="single" w:sz="4" w:space="0" w:color="000000"/>
              <w:left w:val="single" w:sz="4" w:space="0" w:color="000000"/>
              <w:bottom w:val="single" w:sz="4" w:space="0" w:color="000000"/>
              <w:right w:val="single" w:sz="4" w:space="0" w:color="000000"/>
            </w:tcBorders>
            <w:vAlign w:val="center"/>
          </w:tcPr>
          <w:p w14:paraId="68B00470" w14:textId="77777777" w:rsidR="00055AD8" w:rsidRPr="00DD47DF" w:rsidRDefault="00055AD8" w:rsidP="00055AD8">
            <w:pPr>
              <w:pStyle w:val="Tabulka"/>
              <w:rPr>
                <w:rFonts w:cs="Calibri"/>
              </w:rPr>
            </w:pPr>
            <w:r w:rsidRPr="00DD47DF">
              <w:rPr>
                <w:rFonts w:cs="Calibri"/>
              </w:rPr>
              <w:t>přihlášky</w:t>
            </w:r>
          </w:p>
        </w:tc>
        <w:tc>
          <w:tcPr>
            <w:tcW w:w="357" w:type="pct"/>
            <w:tcBorders>
              <w:top w:val="single" w:sz="4" w:space="0" w:color="000000"/>
              <w:left w:val="single" w:sz="4" w:space="0" w:color="000000"/>
              <w:bottom w:val="single" w:sz="4" w:space="0" w:color="000000"/>
              <w:right w:val="single" w:sz="4" w:space="0" w:color="000000"/>
            </w:tcBorders>
            <w:vAlign w:val="center"/>
          </w:tcPr>
          <w:p w14:paraId="43A72E81"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7FAFE154"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196444E3" w14:textId="77777777" w:rsidR="00055AD8" w:rsidRPr="00DD47DF" w:rsidRDefault="00055AD8" w:rsidP="00055AD8">
            <w:pPr>
              <w:pStyle w:val="Tabulka"/>
              <w:rPr>
                <w:rFonts w:cs="Calibri"/>
              </w:rPr>
            </w:pPr>
            <w:r w:rsidRPr="00DD47DF">
              <w:rPr>
                <w:rFonts w:cs="Calibri"/>
              </w:rPr>
              <w:t>600</w:t>
            </w:r>
          </w:p>
        </w:tc>
        <w:tc>
          <w:tcPr>
            <w:tcW w:w="535" w:type="pct"/>
            <w:tcBorders>
              <w:top w:val="single" w:sz="4" w:space="0" w:color="000000"/>
              <w:left w:val="single" w:sz="4" w:space="0" w:color="000000"/>
              <w:bottom w:val="single" w:sz="4" w:space="0" w:color="000000"/>
              <w:right w:val="single" w:sz="4" w:space="0" w:color="000000"/>
            </w:tcBorders>
            <w:vAlign w:val="center"/>
          </w:tcPr>
          <w:p w14:paraId="36B36533"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1B3E19DD" w14:textId="77777777" w:rsidR="00055AD8" w:rsidRPr="00DD47DF" w:rsidRDefault="00055AD8" w:rsidP="00055AD8">
            <w:pPr>
              <w:pStyle w:val="Tabulka"/>
              <w:rPr>
                <w:rFonts w:cs="Calibri"/>
              </w:rPr>
            </w:pPr>
            <w:r>
              <w:rPr>
                <w:rFonts w:cs="Calibri"/>
              </w:rPr>
              <w:t>průběžně</w:t>
            </w:r>
          </w:p>
        </w:tc>
      </w:tr>
    </w:tbl>
    <w:p w14:paraId="2ED16D0F" w14:textId="77777777" w:rsidR="00F262C8" w:rsidRPr="00DD47DF" w:rsidRDefault="00AC6E26" w:rsidP="00441D67">
      <w:pPr>
        <w:pStyle w:val="kapitola2A0"/>
        <w:numPr>
          <w:ilvl w:val="2"/>
          <w:numId w:val="128"/>
        </w:numPr>
      </w:pPr>
      <w:bookmarkStart w:id="33" w:name="_Toc506884985"/>
      <w:bookmarkStart w:id="34" w:name="_Toc351464367"/>
      <w:r w:rsidRPr="00DD47DF">
        <w:t>Sociální inovace, nadnárodní spolupráce a přínos k tematickým cílům 1 až 7</w:t>
      </w:r>
      <w:bookmarkEnd w:id="33"/>
      <w:r w:rsidR="00F262C8" w:rsidRPr="00DD47DF">
        <w:t xml:space="preserve"> </w:t>
      </w:r>
    </w:p>
    <w:p w14:paraId="3351AE3E" w14:textId="77777777" w:rsidR="004126CC" w:rsidRPr="00DD47DF" w:rsidRDefault="008A5FCE" w:rsidP="008A5FCE">
      <w:pPr>
        <w:pStyle w:val="Standardntext"/>
        <w:sectPr w:rsidR="004126CC" w:rsidRPr="00DD47DF" w:rsidSect="000E3FBB">
          <w:headerReference w:type="default" r:id="rId29"/>
          <w:footerReference w:type="default" r:id="rId30"/>
          <w:pgSz w:w="11906" w:h="16838"/>
          <w:pgMar w:top="1418" w:right="1276" w:bottom="1276" w:left="1418" w:header="709" w:footer="709" w:gutter="0"/>
          <w:cols w:space="708"/>
          <w:docGrid w:linePitch="272"/>
        </w:sectPr>
      </w:pPr>
      <w:r w:rsidRPr="00DD47DF">
        <w:t>Není relevantní pro OP PIK.</w:t>
      </w:r>
    </w:p>
    <w:p w14:paraId="5F965989" w14:textId="77777777" w:rsidR="00DB73B5" w:rsidRPr="00DD47DF" w:rsidRDefault="00AC6E26" w:rsidP="00441D67">
      <w:pPr>
        <w:pStyle w:val="kapitola2A0"/>
        <w:numPr>
          <w:ilvl w:val="2"/>
          <w:numId w:val="128"/>
        </w:numPr>
      </w:pPr>
      <w:bookmarkStart w:id="35" w:name="_Toc506884986"/>
      <w:bookmarkEnd w:id="34"/>
      <w:r w:rsidRPr="00DD47DF">
        <w:lastRenderedPageBreak/>
        <w:t>Výkonnostní rámec</w:t>
      </w:r>
      <w:bookmarkEnd w:id="35"/>
    </w:p>
    <w:p w14:paraId="25F5D4E2" w14:textId="77777777" w:rsidR="00FB2288" w:rsidRPr="00DD47DF" w:rsidRDefault="00FB2288" w:rsidP="008F72F4">
      <w:pPr>
        <w:pStyle w:val="Titulek"/>
        <w:keepNext/>
        <w:keepLines/>
        <w:rPr>
          <w:i/>
        </w:rPr>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6</w:t>
      </w:r>
      <w:r w:rsidR="002756E7" w:rsidRPr="00DD47DF">
        <w:rPr>
          <w:noProof/>
        </w:rPr>
        <w:fldChar w:fldCharType="end"/>
      </w:r>
      <w:r w:rsidRPr="00DD47DF">
        <w:t xml:space="preserve">: </w:t>
      </w:r>
      <w:r w:rsidR="00AC6E26" w:rsidRPr="00DD47DF">
        <w:t>Výkonnostní rámec prioritní osy</w:t>
      </w:r>
      <w:r w:rsidRPr="00DD47DF">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557"/>
        <w:gridCol w:w="799"/>
        <w:gridCol w:w="1670"/>
        <w:gridCol w:w="1329"/>
        <w:gridCol w:w="777"/>
        <w:gridCol w:w="1190"/>
        <w:gridCol w:w="1193"/>
        <w:gridCol w:w="1476"/>
        <w:gridCol w:w="997"/>
        <w:gridCol w:w="2337"/>
      </w:tblGrid>
      <w:tr w:rsidR="00D16DE9" w:rsidRPr="00DD47DF" w14:paraId="3D2E5BE5" w14:textId="77777777">
        <w:tc>
          <w:tcPr>
            <w:tcW w:w="325" w:type="pct"/>
            <w:shd w:val="clear" w:color="auto" w:fill="B8CCE4"/>
            <w:vAlign w:val="center"/>
          </w:tcPr>
          <w:p w14:paraId="62F49C18" w14:textId="77777777" w:rsidR="00A8261C" w:rsidRPr="00DD47DF" w:rsidRDefault="00AE32DE" w:rsidP="00D16DE9">
            <w:pPr>
              <w:pStyle w:val="Tabulka"/>
              <w:keepNext/>
              <w:keepLines/>
              <w:rPr>
                <w:rFonts w:cs="Calibri"/>
                <w:b/>
              </w:rPr>
            </w:pPr>
            <w:r w:rsidRPr="00DD47DF">
              <w:rPr>
                <w:rFonts w:cs="Calibri"/>
                <w:b/>
              </w:rPr>
              <w:t>Prioritní osa</w:t>
            </w:r>
          </w:p>
        </w:tc>
        <w:tc>
          <w:tcPr>
            <w:tcW w:w="571" w:type="pct"/>
            <w:shd w:val="clear" w:color="auto" w:fill="B8CCE4"/>
            <w:vAlign w:val="center"/>
          </w:tcPr>
          <w:p w14:paraId="5D15352F" w14:textId="77777777" w:rsidR="00A8261C" w:rsidRPr="00DD47DF" w:rsidRDefault="00A8261C" w:rsidP="00D16DE9">
            <w:pPr>
              <w:pStyle w:val="Tabulka"/>
              <w:keepNext/>
              <w:keepLines/>
              <w:rPr>
                <w:rFonts w:cs="Calibri"/>
                <w:b/>
              </w:rPr>
            </w:pPr>
            <w:r w:rsidRPr="00DD47DF">
              <w:rPr>
                <w:rFonts w:cs="Calibri"/>
                <w:b/>
              </w:rPr>
              <w:t>Typ ukazatele</w:t>
            </w:r>
          </w:p>
          <w:p w14:paraId="11A63E91" w14:textId="77777777" w:rsidR="00A8261C" w:rsidRPr="00DD47DF" w:rsidRDefault="00A8261C" w:rsidP="00D16DE9">
            <w:pPr>
              <w:pStyle w:val="Tabulka"/>
              <w:keepNext/>
              <w:keepLines/>
              <w:rPr>
                <w:rFonts w:cs="Calibri"/>
                <w:b/>
              </w:rPr>
            </w:pPr>
            <w:r w:rsidRPr="00DD47DF">
              <w:rPr>
                <w:rFonts w:cs="Calibri"/>
                <w:b/>
              </w:rPr>
              <w:t>(klíčový krok provádění, finanční výstup nebo popřípadě ukazatel výsledků)</w:t>
            </w:r>
          </w:p>
        </w:tc>
        <w:tc>
          <w:tcPr>
            <w:tcW w:w="216" w:type="pct"/>
            <w:shd w:val="clear" w:color="auto" w:fill="B8CCE4"/>
            <w:vAlign w:val="center"/>
          </w:tcPr>
          <w:p w14:paraId="31BB0922" w14:textId="77777777" w:rsidR="00A8261C" w:rsidRPr="00DD47DF" w:rsidRDefault="00A8261C" w:rsidP="00D16DE9">
            <w:pPr>
              <w:pStyle w:val="Tabulka"/>
              <w:keepNext/>
              <w:keepLines/>
              <w:rPr>
                <w:rFonts w:cs="Calibri"/>
                <w:b/>
              </w:rPr>
            </w:pPr>
            <w:r w:rsidRPr="00DD47DF">
              <w:rPr>
                <w:rFonts w:cs="Calibri"/>
                <w:b/>
              </w:rPr>
              <w:t>ID</w:t>
            </w:r>
          </w:p>
        </w:tc>
        <w:tc>
          <w:tcPr>
            <w:tcW w:w="583" w:type="pct"/>
            <w:shd w:val="clear" w:color="auto" w:fill="B8CCE4"/>
            <w:tcMar>
              <w:top w:w="0" w:type="dxa"/>
              <w:left w:w="108" w:type="dxa"/>
              <w:bottom w:w="0" w:type="dxa"/>
              <w:right w:w="108" w:type="dxa"/>
            </w:tcMar>
            <w:vAlign w:val="center"/>
          </w:tcPr>
          <w:p w14:paraId="6F5A29A0" w14:textId="77777777" w:rsidR="00A8261C" w:rsidRPr="00DD47DF" w:rsidRDefault="00AE32DE" w:rsidP="008F72F4">
            <w:pPr>
              <w:pStyle w:val="Tabulka"/>
              <w:keepNext/>
              <w:keepLines/>
              <w:rPr>
                <w:rFonts w:cs="Calibri"/>
                <w:b/>
              </w:rPr>
            </w:pPr>
            <w:r w:rsidRPr="00DD47DF">
              <w:rPr>
                <w:rFonts w:cs="Calibri"/>
                <w:b/>
              </w:rPr>
              <w:t>Ukazatel nebo klíčový krok provádění</w:t>
            </w:r>
          </w:p>
        </w:tc>
        <w:tc>
          <w:tcPr>
            <w:tcW w:w="491" w:type="pct"/>
            <w:shd w:val="clear" w:color="auto" w:fill="B8CCE4"/>
            <w:tcMar>
              <w:top w:w="0" w:type="dxa"/>
              <w:left w:w="108" w:type="dxa"/>
              <w:bottom w:w="0" w:type="dxa"/>
              <w:right w:w="108" w:type="dxa"/>
            </w:tcMar>
            <w:vAlign w:val="center"/>
          </w:tcPr>
          <w:p w14:paraId="70FBDBE1" w14:textId="77777777" w:rsidR="00A8261C" w:rsidRPr="00DD47DF" w:rsidRDefault="00AE32DE" w:rsidP="008F72F4">
            <w:pPr>
              <w:pStyle w:val="Tabulka"/>
              <w:keepNext/>
              <w:keepLines/>
              <w:rPr>
                <w:rFonts w:cs="Calibri"/>
                <w:b/>
              </w:rPr>
            </w:pPr>
            <w:r w:rsidRPr="00DD47DF">
              <w:rPr>
                <w:rFonts w:cs="Calibri"/>
                <w:b/>
              </w:rPr>
              <w:t>Měrná jednotka (použije-li se)</w:t>
            </w:r>
          </w:p>
        </w:tc>
        <w:tc>
          <w:tcPr>
            <w:tcW w:w="297" w:type="pct"/>
            <w:shd w:val="clear" w:color="auto" w:fill="B8CCE4"/>
            <w:tcMar>
              <w:top w:w="0" w:type="dxa"/>
              <w:left w:w="108" w:type="dxa"/>
              <w:bottom w:w="0" w:type="dxa"/>
              <w:right w:w="108" w:type="dxa"/>
            </w:tcMar>
            <w:vAlign w:val="center"/>
          </w:tcPr>
          <w:p w14:paraId="092F3137" w14:textId="77777777" w:rsidR="00A8261C" w:rsidRPr="00DD47DF" w:rsidRDefault="00A8261C" w:rsidP="008F72F4">
            <w:pPr>
              <w:pStyle w:val="Tabulka"/>
              <w:keepNext/>
              <w:keepLines/>
              <w:rPr>
                <w:rFonts w:cs="Calibri"/>
                <w:b/>
              </w:rPr>
            </w:pPr>
            <w:r w:rsidRPr="00DD47DF">
              <w:rPr>
                <w:rFonts w:cs="Calibri"/>
                <w:b/>
              </w:rPr>
              <w:t>Fond</w:t>
            </w:r>
          </w:p>
        </w:tc>
        <w:tc>
          <w:tcPr>
            <w:tcW w:w="442" w:type="pct"/>
            <w:shd w:val="clear" w:color="auto" w:fill="B8CCE4"/>
            <w:tcMar>
              <w:top w:w="0" w:type="dxa"/>
              <w:left w:w="108" w:type="dxa"/>
              <w:bottom w:w="0" w:type="dxa"/>
              <w:right w:w="108" w:type="dxa"/>
            </w:tcMar>
            <w:vAlign w:val="center"/>
          </w:tcPr>
          <w:p w14:paraId="727FC2CD" w14:textId="77777777" w:rsidR="00A8261C" w:rsidRPr="00DD47DF" w:rsidRDefault="00AE32DE" w:rsidP="008F72F4">
            <w:pPr>
              <w:pStyle w:val="Tabulka"/>
              <w:keepNext/>
              <w:keepLines/>
              <w:rPr>
                <w:rFonts w:cs="Calibri"/>
                <w:b/>
              </w:rPr>
            </w:pPr>
            <w:r w:rsidRPr="00DD47DF">
              <w:rPr>
                <w:rFonts w:cs="Calibri"/>
                <w:b/>
              </w:rPr>
              <w:t>Kategorie regionů</w:t>
            </w:r>
          </w:p>
        </w:tc>
        <w:tc>
          <w:tcPr>
            <w:tcW w:w="443" w:type="pct"/>
            <w:shd w:val="clear" w:color="auto" w:fill="B8CCE4"/>
            <w:vAlign w:val="center"/>
          </w:tcPr>
          <w:p w14:paraId="2A6118AD" w14:textId="77777777" w:rsidR="00A8261C" w:rsidRPr="00DD47DF" w:rsidRDefault="00A8261C" w:rsidP="008F72F4">
            <w:pPr>
              <w:pStyle w:val="Tabulka"/>
              <w:keepNext/>
              <w:keepLines/>
              <w:rPr>
                <w:rFonts w:cs="Calibri"/>
                <w:b/>
              </w:rPr>
            </w:pPr>
            <w:r w:rsidRPr="00DD47DF">
              <w:rPr>
                <w:rFonts w:cs="Calibri"/>
                <w:b/>
              </w:rPr>
              <w:t>Milník pro rok 2018</w:t>
            </w:r>
          </w:p>
        </w:tc>
        <w:tc>
          <w:tcPr>
            <w:tcW w:w="542" w:type="pct"/>
            <w:shd w:val="clear" w:color="auto" w:fill="B8CCE4"/>
            <w:tcMar>
              <w:top w:w="0" w:type="dxa"/>
              <w:left w:w="108" w:type="dxa"/>
              <w:bottom w:w="0" w:type="dxa"/>
              <w:right w:w="108" w:type="dxa"/>
            </w:tcMar>
            <w:vAlign w:val="center"/>
          </w:tcPr>
          <w:p w14:paraId="69FC7565" w14:textId="77777777" w:rsidR="00A8261C" w:rsidRPr="00DD47DF" w:rsidRDefault="00AE32DE" w:rsidP="008F72F4">
            <w:pPr>
              <w:pStyle w:val="Tabulka"/>
              <w:keepNext/>
              <w:keepLines/>
              <w:rPr>
                <w:rFonts w:cs="Calibri"/>
                <w:b/>
              </w:rPr>
            </w:pPr>
            <w:r w:rsidRPr="00DD47DF">
              <w:rPr>
                <w:rFonts w:cs="Calibri"/>
                <w:b/>
              </w:rPr>
              <w:t xml:space="preserve">Konečný cíl </w:t>
            </w:r>
            <w:r w:rsidR="00A8261C" w:rsidRPr="00DD47DF">
              <w:rPr>
                <w:rFonts w:cs="Calibri"/>
                <w:b/>
              </w:rPr>
              <w:t>(2023)</w:t>
            </w:r>
          </w:p>
        </w:tc>
        <w:tc>
          <w:tcPr>
            <w:tcW w:w="246" w:type="pct"/>
            <w:shd w:val="clear" w:color="auto" w:fill="B8CCE4"/>
            <w:vAlign w:val="center"/>
          </w:tcPr>
          <w:p w14:paraId="153087A6" w14:textId="77777777" w:rsidR="00A8261C" w:rsidRPr="00DD47DF" w:rsidRDefault="00A8261C" w:rsidP="008F72F4">
            <w:pPr>
              <w:pStyle w:val="Tabulka"/>
              <w:keepNext/>
              <w:keepLines/>
              <w:rPr>
                <w:rFonts w:cs="Calibri"/>
                <w:b/>
              </w:rPr>
            </w:pPr>
            <w:r w:rsidRPr="00DD47DF">
              <w:rPr>
                <w:rFonts w:cs="Calibri"/>
                <w:b/>
              </w:rPr>
              <w:t>Zdroj dat</w:t>
            </w:r>
          </w:p>
        </w:tc>
        <w:tc>
          <w:tcPr>
            <w:tcW w:w="844" w:type="pct"/>
            <w:shd w:val="clear" w:color="auto" w:fill="B8CCE4"/>
            <w:vAlign w:val="center"/>
          </w:tcPr>
          <w:p w14:paraId="01D0AAA0" w14:textId="77777777" w:rsidR="00A8261C" w:rsidRPr="00DD47DF" w:rsidRDefault="00AE32DE" w:rsidP="008F72F4">
            <w:pPr>
              <w:pStyle w:val="Tabulka"/>
              <w:keepNext/>
              <w:keepLines/>
              <w:rPr>
                <w:rFonts w:cs="Calibri"/>
                <w:b/>
              </w:rPr>
            </w:pPr>
            <w:r w:rsidRPr="00DD47DF">
              <w:rPr>
                <w:rFonts w:cs="Calibri"/>
                <w:b/>
              </w:rPr>
              <w:t>Popřípadě vysvětlení relevantnosti ukazatele</w:t>
            </w:r>
          </w:p>
        </w:tc>
      </w:tr>
      <w:tr w:rsidR="00D16DE9" w:rsidRPr="00DD47DF" w14:paraId="6CE995EE" w14:textId="77777777">
        <w:trPr>
          <w:trHeight w:val="957"/>
        </w:trPr>
        <w:tc>
          <w:tcPr>
            <w:tcW w:w="325" w:type="pct"/>
            <w:vAlign w:val="center"/>
          </w:tcPr>
          <w:p w14:paraId="36883AA2" w14:textId="77777777" w:rsidR="00A8261C" w:rsidRPr="00DD47DF" w:rsidRDefault="00AE32DE" w:rsidP="00D16DE9">
            <w:pPr>
              <w:pStyle w:val="Tabulka"/>
              <w:keepNext/>
              <w:keepLines/>
              <w:rPr>
                <w:rFonts w:cs="Calibri"/>
              </w:rPr>
            </w:pPr>
            <w:r w:rsidRPr="00DD47DF">
              <w:rPr>
                <w:rFonts w:cs="Calibri"/>
              </w:rPr>
              <w:t>PO 1</w:t>
            </w:r>
          </w:p>
        </w:tc>
        <w:tc>
          <w:tcPr>
            <w:tcW w:w="571" w:type="pct"/>
            <w:vAlign w:val="center"/>
          </w:tcPr>
          <w:p w14:paraId="233E2C8C" w14:textId="77777777" w:rsidR="00A8261C" w:rsidRPr="00DD47DF" w:rsidRDefault="00A8261C" w:rsidP="00D16DE9">
            <w:pPr>
              <w:pStyle w:val="Tabulka"/>
              <w:keepNext/>
              <w:keepLines/>
              <w:rPr>
                <w:rFonts w:cs="Calibri"/>
              </w:rPr>
            </w:pPr>
            <w:r w:rsidRPr="00DD47DF">
              <w:rPr>
                <w:rFonts w:cs="Calibri"/>
              </w:rPr>
              <w:t>finanční</w:t>
            </w:r>
          </w:p>
        </w:tc>
        <w:tc>
          <w:tcPr>
            <w:tcW w:w="216" w:type="pct"/>
            <w:vAlign w:val="center"/>
          </w:tcPr>
          <w:p w14:paraId="233FCC94" w14:textId="77777777" w:rsidR="00A8261C" w:rsidRPr="00DD47DF" w:rsidRDefault="00A6082B" w:rsidP="00D16DE9">
            <w:pPr>
              <w:pStyle w:val="Tabulka"/>
              <w:keepNext/>
              <w:keepLines/>
              <w:rPr>
                <w:rFonts w:cs="Calibri"/>
              </w:rPr>
            </w:pPr>
            <w:r w:rsidRPr="00DD47DF">
              <w:rPr>
                <w:rFonts w:cs="Calibri"/>
              </w:rPr>
              <w:t>FINMT</w:t>
            </w:r>
          </w:p>
        </w:tc>
        <w:tc>
          <w:tcPr>
            <w:tcW w:w="583" w:type="pct"/>
            <w:shd w:val="clear" w:color="auto" w:fill="auto"/>
            <w:tcMar>
              <w:top w:w="0" w:type="dxa"/>
              <w:left w:w="108" w:type="dxa"/>
              <w:bottom w:w="0" w:type="dxa"/>
              <w:right w:w="108" w:type="dxa"/>
            </w:tcMar>
            <w:vAlign w:val="center"/>
          </w:tcPr>
          <w:p w14:paraId="61981BCF" w14:textId="77777777" w:rsidR="00A8261C" w:rsidRPr="00DD47DF" w:rsidRDefault="003D1BB3" w:rsidP="008F72F4">
            <w:pPr>
              <w:pStyle w:val="Tabulka"/>
              <w:keepNext/>
              <w:keepLines/>
              <w:rPr>
                <w:rFonts w:cs="Calibri"/>
              </w:rPr>
            </w:pPr>
            <w:r w:rsidRPr="00DD47DF">
              <w:rPr>
                <w:rFonts w:cs="Calibri"/>
              </w:rPr>
              <w:t>Celkové způsobilé certifikované finanční prostředky</w:t>
            </w:r>
          </w:p>
        </w:tc>
        <w:tc>
          <w:tcPr>
            <w:tcW w:w="491" w:type="pct"/>
            <w:shd w:val="clear" w:color="auto" w:fill="auto"/>
            <w:tcMar>
              <w:top w:w="0" w:type="dxa"/>
              <w:left w:w="108" w:type="dxa"/>
              <w:bottom w:w="0" w:type="dxa"/>
              <w:right w:w="108" w:type="dxa"/>
            </w:tcMar>
            <w:vAlign w:val="center"/>
          </w:tcPr>
          <w:p w14:paraId="236FD06F" w14:textId="77777777" w:rsidR="00A8261C" w:rsidRPr="00DD47DF" w:rsidRDefault="00A8261C" w:rsidP="008F72F4">
            <w:pPr>
              <w:pStyle w:val="Tabulka"/>
              <w:keepNext/>
              <w:keepLines/>
              <w:rPr>
                <w:rFonts w:cs="Calibri"/>
              </w:rPr>
            </w:pPr>
            <w:r w:rsidRPr="00DD47DF">
              <w:rPr>
                <w:rFonts w:cs="Calibri"/>
              </w:rPr>
              <w:t>EUR</w:t>
            </w:r>
          </w:p>
        </w:tc>
        <w:tc>
          <w:tcPr>
            <w:tcW w:w="297" w:type="pct"/>
            <w:shd w:val="clear" w:color="auto" w:fill="auto"/>
            <w:tcMar>
              <w:top w:w="0" w:type="dxa"/>
              <w:left w:w="108" w:type="dxa"/>
              <w:bottom w:w="0" w:type="dxa"/>
              <w:right w:w="108" w:type="dxa"/>
            </w:tcMar>
            <w:vAlign w:val="center"/>
          </w:tcPr>
          <w:p w14:paraId="139BEBF2" w14:textId="77777777" w:rsidR="00A8261C" w:rsidRPr="00DD47DF" w:rsidRDefault="00A8261C" w:rsidP="008F72F4">
            <w:pPr>
              <w:pStyle w:val="Tabulka"/>
              <w:keepNext/>
              <w:keepLines/>
              <w:rPr>
                <w:rFonts w:cs="Calibri"/>
              </w:rPr>
            </w:pPr>
            <w:r w:rsidRPr="00DD47DF">
              <w:rPr>
                <w:rFonts w:cs="Calibri"/>
              </w:rPr>
              <w:t>EFRR</w:t>
            </w:r>
          </w:p>
        </w:tc>
        <w:tc>
          <w:tcPr>
            <w:tcW w:w="442" w:type="pct"/>
            <w:shd w:val="clear" w:color="auto" w:fill="auto"/>
            <w:tcMar>
              <w:top w:w="0" w:type="dxa"/>
              <w:left w:w="108" w:type="dxa"/>
              <w:bottom w:w="0" w:type="dxa"/>
              <w:right w:w="108" w:type="dxa"/>
            </w:tcMar>
            <w:vAlign w:val="center"/>
          </w:tcPr>
          <w:p w14:paraId="5FB7708A" w14:textId="77777777" w:rsidR="00A8261C" w:rsidRPr="00DD47DF" w:rsidRDefault="00A8261C" w:rsidP="008F72F4">
            <w:pPr>
              <w:keepNext/>
              <w:keepLines/>
              <w:jc w:val="center"/>
              <w:rPr>
                <w:sz w:val="24"/>
                <w:szCs w:val="24"/>
              </w:rPr>
            </w:pPr>
            <w:r w:rsidRPr="00DD47DF">
              <w:rPr>
                <w:sz w:val="24"/>
                <w:szCs w:val="24"/>
              </w:rPr>
              <w:t>Méně rozvinuté regiony</w:t>
            </w:r>
          </w:p>
        </w:tc>
        <w:tc>
          <w:tcPr>
            <w:tcW w:w="443" w:type="pct"/>
            <w:vAlign w:val="center"/>
          </w:tcPr>
          <w:p w14:paraId="1B653EDE" w14:textId="77777777" w:rsidR="00A8261C" w:rsidRPr="00DD47DF" w:rsidRDefault="00F243A9" w:rsidP="004940AD">
            <w:pPr>
              <w:pStyle w:val="Tabulka"/>
              <w:keepNext/>
              <w:keepLines/>
              <w:rPr>
                <w:rFonts w:cs="Calibri"/>
              </w:rPr>
            </w:pPr>
            <w:r w:rsidRPr="00DD47DF">
              <w:rPr>
                <w:rFonts w:cs="Calibri"/>
              </w:rPr>
              <w:t>5</w:t>
            </w:r>
            <w:r w:rsidR="00CC653D" w:rsidRPr="00DD47DF">
              <w:rPr>
                <w:rFonts w:cs="Calibri"/>
              </w:rPr>
              <w:t>52</w:t>
            </w:r>
            <w:r w:rsidR="000A2CE5" w:rsidRPr="00DD47DF">
              <w:rPr>
                <w:rFonts w:cs="Calibri"/>
              </w:rPr>
              <w:t> </w:t>
            </w:r>
            <w:r w:rsidR="00CC653D" w:rsidRPr="00DD47DF">
              <w:rPr>
                <w:rFonts w:cs="Calibri"/>
              </w:rPr>
              <w:t>4</w:t>
            </w:r>
            <w:r w:rsidR="000A2CE5" w:rsidRPr="00DD47DF">
              <w:rPr>
                <w:rFonts w:cs="Calibri"/>
              </w:rPr>
              <w:t>00 000</w:t>
            </w:r>
          </w:p>
        </w:tc>
        <w:tc>
          <w:tcPr>
            <w:tcW w:w="542" w:type="pct"/>
            <w:shd w:val="clear" w:color="auto" w:fill="auto"/>
            <w:tcMar>
              <w:top w:w="0" w:type="dxa"/>
              <w:left w:w="108" w:type="dxa"/>
              <w:bottom w:w="0" w:type="dxa"/>
              <w:right w:w="108" w:type="dxa"/>
            </w:tcMar>
            <w:vAlign w:val="center"/>
          </w:tcPr>
          <w:p w14:paraId="1629913C" w14:textId="2ECF691C" w:rsidR="00A8261C" w:rsidRPr="00DD47DF" w:rsidRDefault="002C6227" w:rsidP="000A2CE5">
            <w:pPr>
              <w:pStyle w:val="Tabulka"/>
              <w:keepNext/>
              <w:keepLines/>
              <w:rPr>
                <w:rFonts w:cs="Calibri"/>
              </w:rPr>
            </w:pPr>
            <w:r w:rsidRPr="00700E39">
              <w:t>2 782 298 907</w:t>
            </w:r>
          </w:p>
        </w:tc>
        <w:tc>
          <w:tcPr>
            <w:tcW w:w="246" w:type="pct"/>
            <w:vAlign w:val="center"/>
          </w:tcPr>
          <w:p w14:paraId="53B56251" w14:textId="77777777" w:rsidR="00A8261C" w:rsidRPr="00DD47DF" w:rsidRDefault="001B0574" w:rsidP="008F72F4">
            <w:pPr>
              <w:pStyle w:val="Tabulka"/>
              <w:keepNext/>
              <w:keepLines/>
              <w:rPr>
                <w:rFonts w:cs="Calibri"/>
              </w:rPr>
            </w:pPr>
            <w:r w:rsidRPr="00DD47DF">
              <w:rPr>
                <w:rFonts w:cs="Calibri"/>
              </w:rPr>
              <w:t>ŘO</w:t>
            </w:r>
          </w:p>
        </w:tc>
        <w:tc>
          <w:tcPr>
            <w:tcW w:w="844" w:type="pct"/>
            <w:vAlign w:val="center"/>
          </w:tcPr>
          <w:p w14:paraId="7089AE1E" w14:textId="77777777" w:rsidR="00A8261C" w:rsidRPr="00DD47DF" w:rsidRDefault="00775E69" w:rsidP="005479FC">
            <w:pPr>
              <w:pStyle w:val="Tabulka"/>
              <w:keepNext/>
              <w:keepLines/>
              <w:rPr>
                <w:rFonts w:cs="Calibri"/>
              </w:rPr>
            </w:pPr>
            <w:r w:rsidRPr="00DD47DF">
              <w:rPr>
                <w:rFonts w:cs="Calibri"/>
              </w:rPr>
              <w:t>Objem celkových způsobilých výdajů zaslaných do účetního systému certifikačního</w:t>
            </w:r>
            <w:r w:rsidR="005479FC" w:rsidRPr="00DD47DF">
              <w:rPr>
                <w:rFonts w:cs="Calibri"/>
              </w:rPr>
              <w:t xml:space="preserve"> </w:t>
            </w:r>
            <w:r w:rsidRPr="00DD47DF">
              <w:rPr>
                <w:rFonts w:cs="Calibri"/>
              </w:rPr>
              <w:t>orgánu a certifikovaných</w:t>
            </w:r>
            <w:r w:rsidR="00C70BA9" w:rsidRPr="00DD47DF">
              <w:rPr>
                <w:rFonts w:cs="Calibri"/>
              </w:rPr>
              <w:t xml:space="preserve"> certifikačním orgánem</w:t>
            </w:r>
            <w:r w:rsidR="000620DB" w:rsidRPr="00DD47DF">
              <w:rPr>
                <w:rFonts w:cs="Calibri"/>
              </w:rPr>
              <w:t>.</w:t>
            </w:r>
          </w:p>
        </w:tc>
      </w:tr>
      <w:tr w:rsidR="00D16DE9" w:rsidRPr="00DD47DF" w14:paraId="1392D04B" w14:textId="77777777">
        <w:tc>
          <w:tcPr>
            <w:tcW w:w="325" w:type="pct"/>
            <w:vAlign w:val="center"/>
          </w:tcPr>
          <w:p w14:paraId="5829ADFE" w14:textId="77777777" w:rsidR="00194795" w:rsidRPr="00DD47DF" w:rsidRDefault="00194795" w:rsidP="00D16DE9">
            <w:pPr>
              <w:pStyle w:val="Tabulka"/>
              <w:rPr>
                <w:rFonts w:cs="Calibri"/>
              </w:rPr>
            </w:pPr>
            <w:r w:rsidRPr="00DD47DF">
              <w:rPr>
                <w:rFonts w:cs="Calibri"/>
              </w:rPr>
              <w:t>PO 1</w:t>
            </w:r>
          </w:p>
        </w:tc>
        <w:tc>
          <w:tcPr>
            <w:tcW w:w="571" w:type="pct"/>
            <w:vAlign w:val="center"/>
          </w:tcPr>
          <w:p w14:paraId="5204BDB8" w14:textId="77777777" w:rsidR="00194795" w:rsidRPr="00DD47DF" w:rsidRDefault="00194795" w:rsidP="00D16DE9">
            <w:pPr>
              <w:pStyle w:val="Tabulka"/>
              <w:rPr>
                <w:rFonts w:cs="Calibri"/>
              </w:rPr>
            </w:pPr>
            <w:r w:rsidRPr="00DD47DF">
              <w:rPr>
                <w:rFonts w:cs="Calibri"/>
              </w:rPr>
              <w:t>výstupový</w:t>
            </w:r>
          </w:p>
        </w:tc>
        <w:tc>
          <w:tcPr>
            <w:tcW w:w="216" w:type="pct"/>
            <w:vAlign w:val="center"/>
          </w:tcPr>
          <w:p w14:paraId="1AEF0A85" w14:textId="0BCFF061" w:rsidR="00194795" w:rsidRPr="00DD47DF" w:rsidRDefault="00C75691" w:rsidP="00D16DE9">
            <w:pPr>
              <w:pStyle w:val="Tabulka"/>
              <w:rPr>
                <w:rFonts w:cs="Calibri"/>
              </w:rPr>
            </w:pPr>
            <w:r w:rsidRPr="00DD47DF">
              <w:rPr>
                <w:rFonts w:cs="Calibri"/>
              </w:rPr>
              <w:t xml:space="preserve">CO </w:t>
            </w:r>
            <w:r w:rsidR="00CE0853" w:rsidRPr="00DD47DF">
              <w:rPr>
                <w:rFonts w:cs="Calibri"/>
              </w:rPr>
              <w:t>0</w:t>
            </w:r>
            <w:r w:rsidR="00194795" w:rsidRPr="00DD47DF">
              <w:rPr>
                <w:rFonts w:cs="Calibri"/>
              </w:rPr>
              <w:t>1</w:t>
            </w:r>
          </w:p>
        </w:tc>
        <w:tc>
          <w:tcPr>
            <w:tcW w:w="583" w:type="pct"/>
            <w:shd w:val="clear" w:color="auto" w:fill="auto"/>
            <w:tcMar>
              <w:top w:w="0" w:type="dxa"/>
              <w:left w:w="108" w:type="dxa"/>
              <w:bottom w:w="0" w:type="dxa"/>
              <w:right w:w="108" w:type="dxa"/>
            </w:tcMar>
            <w:vAlign w:val="center"/>
          </w:tcPr>
          <w:p w14:paraId="5F735F84" w14:textId="77777777" w:rsidR="00194795" w:rsidRPr="00DD47DF" w:rsidRDefault="00194795" w:rsidP="003D33BE">
            <w:pPr>
              <w:pStyle w:val="Tabulka"/>
              <w:rPr>
                <w:rFonts w:cs="Calibri"/>
              </w:rPr>
            </w:pPr>
            <w:r w:rsidRPr="00DD47DF">
              <w:rPr>
                <w:rFonts w:cs="Calibri"/>
              </w:rPr>
              <w:t>Počet podniků pobírajících podporu</w:t>
            </w:r>
          </w:p>
        </w:tc>
        <w:tc>
          <w:tcPr>
            <w:tcW w:w="491" w:type="pct"/>
            <w:shd w:val="clear" w:color="auto" w:fill="auto"/>
            <w:tcMar>
              <w:top w:w="0" w:type="dxa"/>
              <w:left w:w="108" w:type="dxa"/>
              <w:bottom w:w="0" w:type="dxa"/>
              <w:right w:w="108" w:type="dxa"/>
            </w:tcMar>
            <w:vAlign w:val="center"/>
          </w:tcPr>
          <w:p w14:paraId="68242491" w14:textId="77777777" w:rsidR="00194795" w:rsidRPr="00DD47DF" w:rsidRDefault="00194795" w:rsidP="003D33BE">
            <w:pPr>
              <w:pStyle w:val="Tabulka"/>
              <w:rPr>
                <w:rFonts w:cs="Calibri"/>
              </w:rPr>
            </w:pPr>
            <w:r w:rsidRPr="00DD47DF">
              <w:rPr>
                <w:rFonts w:cs="Calibri"/>
              </w:rPr>
              <w:t>Podniky</w:t>
            </w:r>
          </w:p>
        </w:tc>
        <w:tc>
          <w:tcPr>
            <w:tcW w:w="297" w:type="pct"/>
            <w:shd w:val="clear" w:color="auto" w:fill="auto"/>
            <w:tcMar>
              <w:top w:w="0" w:type="dxa"/>
              <w:left w:w="108" w:type="dxa"/>
              <w:bottom w:w="0" w:type="dxa"/>
              <w:right w:w="108" w:type="dxa"/>
            </w:tcMar>
            <w:vAlign w:val="center"/>
          </w:tcPr>
          <w:p w14:paraId="4D9BB1CE" w14:textId="77777777" w:rsidR="00194795" w:rsidRPr="00DD47DF" w:rsidRDefault="00194795" w:rsidP="003D33BE">
            <w:pPr>
              <w:pStyle w:val="Tabulka"/>
              <w:rPr>
                <w:rFonts w:cs="Calibri"/>
              </w:rPr>
            </w:pPr>
            <w:r w:rsidRPr="00DD47DF">
              <w:rPr>
                <w:rFonts w:cs="Calibri"/>
              </w:rPr>
              <w:t>EFRR</w:t>
            </w:r>
          </w:p>
        </w:tc>
        <w:tc>
          <w:tcPr>
            <w:tcW w:w="442" w:type="pct"/>
            <w:shd w:val="clear" w:color="auto" w:fill="auto"/>
            <w:tcMar>
              <w:top w:w="0" w:type="dxa"/>
              <w:left w:w="108" w:type="dxa"/>
              <w:bottom w:w="0" w:type="dxa"/>
              <w:right w:w="108" w:type="dxa"/>
            </w:tcMar>
            <w:vAlign w:val="center"/>
          </w:tcPr>
          <w:p w14:paraId="69011196" w14:textId="77777777" w:rsidR="00194795" w:rsidRPr="00DD47DF" w:rsidRDefault="00194795" w:rsidP="00295899">
            <w:pPr>
              <w:jc w:val="center"/>
              <w:rPr>
                <w:sz w:val="24"/>
                <w:szCs w:val="24"/>
              </w:rPr>
            </w:pPr>
            <w:r w:rsidRPr="00DD47DF">
              <w:rPr>
                <w:sz w:val="24"/>
                <w:szCs w:val="24"/>
              </w:rPr>
              <w:t>Méně rozvinuté regiony</w:t>
            </w:r>
          </w:p>
        </w:tc>
        <w:tc>
          <w:tcPr>
            <w:tcW w:w="443" w:type="pct"/>
            <w:vAlign w:val="center"/>
          </w:tcPr>
          <w:p w14:paraId="690C9AF4" w14:textId="77777777" w:rsidR="00194795" w:rsidRPr="00DD47DF" w:rsidRDefault="009B2E0D" w:rsidP="00DD63AD">
            <w:pPr>
              <w:jc w:val="center"/>
              <w:rPr>
                <w:sz w:val="24"/>
                <w:szCs w:val="24"/>
              </w:rPr>
            </w:pPr>
            <w:r w:rsidRPr="00DD47DF">
              <w:rPr>
                <w:sz w:val="24"/>
                <w:szCs w:val="24"/>
              </w:rPr>
              <w:t>4</w:t>
            </w:r>
            <w:r w:rsidR="00F243A9" w:rsidRPr="00DD47DF">
              <w:rPr>
                <w:sz w:val="24"/>
                <w:szCs w:val="24"/>
              </w:rPr>
              <w:t>2</w:t>
            </w:r>
            <w:r w:rsidRPr="00DD47DF">
              <w:rPr>
                <w:sz w:val="24"/>
                <w:szCs w:val="24"/>
              </w:rPr>
              <w:t>0</w:t>
            </w:r>
          </w:p>
        </w:tc>
        <w:tc>
          <w:tcPr>
            <w:tcW w:w="542" w:type="pct"/>
            <w:shd w:val="clear" w:color="auto" w:fill="auto"/>
            <w:tcMar>
              <w:top w:w="0" w:type="dxa"/>
              <w:left w:w="108" w:type="dxa"/>
              <w:bottom w:w="0" w:type="dxa"/>
              <w:right w:w="108" w:type="dxa"/>
            </w:tcMar>
            <w:vAlign w:val="center"/>
          </w:tcPr>
          <w:p w14:paraId="23A17F53" w14:textId="77777777" w:rsidR="00194795" w:rsidRPr="00DD47DF" w:rsidRDefault="009B2E0D" w:rsidP="00DD63AD">
            <w:pPr>
              <w:jc w:val="center"/>
              <w:rPr>
                <w:sz w:val="24"/>
                <w:szCs w:val="24"/>
              </w:rPr>
            </w:pPr>
            <w:r w:rsidRPr="00DD47DF">
              <w:rPr>
                <w:sz w:val="24"/>
                <w:szCs w:val="24"/>
              </w:rPr>
              <w:t xml:space="preserve">1 </w:t>
            </w:r>
            <w:r w:rsidR="00F243A9" w:rsidRPr="00DD47DF">
              <w:rPr>
                <w:sz w:val="24"/>
                <w:szCs w:val="24"/>
              </w:rPr>
              <w:t>9</w:t>
            </w:r>
            <w:r w:rsidRPr="00DD47DF">
              <w:rPr>
                <w:sz w:val="24"/>
                <w:szCs w:val="24"/>
              </w:rPr>
              <w:t>70</w:t>
            </w:r>
          </w:p>
        </w:tc>
        <w:tc>
          <w:tcPr>
            <w:tcW w:w="246" w:type="pct"/>
            <w:vAlign w:val="center"/>
          </w:tcPr>
          <w:p w14:paraId="059E5039" w14:textId="77777777" w:rsidR="00194795" w:rsidRPr="00DD47DF" w:rsidRDefault="00EA3203" w:rsidP="003D33BE">
            <w:pPr>
              <w:pStyle w:val="Tabulka"/>
              <w:rPr>
                <w:rFonts w:cs="Calibri"/>
              </w:rPr>
            </w:pPr>
            <w:r>
              <w:rPr>
                <w:rFonts w:cs="Calibri"/>
              </w:rPr>
              <w:t>MS2014+</w:t>
            </w:r>
          </w:p>
        </w:tc>
        <w:tc>
          <w:tcPr>
            <w:tcW w:w="844" w:type="pct"/>
            <w:vAlign w:val="center"/>
          </w:tcPr>
          <w:p w14:paraId="25784F9C" w14:textId="77777777" w:rsidR="00194795" w:rsidRPr="00DD47DF" w:rsidRDefault="00194795" w:rsidP="00D16DE9">
            <w:pPr>
              <w:pStyle w:val="Tabulka"/>
              <w:rPr>
                <w:rFonts w:cs="Calibri"/>
              </w:rPr>
            </w:pPr>
            <w:r w:rsidRPr="00DD47DF">
              <w:rPr>
                <w:rFonts w:cs="Calibri"/>
              </w:rPr>
              <w:t>Indikátor sleduje počet</w:t>
            </w:r>
            <w:r w:rsidR="00D16DE9" w:rsidRPr="00DD47DF">
              <w:rPr>
                <w:rFonts w:cs="Calibri"/>
              </w:rPr>
              <w:t xml:space="preserve"> </w:t>
            </w:r>
            <w:r w:rsidRPr="00DD47DF">
              <w:rPr>
                <w:rFonts w:cs="Calibri"/>
              </w:rPr>
              <w:t>podpořených firem a pokrývá finančně</w:t>
            </w:r>
            <w:r w:rsidR="00D16DE9" w:rsidRPr="00DD47DF">
              <w:rPr>
                <w:rFonts w:cs="Calibri"/>
              </w:rPr>
              <w:t xml:space="preserve"> </w:t>
            </w:r>
            <w:r w:rsidRPr="00DD47DF">
              <w:rPr>
                <w:rFonts w:cs="Calibri"/>
              </w:rPr>
              <w:t>nejobjemnější část intervence</w:t>
            </w:r>
            <w:r w:rsidR="00D16DE9" w:rsidRPr="00DD47DF">
              <w:rPr>
                <w:rFonts w:cs="Calibri"/>
              </w:rPr>
              <w:t xml:space="preserve"> </w:t>
            </w:r>
            <w:r w:rsidRPr="00DD47DF">
              <w:rPr>
                <w:rFonts w:cs="Calibri"/>
              </w:rPr>
              <w:t xml:space="preserve">v rámci prioritní osy 1. </w:t>
            </w:r>
            <w:r w:rsidR="00104BB5" w:rsidRPr="00DD47DF">
              <w:rPr>
                <w:rFonts w:cs="Calibri"/>
              </w:rPr>
              <w:t xml:space="preserve">Rozhodujícím okamžikem pro započítání hodnoty milníku bude počet podpořených firem s ukončenou fyzickou realizací tzn. dosažením </w:t>
            </w:r>
            <w:r w:rsidR="00104BB5" w:rsidRPr="00DD47DF">
              <w:rPr>
                <w:rFonts w:cs="Calibri"/>
              </w:rPr>
              <w:lastRenderedPageBreak/>
              <w:t>cílů projektů</w:t>
            </w:r>
            <w:r w:rsidRPr="00DD47DF">
              <w:rPr>
                <w:rFonts w:cs="Calibri"/>
              </w:rPr>
              <w:t>.</w:t>
            </w:r>
          </w:p>
        </w:tc>
      </w:tr>
      <w:tr w:rsidR="00D16DE9" w:rsidRPr="00DD47DF" w14:paraId="79F64B35" w14:textId="77777777">
        <w:tc>
          <w:tcPr>
            <w:tcW w:w="325" w:type="pct"/>
            <w:vAlign w:val="center"/>
          </w:tcPr>
          <w:p w14:paraId="024D7EB4" w14:textId="77777777" w:rsidR="00194795" w:rsidRPr="00DD47DF" w:rsidRDefault="00194795" w:rsidP="00D16DE9">
            <w:pPr>
              <w:pStyle w:val="Tabulka"/>
              <w:keepNext/>
              <w:keepLines/>
              <w:rPr>
                <w:rFonts w:cs="Calibri"/>
              </w:rPr>
            </w:pPr>
            <w:r w:rsidRPr="00DD47DF">
              <w:rPr>
                <w:rFonts w:cs="Calibri"/>
              </w:rPr>
              <w:lastRenderedPageBreak/>
              <w:t>PO 1</w:t>
            </w:r>
          </w:p>
        </w:tc>
        <w:tc>
          <w:tcPr>
            <w:tcW w:w="571" w:type="pct"/>
            <w:vAlign w:val="center"/>
          </w:tcPr>
          <w:p w14:paraId="72026E5E" w14:textId="77777777" w:rsidR="00194795" w:rsidRPr="00DD47DF" w:rsidRDefault="00194795" w:rsidP="00D16DE9">
            <w:pPr>
              <w:pStyle w:val="Tabulka"/>
              <w:keepNext/>
              <w:keepLines/>
              <w:rPr>
                <w:rFonts w:cs="Calibri"/>
              </w:rPr>
            </w:pPr>
            <w:r w:rsidRPr="00DD47DF">
              <w:rPr>
                <w:rFonts w:cs="Calibri"/>
              </w:rPr>
              <w:t>výstupový</w:t>
            </w:r>
          </w:p>
        </w:tc>
        <w:tc>
          <w:tcPr>
            <w:tcW w:w="216" w:type="pct"/>
            <w:vAlign w:val="center"/>
          </w:tcPr>
          <w:p w14:paraId="62510815" w14:textId="43455EED" w:rsidR="00194795" w:rsidRPr="00DD47DF" w:rsidRDefault="00C75691" w:rsidP="00D16DE9">
            <w:pPr>
              <w:pStyle w:val="Tabulka"/>
              <w:keepNext/>
              <w:keepLines/>
              <w:rPr>
                <w:rFonts w:cs="Calibri"/>
              </w:rPr>
            </w:pPr>
            <w:r w:rsidRPr="00DD47DF">
              <w:rPr>
                <w:rFonts w:cs="Calibri"/>
              </w:rPr>
              <w:t xml:space="preserve">CO </w:t>
            </w:r>
            <w:r w:rsidR="00194795" w:rsidRPr="00DD47DF">
              <w:rPr>
                <w:rFonts w:cs="Calibri"/>
              </w:rPr>
              <w:t>26</w:t>
            </w:r>
          </w:p>
        </w:tc>
        <w:tc>
          <w:tcPr>
            <w:tcW w:w="583" w:type="pct"/>
            <w:shd w:val="clear" w:color="auto" w:fill="auto"/>
            <w:tcMar>
              <w:top w:w="0" w:type="dxa"/>
              <w:left w:w="108" w:type="dxa"/>
              <w:bottom w:w="0" w:type="dxa"/>
              <w:right w:w="108" w:type="dxa"/>
            </w:tcMar>
            <w:vAlign w:val="center"/>
          </w:tcPr>
          <w:p w14:paraId="59AFE8D1" w14:textId="77777777" w:rsidR="00194795" w:rsidRPr="00DD47DF" w:rsidRDefault="00194795" w:rsidP="004126CC">
            <w:pPr>
              <w:pStyle w:val="Tabulka"/>
              <w:keepNext/>
              <w:keepLines/>
              <w:rPr>
                <w:rFonts w:cs="Calibri"/>
              </w:rPr>
            </w:pPr>
            <w:r w:rsidRPr="00DD47DF">
              <w:rPr>
                <w:rFonts w:cs="Calibri"/>
              </w:rPr>
              <w:t>Počet podniků spolupracujících s výzkumnými institucemi</w:t>
            </w:r>
          </w:p>
        </w:tc>
        <w:tc>
          <w:tcPr>
            <w:tcW w:w="491" w:type="pct"/>
            <w:shd w:val="clear" w:color="auto" w:fill="auto"/>
            <w:tcMar>
              <w:top w:w="0" w:type="dxa"/>
              <w:left w:w="108" w:type="dxa"/>
              <w:bottom w:w="0" w:type="dxa"/>
              <w:right w:w="108" w:type="dxa"/>
            </w:tcMar>
            <w:vAlign w:val="center"/>
          </w:tcPr>
          <w:p w14:paraId="4C8375F0" w14:textId="77777777" w:rsidR="00194795" w:rsidRPr="00DD47DF" w:rsidRDefault="00194795" w:rsidP="004126CC">
            <w:pPr>
              <w:pStyle w:val="Tabulka"/>
              <w:keepNext/>
              <w:keepLines/>
              <w:rPr>
                <w:rFonts w:cs="Calibri"/>
              </w:rPr>
            </w:pPr>
            <w:r w:rsidRPr="00DD47DF">
              <w:rPr>
                <w:rFonts w:cs="Calibri"/>
              </w:rPr>
              <w:t>Podniky</w:t>
            </w:r>
          </w:p>
        </w:tc>
        <w:tc>
          <w:tcPr>
            <w:tcW w:w="297" w:type="pct"/>
            <w:shd w:val="clear" w:color="auto" w:fill="auto"/>
            <w:tcMar>
              <w:top w:w="0" w:type="dxa"/>
              <w:left w:w="108" w:type="dxa"/>
              <w:bottom w:w="0" w:type="dxa"/>
              <w:right w:w="108" w:type="dxa"/>
            </w:tcMar>
            <w:vAlign w:val="center"/>
          </w:tcPr>
          <w:p w14:paraId="6A50541F" w14:textId="77777777" w:rsidR="00194795" w:rsidRPr="00DD47DF" w:rsidRDefault="00194795" w:rsidP="004126CC">
            <w:pPr>
              <w:pStyle w:val="Tabulka"/>
              <w:keepNext/>
              <w:keepLines/>
              <w:rPr>
                <w:rFonts w:cs="Calibri"/>
              </w:rPr>
            </w:pPr>
            <w:r w:rsidRPr="00DD47DF">
              <w:rPr>
                <w:rFonts w:cs="Calibri"/>
              </w:rPr>
              <w:t>EFRR</w:t>
            </w:r>
          </w:p>
        </w:tc>
        <w:tc>
          <w:tcPr>
            <w:tcW w:w="442" w:type="pct"/>
            <w:shd w:val="clear" w:color="auto" w:fill="auto"/>
            <w:tcMar>
              <w:top w:w="0" w:type="dxa"/>
              <w:left w:w="108" w:type="dxa"/>
              <w:bottom w:w="0" w:type="dxa"/>
              <w:right w:w="108" w:type="dxa"/>
            </w:tcMar>
            <w:vAlign w:val="center"/>
          </w:tcPr>
          <w:p w14:paraId="26B82498" w14:textId="77777777" w:rsidR="00194795" w:rsidRPr="00DD47DF" w:rsidRDefault="00194795" w:rsidP="004126CC">
            <w:pPr>
              <w:keepNext/>
              <w:keepLines/>
              <w:jc w:val="center"/>
              <w:rPr>
                <w:sz w:val="24"/>
                <w:szCs w:val="24"/>
              </w:rPr>
            </w:pPr>
            <w:r w:rsidRPr="00DD47DF">
              <w:rPr>
                <w:sz w:val="24"/>
                <w:szCs w:val="24"/>
              </w:rPr>
              <w:t>Méně rozvinuté regiony</w:t>
            </w:r>
          </w:p>
        </w:tc>
        <w:tc>
          <w:tcPr>
            <w:tcW w:w="443" w:type="pct"/>
            <w:vAlign w:val="center"/>
          </w:tcPr>
          <w:p w14:paraId="0160B450" w14:textId="66001E80" w:rsidR="00194795" w:rsidRPr="00DD47DF" w:rsidRDefault="00417D94" w:rsidP="004126CC">
            <w:pPr>
              <w:keepNext/>
              <w:keepLines/>
              <w:jc w:val="center"/>
              <w:rPr>
                <w:sz w:val="24"/>
                <w:szCs w:val="24"/>
              </w:rPr>
            </w:pPr>
            <w:r>
              <w:rPr>
                <w:sz w:val="24"/>
                <w:szCs w:val="24"/>
              </w:rPr>
              <w:t>3</w:t>
            </w:r>
            <w:r w:rsidR="00194795" w:rsidRPr="00DD47DF">
              <w:rPr>
                <w:sz w:val="24"/>
                <w:szCs w:val="24"/>
              </w:rPr>
              <w:t>50</w:t>
            </w:r>
          </w:p>
        </w:tc>
        <w:tc>
          <w:tcPr>
            <w:tcW w:w="542" w:type="pct"/>
            <w:shd w:val="clear" w:color="auto" w:fill="auto"/>
            <w:tcMar>
              <w:top w:w="0" w:type="dxa"/>
              <w:left w:w="108" w:type="dxa"/>
              <w:bottom w:w="0" w:type="dxa"/>
              <w:right w:w="108" w:type="dxa"/>
            </w:tcMar>
            <w:vAlign w:val="center"/>
          </w:tcPr>
          <w:p w14:paraId="75F21369" w14:textId="2D9F11B5" w:rsidR="00194795" w:rsidRPr="00DD47DF" w:rsidRDefault="00194795" w:rsidP="004126CC">
            <w:pPr>
              <w:keepNext/>
              <w:keepLines/>
              <w:jc w:val="center"/>
              <w:rPr>
                <w:sz w:val="24"/>
                <w:szCs w:val="24"/>
              </w:rPr>
            </w:pPr>
            <w:r w:rsidRPr="00DD47DF">
              <w:rPr>
                <w:sz w:val="24"/>
                <w:szCs w:val="24"/>
              </w:rPr>
              <w:t xml:space="preserve">2 </w:t>
            </w:r>
            <w:r w:rsidR="00417D94">
              <w:rPr>
                <w:sz w:val="24"/>
                <w:szCs w:val="24"/>
              </w:rPr>
              <w:t>200</w:t>
            </w:r>
          </w:p>
        </w:tc>
        <w:tc>
          <w:tcPr>
            <w:tcW w:w="246" w:type="pct"/>
            <w:vAlign w:val="center"/>
          </w:tcPr>
          <w:p w14:paraId="62DFA5BE" w14:textId="77777777" w:rsidR="00194795" w:rsidRPr="00DD47DF" w:rsidRDefault="00194795" w:rsidP="004126CC">
            <w:pPr>
              <w:pStyle w:val="Tabulka"/>
              <w:keepNext/>
              <w:keepLines/>
              <w:rPr>
                <w:rFonts w:cs="Calibri"/>
              </w:rPr>
            </w:pPr>
            <w:r w:rsidRPr="00DD47DF">
              <w:rPr>
                <w:rFonts w:cs="Calibri"/>
              </w:rPr>
              <w:t>Ž/P</w:t>
            </w:r>
          </w:p>
        </w:tc>
        <w:tc>
          <w:tcPr>
            <w:tcW w:w="844" w:type="pct"/>
            <w:vAlign w:val="center"/>
          </w:tcPr>
          <w:p w14:paraId="38E6667B" w14:textId="77777777" w:rsidR="00194795" w:rsidRPr="00DD47DF" w:rsidRDefault="00194795" w:rsidP="00D16DE9">
            <w:pPr>
              <w:pStyle w:val="Tabulka"/>
              <w:keepNext/>
              <w:keepLines/>
              <w:rPr>
                <w:rFonts w:cs="Calibri"/>
              </w:rPr>
            </w:pPr>
            <w:r w:rsidRPr="00DD47DF">
              <w:rPr>
                <w:rFonts w:cs="Calibri"/>
              </w:rPr>
              <w:t>Indikátor pokrývá rozhodující</w:t>
            </w:r>
            <w:r w:rsidR="00D16DE9" w:rsidRPr="00DD47DF">
              <w:rPr>
                <w:rFonts w:cs="Calibri"/>
              </w:rPr>
              <w:t xml:space="preserve"> </w:t>
            </w:r>
            <w:r w:rsidRPr="00DD47DF">
              <w:rPr>
                <w:rFonts w:cs="Calibri"/>
              </w:rPr>
              <w:t xml:space="preserve">část projektů naplňující SC </w:t>
            </w:r>
            <w:r w:rsidR="00D16DE9" w:rsidRPr="00DD47DF">
              <w:rPr>
                <w:rFonts w:cs="Calibri"/>
              </w:rPr>
              <w:t>p</w:t>
            </w:r>
            <w:r w:rsidRPr="00DD47DF">
              <w:rPr>
                <w:rFonts w:cs="Calibri"/>
              </w:rPr>
              <w:t>rioritní</w:t>
            </w:r>
            <w:r w:rsidR="00D16DE9" w:rsidRPr="00DD47DF">
              <w:rPr>
                <w:rFonts w:cs="Calibri"/>
              </w:rPr>
              <w:t xml:space="preserve"> </w:t>
            </w:r>
            <w:r w:rsidRPr="00DD47DF">
              <w:rPr>
                <w:rFonts w:cs="Calibri"/>
              </w:rPr>
              <w:t>osy</w:t>
            </w:r>
            <w:r w:rsidR="00D16DE9" w:rsidRPr="00DD47DF">
              <w:rPr>
                <w:rFonts w:cs="Calibri"/>
              </w:rPr>
              <w:t xml:space="preserve"> </w:t>
            </w:r>
            <w:r w:rsidRPr="00DD47DF">
              <w:rPr>
                <w:rFonts w:cs="Calibri"/>
              </w:rPr>
              <w:t>1. Je</w:t>
            </w:r>
            <w:r w:rsidR="00D16DE9" w:rsidRPr="00DD47DF">
              <w:rPr>
                <w:rFonts w:cs="Calibri"/>
              </w:rPr>
              <w:t xml:space="preserve"> </w:t>
            </w:r>
            <w:r w:rsidRPr="00DD47DF">
              <w:rPr>
                <w:rFonts w:cs="Calibri"/>
              </w:rPr>
              <w:t>společným indikátorem v</w:t>
            </w:r>
            <w:r w:rsidR="00D16DE9" w:rsidRPr="00DD47DF">
              <w:rPr>
                <w:rFonts w:cs="Calibri"/>
              </w:rPr>
              <w:t xml:space="preserve"> </w:t>
            </w:r>
            <w:r w:rsidRPr="00DD47DF">
              <w:rPr>
                <w:rFonts w:cs="Calibri"/>
              </w:rPr>
              <w:t>souladu s nařízením ERDF.</w:t>
            </w:r>
          </w:p>
        </w:tc>
      </w:tr>
    </w:tbl>
    <w:p w14:paraId="78B017E0" w14:textId="77777777" w:rsidR="004126CC" w:rsidRPr="00DD47DF" w:rsidRDefault="00606989" w:rsidP="00606989">
      <w:pPr>
        <w:pStyle w:val="Titulek"/>
      </w:pPr>
      <w:r w:rsidRPr="00DD47DF">
        <w:t>Další kvalitativní informace o stanovení výkonnostního rámce</w:t>
      </w:r>
    </w:p>
    <w:p w14:paraId="1690F4AC" w14:textId="77777777" w:rsidR="00B523F1" w:rsidRPr="00DD47DF" w:rsidRDefault="00B523F1" w:rsidP="00B523F1">
      <w:pPr>
        <w:pStyle w:val="Standardntext"/>
      </w:pPr>
      <w:r w:rsidRPr="00DD47DF">
        <w:t>Pro OP PIK byly stanoveny hodnoty milníků pro rok 2018 a 2023 (finanční ukazatele „certifikované finanční prostředky“</w:t>
      </w:r>
      <w:r w:rsidR="00282A6A" w:rsidRPr="00DD47DF">
        <w:t xml:space="preserve"> a </w:t>
      </w:r>
      <w:r w:rsidR="00037695" w:rsidRPr="00DD47DF">
        <w:t>ukazatele výstupů).</w:t>
      </w:r>
    </w:p>
    <w:p w14:paraId="52072D8B" w14:textId="77777777" w:rsidR="00606989" w:rsidRPr="00DD47DF" w:rsidRDefault="00606989" w:rsidP="001B0B94">
      <w:pPr>
        <w:pStyle w:val="Standardntext"/>
      </w:pPr>
      <w:r w:rsidRPr="00DD47DF">
        <w:t xml:space="preserve">Při kvantifikaci milníků </w:t>
      </w:r>
      <w:r w:rsidRPr="00DD47DF">
        <w:rPr>
          <w:b/>
          <w:bCs/>
        </w:rPr>
        <w:t>pro rok 2018</w:t>
      </w:r>
      <w:r w:rsidRPr="00DD47DF">
        <w:t xml:space="preserve"> byly zohledněny dále uvedené klíčové předpoklady:</w:t>
      </w:r>
    </w:p>
    <w:p w14:paraId="786B1D23" w14:textId="77777777" w:rsidR="00EE5FD7" w:rsidRPr="00DD47DF" w:rsidRDefault="00606989" w:rsidP="00DA3512">
      <w:pPr>
        <w:pStyle w:val="Standardntext"/>
        <w:numPr>
          <w:ilvl w:val="0"/>
          <w:numId w:val="81"/>
        </w:numPr>
      </w:pPr>
      <w:r w:rsidRPr="00DD47DF">
        <w:t>Zohledněn je aktuální finanční plán OP PIK</w:t>
      </w:r>
      <w:r w:rsidR="00C74346" w:rsidRPr="00DD47DF">
        <w:t>;</w:t>
      </w:r>
    </w:p>
    <w:p w14:paraId="4049BA48" w14:textId="77777777" w:rsidR="00606989" w:rsidRPr="00DD47DF" w:rsidRDefault="00606989" w:rsidP="00DA3512">
      <w:pPr>
        <w:pStyle w:val="Standardntext"/>
        <w:numPr>
          <w:ilvl w:val="0"/>
          <w:numId w:val="81"/>
        </w:numPr>
      </w:pPr>
      <w:r w:rsidRPr="00DD47DF">
        <w:t>Při stanovení milníku bylo v maximální možné míře vycházeno ze zkušeností s OPPI;</w:t>
      </w:r>
    </w:p>
    <w:p w14:paraId="677C2BA7" w14:textId="77777777" w:rsidR="00606989" w:rsidRPr="00DD47DF" w:rsidRDefault="009B5DCA" w:rsidP="00DA3512">
      <w:pPr>
        <w:pStyle w:val="Standardntext"/>
        <w:numPr>
          <w:ilvl w:val="0"/>
          <w:numId w:val="81"/>
        </w:numPr>
      </w:pPr>
      <w:r w:rsidRPr="00DD47DF">
        <w:t>První výzvy budou vyhlášeny pravděpodobně nejdříve až ve 2.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až ve 3. čtvrtletí 2015</w:t>
      </w:r>
      <w:r w:rsidR="00606989" w:rsidRPr="00DD47DF">
        <w:t>;</w:t>
      </w:r>
    </w:p>
    <w:p w14:paraId="21A39B28" w14:textId="77777777" w:rsidR="00606989" w:rsidRPr="00DD47DF" w:rsidRDefault="009B5DCA" w:rsidP="00DA3512">
      <w:pPr>
        <w:pStyle w:val="Standardntext"/>
        <w:numPr>
          <w:ilvl w:val="0"/>
          <w:numId w:val="81"/>
        </w:numPr>
      </w:pPr>
      <w:r w:rsidRPr="00DD47DF">
        <w:t>Při možném předpokladu, že projekty budou dvouleté, to znamená, že první z nich ukončí realizaci nejdříve koncem roku 2017 a finanční prostředky tak budou předkládány k certifikaci až v průběhu roku 2018 (u delších projektů však až počátkem roku 2019)</w:t>
      </w:r>
      <w:r w:rsidR="00606989" w:rsidRPr="00DD47DF">
        <w:t xml:space="preserve">; </w:t>
      </w:r>
    </w:p>
    <w:p w14:paraId="1C84202E" w14:textId="77777777" w:rsidR="009B5DCA" w:rsidRPr="00DD47DF" w:rsidRDefault="009B5DCA" w:rsidP="00DA3512">
      <w:pPr>
        <w:pStyle w:val="Standardntext"/>
        <w:numPr>
          <w:ilvl w:val="0"/>
          <w:numId w:val="81"/>
        </w:numPr>
      </w:pPr>
      <w:r w:rsidRPr="00DD47DF">
        <w:t>Není započítána výkonnostní rezerva stanovená ŘO OP PIK na roky 2014 a 2015;</w:t>
      </w:r>
    </w:p>
    <w:p w14:paraId="13D3459A" w14:textId="77777777" w:rsidR="00606989" w:rsidRPr="00DD47DF" w:rsidRDefault="00606989" w:rsidP="00DA3512">
      <w:pPr>
        <w:pStyle w:val="Standardntext"/>
        <w:numPr>
          <w:ilvl w:val="0"/>
          <w:numId w:val="81"/>
        </w:numPr>
      </w:pPr>
      <w:r w:rsidRPr="00DD47DF">
        <w:t>Ukazatelé výstupů stanovené ve výkonnostním rámci odpovídají více než 50 % finančního přídělu na prioritu (v souladu se čl. 5 Prováděcího nařízení komise (EU) č. 215/2014);</w:t>
      </w:r>
    </w:p>
    <w:p w14:paraId="2B21E3F6" w14:textId="77777777" w:rsidR="00606989" w:rsidRPr="00DD47DF" w:rsidRDefault="00606989" w:rsidP="00DA3512">
      <w:pPr>
        <w:pStyle w:val="Standardntext"/>
        <w:numPr>
          <w:ilvl w:val="0"/>
          <w:numId w:val="81"/>
        </w:numPr>
      </w:pPr>
      <w:r w:rsidRPr="00DD47DF">
        <w:t>Pravidlo n+3, na základě kterého je nutné vzít v úvahu, že na konci roku 2018 by měla být vyčerpána alokace let 2014, 2015;</w:t>
      </w:r>
    </w:p>
    <w:p w14:paraId="4E3324FD" w14:textId="77777777" w:rsidR="00EE5FD7" w:rsidRPr="00DD47DF" w:rsidRDefault="00606989" w:rsidP="00DA3512">
      <w:pPr>
        <w:pStyle w:val="Standardntext"/>
        <w:numPr>
          <w:ilvl w:val="0"/>
          <w:numId w:val="81"/>
        </w:numPr>
        <w:rPr>
          <w:strike/>
        </w:rPr>
      </w:pPr>
      <w:r w:rsidRPr="00DD47DF">
        <w:t>Nové typy aktivit</w:t>
      </w:r>
      <w:r w:rsidR="00282A6A" w:rsidRPr="00DD47DF">
        <w:t xml:space="preserve"> v této prioritní ose </w:t>
      </w:r>
      <w:r w:rsidRPr="00DD47DF">
        <w:t>OP PIK</w:t>
      </w:r>
      <w:r w:rsidR="00282A6A" w:rsidRPr="00DD47DF">
        <w:t>;</w:t>
      </w:r>
    </w:p>
    <w:p w14:paraId="1B1EE8D6" w14:textId="77777777" w:rsidR="00606989" w:rsidRPr="00DD47DF" w:rsidRDefault="00606989" w:rsidP="00DA3512">
      <w:pPr>
        <w:pStyle w:val="Standardntext"/>
        <w:numPr>
          <w:ilvl w:val="0"/>
          <w:numId w:val="82"/>
        </w:numPr>
      </w:pPr>
      <w:r w:rsidRPr="00DD47DF">
        <w:t>Širší portfolio možných příjemců – s ohledem na možnou rozdílnou flexibilitu některých subjektů při přípravě a realizaci projektu, lze tak předpokládat pomalejší rozjezd některých aktivit</w:t>
      </w:r>
      <w:r w:rsidR="00A81FD6" w:rsidRPr="00DD47DF">
        <w:t>;</w:t>
      </w:r>
    </w:p>
    <w:p w14:paraId="0BD714F0" w14:textId="77777777" w:rsidR="00A81FD6" w:rsidRPr="00DD47DF" w:rsidRDefault="00A81FD6" w:rsidP="00DA3512">
      <w:pPr>
        <w:pStyle w:val="Standardntext"/>
        <w:numPr>
          <w:ilvl w:val="0"/>
          <w:numId w:val="82"/>
        </w:numPr>
      </w:pPr>
      <w:r w:rsidRPr="00DD47DF">
        <w:lastRenderedPageBreak/>
        <w:t>Výše alokace na jednotlivé aktivity SC včetně předpokládané výše veřejné podpory;</w:t>
      </w:r>
    </w:p>
    <w:p w14:paraId="554B01B2" w14:textId="77777777" w:rsidR="00A81FD6" w:rsidRPr="00DD47DF" w:rsidRDefault="00A81FD6" w:rsidP="00DA3512">
      <w:pPr>
        <w:pStyle w:val="Odstavecseseznamem1"/>
        <w:numPr>
          <w:ilvl w:val="0"/>
          <w:numId w:val="82"/>
        </w:numPr>
        <w:overflowPunct/>
        <w:autoSpaceDE/>
        <w:autoSpaceDN/>
        <w:adjustRightInd/>
        <w:contextualSpacing w:val="0"/>
        <w:jc w:val="both"/>
        <w:textAlignment w:val="auto"/>
      </w:pPr>
      <w:r w:rsidRPr="00DD47DF">
        <w:rPr>
          <w:sz w:val="24"/>
          <w:szCs w:val="24"/>
        </w:rPr>
        <w:t>Předpokládaná délka projektů v rámci jednotlivých aktivit – nejčastěji 2 – 3 roky.</w:t>
      </w:r>
    </w:p>
    <w:p w14:paraId="398CE095" w14:textId="77777777" w:rsidR="00A81FD6" w:rsidRPr="00DD47DF" w:rsidRDefault="00A81FD6" w:rsidP="00466CFC">
      <w:pPr>
        <w:pStyle w:val="Odstavecseseznamem1"/>
        <w:overflowPunct/>
        <w:autoSpaceDE/>
        <w:autoSpaceDN/>
        <w:adjustRightInd/>
        <w:contextualSpacing w:val="0"/>
        <w:jc w:val="both"/>
        <w:textAlignment w:val="auto"/>
      </w:pPr>
    </w:p>
    <w:p w14:paraId="6C908294" w14:textId="77777777" w:rsidR="00A81FD6" w:rsidRPr="00DD47DF" w:rsidRDefault="00A81FD6" w:rsidP="00DA3512">
      <w:pPr>
        <w:pStyle w:val="Odstavecseseznamem1"/>
        <w:numPr>
          <w:ilvl w:val="0"/>
          <w:numId w:val="82"/>
        </w:numPr>
        <w:overflowPunct/>
        <w:autoSpaceDE/>
        <w:autoSpaceDN/>
        <w:adjustRightInd/>
        <w:contextualSpacing w:val="0"/>
        <w:jc w:val="both"/>
        <w:textAlignment w:val="auto"/>
      </w:pPr>
      <w:r w:rsidRPr="00DD47DF">
        <w:rPr>
          <w:i/>
          <w:sz w:val="24"/>
          <w:szCs w:val="24"/>
        </w:rPr>
        <w:t>Milník</w:t>
      </w:r>
      <w:r w:rsidRPr="00DD47DF">
        <w:rPr>
          <w:i/>
          <w:sz w:val="24"/>
          <w:szCs w:val="24"/>
          <w:vertAlign w:val="superscript"/>
        </w:rPr>
        <w:t>2018 PO1</w:t>
      </w:r>
      <w:r w:rsidRPr="00DD47DF">
        <w:rPr>
          <w:i/>
          <w:sz w:val="24"/>
          <w:szCs w:val="24"/>
        </w:rPr>
        <w:t>= (celkové způsobilé výdaje na PO 1 v roce 2014 + celkové způsobilé výdaje na PO 1 v roce 2015) – (10% finančních prostředků ERDF na PO 1 + podíl výkonnostní rezervy za roky 2014 a 2015 na PO 1)</w:t>
      </w:r>
    </w:p>
    <w:p w14:paraId="7EEE486B" w14:textId="77777777" w:rsidR="00A81FD6" w:rsidRPr="00DD47DF" w:rsidRDefault="00A81FD6" w:rsidP="00A81FD6">
      <w:pPr>
        <w:pStyle w:val="Odstavecseseznamem1"/>
        <w:overflowPunct/>
        <w:autoSpaceDE/>
        <w:autoSpaceDN/>
        <w:adjustRightInd/>
        <w:contextualSpacing w:val="0"/>
        <w:jc w:val="both"/>
        <w:textAlignment w:val="auto"/>
        <w:rPr>
          <w:sz w:val="24"/>
          <w:szCs w:val="24"/>
        </w:rPr>
      </w:pPr>
    </w:p>
    <w:p w14:paraId="165D3D5D" w14:textId="77777777" w:rsidR="00606989" w:rsidRPr="00DD47DF" w:rsidRDefault="00606989" w:rsidP="001B0B94">
      <w:pPr>
        <w:pStyle w:val="Standardntext"/>
      </w:pPr>
      <w:r w:rsidRPr="00DD47DF">
        <w:t xml:space="preserve">Při kvantifikaci milníků </w:t>
      </w:r>
      <w:r w:rsidRPr="00DD47DF">
        <w:rPr>
          <w:b/>
          <w:bCs/>
        </w:rPr>
        <w:t>pro rok 2023</w:t>
      </w:r>
      <w:r w:rsidRPr="00DD47DF">
        <w:t xml:space="preserve"> byly zohledněny ještě dále uvedené klíčové předpoklady:</w:t>
      </w:r>
    </w:p>
    <w:p w14:paraId="1207E271" w14:textId="77777777" w:rsidR="00606989" w:rsidRPr="00DD47DF" w:rsidRDefault="00606989" w:rsidP="00DA3512">
      <w:pPr>
        <w:pStyle w:val="Standardntext"/>
        <w:numPr>
          <w:ilvl w:val="0"/>
          <w:numId w:val="83"/>
        </w:numPr>
      </w:pPr>
      <w:r w:rsidRPr="00DD47DF">
        <w:t>Klíčovým předpokladem je naplnění stanovených cílů programu v jednotlivých prioritních osách (finanční i věcné plnění);</w:t>
      </w:r>
    </w:p>
    <w:p w14:paraId="5386D1BB" w14:textId="77777777" w:rsidR="00606989" w:rsidRPr="00DD47DF" w:rsidRDefault="00606989" w:rsidP="00DA3512">
      <w:pPr>
        <w:pStyle w:val="Standardntext"/>
        <w:numPr>
          <w:ilvl w:val="0"/>
          <w:numId w:val="83"/>
        </w:numPr>
      </w:pPr>
      <w:r w:rsidRPr="00DD47DF">
        <w:t xml:space="preserve">Započítána je již i výkonnostní rezerva. </w:t>
      </w:r>
    </w:p>
    <w:p w14:paraId="7628D41D" w14:textId="77777777" w:rsidR="00606989" w:rsidRPr="00DD47DF" w:rsidRDefault="00606989" w:rsidP="00314D81">
      <w:pPr>
        <w:pStyle w:val="Standardntext"/>
      </w:pPr>
      <w:r w:rsidRPr="00DD47DF">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w:t>
      </w:r>
      <w:r w:rsidR="00E54216" w:rsidRPr="00DD47DF">
        <w:t>. Téma výkonnostní rezervy a milníků je dále rozpracováno v</w:t>
      </w:r>
      <w:r w:rsidR="00DD549F" w:rsidRPr="00DD47DF">
        <w:t xml:space="preserve"> Nepovinné </w:t>
      </w:r>
      <w:r w:rsidR="00E54216" w:rsidRPr="00DD47DF">
        <w:t xml:space="preserve">příloze </w:t>
      </w:r>
      <w:r w:rsidR="00DD549F" w:rsidRPr="00DD47DF">
        <w:t xml:space="preserve">č. </w:t>
      </w:r>
      <w:r w:rsidR="00E54216" w:rsidRPr="00DD47DF">
        <w:t xml:space="preserve">3. </w:t>
      </w:r>
    </w:p>
    <w:p w14:paraId="175E4CEE" w14:textId="77777777" w:rsidR="00606989" w:rsidRPr="00DD47DF" w:rsidRDefault="00606989" w:rsidP="004126CC">
      <w:pPr>
        <w:pStyle w:val="kapitola2A0"/>
        <w:numPr>
          <w:ilvl w:val="0"/>
          <w:numId w:val="0"/>
        </w:numPr>
        <w:rPr>
          <w:color w:val="auto"/>
        </w:rPr>
        <w:sectPr w:rsidR="00606989" w:rsidRPr="00DD47DF" w:rsidSect="004126CC">
          <w:headerReference w:type="default" r:id="rId31"/>
          <w:footerReference w:type="default" r:id="rId32"/>
          <w:pgSz w:w="16838" w:h="11906" w:orient="landscape"/>
          <w:pgMar w:top="1418" w:right="1418" w:bottom="1276" w:left="1276" w:header="709" w:footer="709" w:gutter="0"/>
          <w:cols w:space="708"/>
          <w:docGrid w:linePitch="272"/>
        </w:sectPr>
      </w:pPr>
    </w:p>
    <w:p w14:paraId="17BA0B9F" w14:textId="77777777" w:rsidR="00DB73B5" w:rsidRPr="00DD47DF" w:rsidRDefault="00636BAA" w:rsidP="00441D67">
      <w:pPr>
        <w:pStyle w:val="kapitola2A0"/>
        <w:numPr>
          <w:ilvl w:val="2"/>
          <w:numId w:val="128"/>
        </w:numPr>
      </w:pPr>
      <w:bookmarkStart w:id="36" w:name="_Toc506884987"/>
      <w:r w:rsidRPr="00DD47DF">
        <w:lastRenderedPageBreak/>
        <w:t>K</w:t>
      </w:r>
      <w:r w:rsidR="00F2469F" w:rsidRPr="00DD47DF">
        <w:t>ategorie zásahů</w:t>
      </w:r>
      <w:bookmarkEnd w:id="36"/>
    </w:p>
    <w:p w14:paraId="575C9F56" w14:textId="5EFD7E80" w:rsidR="002A1792" w:rsidRPr="00DD47DF" w:rsidRDefault="002A1792" w:rsidP="004126CC">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7</w:t>
      </w:r>
      <w:r w:rsidR="002756E7" w:rsidRPr="00DD47DF">
        <w:rPr>
          <w:noProof/>
        </w:rPr>
        <w:fldChar w:fldCharType="end"/>
      </w:r>
      <w:r w:rsidRPr="00DD47DF">
        <w:t xml:space="preserve"> - </w:t>
      </w:r>
      <w:r w:rsidR="00BE086E">
        <w:t>10</w:t>
      </w:r>
      <w:r w:rsidRPr="00DD47DF">
        <w:t xml:space="preserve">: Kategorie </w:t>
      </w:r>
      <w:r w:rsidR="00F2469F" w:rsidRPr="00DD47DF">
        <w:t>zásahů</w:t>
      </w:r>
      <w:r w:rsidR="00BA502F" w:rsidRPr="00DD47DF">
        <w:rPr>
          <w:rStyle w:val="Znakapoznpodarou"/>
        </w:rPr>
        <w:footnoteReference w:id="4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8"/>
        <w:gridCol w:w="1656"/>
        <w:gridCol w:w="509"/>
        <w:gridCol w:w="1720"/>
        <w:gridCol w:w="589"/>
        <w:gridCol w:w="1643"/>
        <w:gridCol w:w="526"/>
        <w:gridCol w:w="1705"/>
      </w:tblGrid>
      <w:tr w:rsidR="000B2315" w:rsidRPr="00DD47DF" w14:paraId="24FF76B8" w14:textId="77777777">
        <w:tc>
          <w:tcPr>
            <w:tcW w:w="5000" w:type="pct"/>
            <w:gridSpan w:val="8"/>
            <w:shd w:val="clear" w:color="auto" w:fill="B8CCE4"/>
            <w:vAlign w:val="center"/>
          </w:tcPr>
          <w:p w14:paraId="17599883" w14:textId="77777777" w:rsidR="000B2315" w:rsidRPr="00DD47DF" w:rsidRDefault="005646B0" w:rsidP="004126CC">
            <w:pPr>
              <w:pStyle w:val="Tabulka"/>
              <w:keepNext/>
              <w:keepLines/>
              <w:rPr>
                <w:rFonts w:cs="Calibri"/>
                <w:b/>
              </w:rPr>
            </w:pPr>
            <w:r w:rsidRPr="00DD47DF">
              <w:rPr>
                <w:rFonts w:cs="Calibri"/>
                <w:b/>
              </w:rPr>
              <w:t>F</w:t>
            </w:r>
            <w:r w:rsidR="000B2315" w:rsidRPr="00DD47DF">
              <w:rPr>
                <w:rFonts w:cs="Calibri"/>
                <w:b/>
              </w:rPr>
              <w:t>ond</w:t>
            </w:r>
            <w:r w:rsidRPr="00DD47DF">
              <w:rPr>
                <w:rFonts w:cs="Calibri"/>
                <w:b/>
              </w:rPr>
              <w:t xml:space="preserve">: </w:t>
            </w:r>
            <w:r w:rsidRPr="00DD47DF">
              <w:rPr>
                <w:rFonts w:cs="Calibri"/>
              </w:rPr>
              <w:t>EFRR</w:t>
            </w:r>
          </w:p>
          <w:p w14:paraId="633C8D24" w14:textId="77777777" w:rsidR="000B2315" w:rsidRPr="00DD47DF" w:rsidRDefault="005646B0" w:rsidP="004126CC">
            <w:pPr>
              <w:pStyle w:val="Tabulka"/>
              <w:keepNext/>
              <w:keepLines/>
              <w:rPr>
                <w:rFonts w:cs="Calibri"/>
              </w:rPr>
            </w:pPr>
            <w:r w:rsidRPr="00DD47DF">
              <w:rPr>
                <w:rFonts w:cs="Calibri"/>
                <w:b/>
              </w:rPr>
              <w:t xml:space="preserve">Kategorie regionů: </w:t>
            </w:r>
            <w:r w:rsidR="000B2315" w:rsidRPr="00DD47DF">
              <w:rPr>
                <w:rFonts w:cs="Calibri"/>
              </w:rPr>
              <w:t>Méně rozvinuté regiony</w:t>
            </w:r>
          </w:p>
        </w:tc>
      </w:tr>
      <w:tr w:rsidR="000B2315" w:rsidRPr="00DD47DF" w14:paraId="09F354A5" w14:textId="77777777">
        <w:tc>
          <w:tcPr>
            <w:tcW w:w="1412" w:type="pct"/>
            <w:gridSpan w:val="2"/>
            <w:shd w:val="clear" w:color="auto" w:fill="B8CCE4"/>
            <w:vAlign w:val="center"/>
          </w:tcPr>
          <w:p w14:paraId="777A461C" w14:textId="77777777" w:rsidR="000B2315" w:rsidRPr="00DD47DF" w:rsidRDefault="000B2315" w:rsidP="008F72F4">
            <w:pPr>
              <w:pStyle w:val="Tabulka"/>
              <w:keepNext/>
              <w:keepLines/>
              <w:rPr>
                <w:rFonts w:cs="Calibri"/>
              </w:rPr>
            </w:pPr>
            <w:r w:rsidRPr="00DD47DF">
              <w:rPr>
                <w:rFonts w:cs="Calibri"/>
              </w:rPr>
              <w:t>Tabulka č. 7:</w:t>
            </w:r>
          </w:p>
          <w:p w14:paraId="28E09523" w14:textId="77777777" w:rsidR="000B2315" w:rsidRPr="00DD47DF" w:rsidRDefault="000B2315" w:rsidP="008F72F4">
            <w:pPr>
              <w:pStyle w:val="Tabulka"/>
              <w:keepNext/>
              <w:keepLines/>
              <w:rPr>
                <w:rFonts w:cs="Calibri"/>
              </w:rPr>
            </w:pPr>
            <w:r w:rsidRPr="00DD47DF">
              <w:rPr>
                <w:rFonts w:cs="Calibri"/>
              </w:rPr>
              <w:t>Dimenze 1</w:t>
            </w:r>
          </w:p>
          <w:p w14:paraId="4AC62805" w14:textId="77777777" w:rsidR="000B2315" w:rsidRPr="00DD47DF" w:rsidRDefault="000B2315" w:rsidP="008F72F4">
            <w:pPr>
              <w:pStyle w:val="Tabulka"/>
              <w:keepNext/>
              <w:keepLines/>
              <w:rPr>
                <w:rFonts w:cs="Calibri"/>
              </w:rPr>
            </w:pPr>
            <w:r w:rsidRPr="00DD47DF">
              <w:rPr>
                <w:rFonts w:cs="Calibri"/>
              </w:rPr>
              <w:t>Oblast zásahu</w:t>
            </w:r>
          </w:p>
        </w:tc>
        <w:tc>
          <w:tcPr>
            <w:tcW w:w="1195" w:type="pct"/>
            <w:gridSpan w:val="2"/>
            <w:shd w:val="clear" w:color="auto" w:fill="B8CCE4"/>
            <w:vAlign w:val="center"/>
          </w:tcPr>
          <w:p w14:paraId="2EFA2C85" w14:textId="77777777" w:rsidR="000B2315" w:rsidRPr="00DD47DF" w:rsidRDefault="000B2315" w:rsidP="008F72F4">
            <w:pPr>
              <w:pStyle w:val="Tabulka"/>
              <w:keepNext/>
              <w:keepLines/>
              <w:rPr>
                <w:rFonts w:cs="Calibri"/>
              </w:rPr>
            </w:pPr>
            <w:r w:rsidRPr="00DD47DF">
              <w:rPr>
                <w:rFonts w:cs="Calibri"/>
              </w:rPr>
              <w:t>Tabulka č. 8:</w:t>
            </w:r>
          </w:p>
          <w:p w14:paraId="4E8AC8F3" w14:textId="77777777" w:rsidR="000B2315" w:rsidRPr="00DD47DF" w:rsidRDefault="000B2315" w:rsidP="008F72F4">
            <w:pPr>
              <w:pStyle w:val="Tabulka"/>
              <w:keepNext/>
              <w:keepLines/>
              <w:rPr>
                <w:rFonts w:cs="Calibri"/>
              </w:rPr>
            </w:pPr>
            <w:r w:rsidRPr="00DD47DF">
              <w:rPr>
                <w:rFonts w:cs="Calibri"/>
              </w:rPr>
              <w:t>Dimenze 2</w:t>
            </w:r>
          </w:p>
          <w:p w14:paraId="3D4BFBED" w14:textId="77777777" w:rsidR="000B2315" w:rsidRPr="00DD47DF" w:rsidRDefault="000B2315" w:rsidP="008F72F4">
            <w:pPr>
              <w:pStyle w:val="Tabulka"/>
              <w:keepNext/>
              <w:keepLines/>
              <w:rPr>
                <w:rFonts w:cs="Calibri"/>
              </w:rPr>
            </w:pPr>
            <w:r w:rsidRPr="00DD47DF">
              <w:rPr>
                <w:rFonts w:cs="Calibri"/>
              </w:rPr>
              <w:t>Forma financování</w:t>
            </w:r>
          </w:p>
        </w:tc>
        <w:tc>
          <w:tcPr>
            <w:tcW w:w="1197" w:type="pct"/>
            <w:gridSpan w:val="2"/>
            <w:shd w:val="clear" w:color="auto" w:fill="B8CCE4"/>
            <w:vAlign w:val="center"/>
          </w:tcPr>
          <w:p w14:paraId="270C9149" w14:textId="77777777" w:rsidR="000B2315" w:rsidRPr="00DD47DF" w:rsidRDefault="000B2315" w:rsidP="008F72F4">
            <w:pPr>
              <w:pStyle w:val="Tabulka"/>
              <w:keepNext/>
              <w:keepLines/>
              <w:rPr>
                <w:rFonts w:cs="Calibri"/>
              </w:rPr>
            </w:pPr>
            <w:r w:rsidRPr="00DD47DF">
              <w:rPr>
                <w:rFonts w:cs="Calibri"/>
              </w:rPr>
              <w:t>Tabulka č. 9:</w:t>
            </w:r>
          </w:p>
          <w:p w14:paraId="282E5D5C" w14:textId="77777777" w:rsidR="000B2315" w:rsidRPr="00DD47DF" w:rsidRDefault="000B2315" w:rsidP="008F72F4">
            <w:pPr>
              <w:pStyle w:val="Tabulka"/>
              <w:keepNext/>
              <w:keepLines/>
              <w:rPr>
                <w:rFonts w:cs="Calibri"/>
              </w:rPr>
            </w:pPr>
            <w:r w:rsidRPr="00DD47DF">
              <w:rPr>
                <w:rFonts w:cs="Calibri"/>
              </w:rPr>
              <w:t>Dimenze 3</w:t>
            </w:r>
          </w:p>
          <w:p w14:paraId="15C062F9" w14:textId="77777777" w:rsidR="000B2315" w:rsidRPr="00DD47DF" w:rsidRDefault="000B2315" w:rsidP="008F72F4">
            <w:pPr>
              <w:pStyle w:val="Tabulka"/>
              <w:keepNext/>
              <w:keepLines/>
              <w:rPr>
                <w:rFonts w:cs="Calibri"/>
              </w:rPr>
            </w:pPr>
            <w:r w:rsidRPr="00DD47DF">
              <w:rPr>
                <w:rFonts w:cs="Calibri"/>
              </w:rPr>
              <w:t>Typ území</w:t>
            </w:r>
          </w:p>
        </w:tc>
        <w:tc>
          <w:tcPr>
            <w:tcW w:w="1196" w:type="pct"/>
            <w:gridSpan w:val="2"/>
            <w:shd w:val="clear" w:color="auto" w:fill="B8CCE4"/>
            <w:vAlign w:val="center"/>
          </w:tcPr>
          <w:p w14:paraId="10A1A80D" w14:textId="77777777" w:rsidR="000B2315" w:rsidRPr="00DD47DF" w:rsidRDefault="000B2315" w:rsidP="008F72F4">
            <w:pPr>
              <w:pStyle w:val="Tabulka"/>
              <w:keepNext/>
              <w:keepLines/>
              <w:rPr>
                <w:rFonts w:cs="Calibri"/>
              </w:rPr>
            </w:pPr>
            <w:r w:rsidRPr="00DD47DF">
              <w:rPr>
                <w:rFonts w:cs="Calibri"/>
              </w:rPr>
              <w:t>Tabulka č. 10:</w:t>
            </w:r>
          </w:p>
          <w:p w14:paraId="24B8BA0A" w14:textId="77777777" w:rsidR="000B2315" w:rsidRPr="00DD47DF" w:rsidRDefault="000B2315" w:rsidP="008F72F4">
            <w:pPr>
              <w:pStyle w:val="Tabulka"/>
              <w:keepNext/>
              <w:keepLines/>
              <w:rPr>
                <w:rFonts w:cs="Calibri"/>
              </w:rPr>
            </w:pPr>
            <w:r w:rsidRPr="00DD47DF">
              <w:rPr>
                <w:rFonts w:cs="Calibri"/>
              </w:rPr>
              <w:t>Dimenze 4</w:t>
            </w:r>
          </w:p>
          <w:p w14:paraId="5DC5D7C4" w14:textId="77777777" w:rsidR="000B2315" w:rsidRPr="00DD47DF" w:rsidRDefault="000B2315" w:rsidP="008F72F4">
            <w:pPr>
              <w:pStyle w:val="Tabulka"/>
              <w:keepNext/>
              <w:keepLines/>
              <w:rPr>
                <w:rFonts w:cs="Calibri"/>
              </w:rPr>
            </w:pPr>
            <w:r w:rsidRPr="00DD47DF">
              <w:rPr>
                <w:rFonts w:cs="Calibri"/>
              </w:rPr>
              <w:t>Mechanismus územního plnění</w:t>
            </w:r>
          </w:p>
        </w:tc>
      </w:tr>
      <w:tr w:rsidR="000B2315" w:rsidRPr="00DD47DF" w14:paraId="28B2B3BE" w14:textId="77777777" w:rsidTr="00F42FC2">
        <w:tc>
          <w:tcPr>
            <w:tcW w:w="524" w:type="pct"/>
            <w:shd w:val="clear" w:color="auto" w:fill="DBE5F1"/>
            <w:vAlign w:val="center"/>
          </w:tcPr>
          <w:p w14:paraId="5702FAA2" w14:textId="77777777" w:rsidR="000B2315" w:rsidRPr="00DD47DF" w:rsidRDefault="000B2315" w:rsidP="008F72F4">
            <w:pPr>
              <w:pStyle w:val="Tabulka"/>
              <w:keepNext/>
              <w:keepLines/>
              <w:rPr>
                <w:rFonts w:cs="Calibri"/>
              </w:rPr>
            </w:pPr>
            <w:r w:rsidRPr="00DD47DF">
              <w:rPr>
                <w:rFonts w:cs="Calibri"/>
              </w:rPr>
              <w:t>Kód</w:t>
            </w:r>
          </w:p>
        </w:tc>
        <w:tc>
          <w:tcPr>
            <w:tcW w:w="888" w:type="pct"/>
            <w:shd w:val="clear" w:color="auto" w:fill="DBE5F1"/>
            <w:vAlign w:val="center"/>
          </w:tcPr>
          <w:p w14:paraId="2855F7A3" w14:textId="77777777" w:rsidR="000B2315" w:rsidRPr="00DD47DF" w:rsidRDefault="00D16DE9" w:rsidP="00814828">
            <w:pPr>
              <w:pStyle w:val="Tabulka"/>
              <w:keepNext/>
              <w:keepLines/>
              <w:rPr>
                <w:rFonts w:cs="Calibri"/>
              </w:rPr>
            </w:pPr>
            <w:r w:rsidRPr="00DD47DF">
              <w:rPr>
                <w:rFonts w:cs="Calibri"/>
              </w:rPr>
              <w:t>Částka (v EUR)</w:t>
            </w:r>
          </w:p>
        </w:tc>
        <w:tc>
          <w:tcPr>
            <w:tcW w:w="273" w:type="pct"/>
            <w:shd w:val="clear" w:color="auto" w:fill="DBE5F1"/>
            <w:vAlign w:val="center"/>
          </w:tcPr>
          <w:p w14:paraId="0509F971" w14:textId="77777777" w:rsidR="000B2315" w:rsidRPr="00DD47DF" w:rsidRDefault="000B2315" w:rsidP="008F72F4">
            <w:pPr>
              <w:pStyle w:val="Tabulka"/>
              <w:keepNext/>
              <w:keepLines/>
              <w:rPr>
                <w:rFonts w:cs="Calibri"/>
              </w:rPr>
            </w:pPr>
            <w:r w:rsidRPr="00DD47DF">
              <w:rPr>
                <w:rFonts w:cs="Calibri"/>
              </w:rPr>
              <w:t>Kód</w:t>
            </w:r>
          </w:p>
        </w:tc>
        <w:tc>
          <w:tcPr>
            <w:tcW w:w="922" w:type="pct"/>
            <w:shd w:val="clear" w:color="auto" w:fill="DBE5F1"/>
            <w:vAlign w:val="center"/>
          </w:tcPr>
          <w:p w14:paraId="6AB313A1" w14:textId="77777777" w:rsidR="000B2315" w:rsidRPr="00DD47DF" w:rsidRDefault="00D16DE9" w:rsidP="008F72F4">
            <w:pPr>
              <w:pStyle w:val="Tabulka"/>
              <w:keepNext/>
              <w:keepLines/>
              <w:rPr>
                <w:rFonts w:cs="Calibri"/>
              </w:rPr>
            </w:pPr>
            <w:r w:rsidRPr="00DD47DF">
              <w:rPr>
                <w:rFonts w:cs="Calibri"/>
              </w:rPr>
              <w:t>Částka (v EUR)</w:t>
            </w:r>
          </w:p>
        </w:tc>
        <w:tc>
          <w:tcPr>
            <w:tcW w:w="316" w:type="pct"/>
            <w:shd w:val="clear" w:color="auto" w:fill="DBE5F1"/>
            <w:vAlign w:val="center"/>
          </w:tcPr>
          <w:p w14:paraId="7304EE70" w14:textId="77777777" w:rsidR="000B2315" w:rsidRPr="00DD47DF" w:rsidRDefault="000B2315" w:rsidP="008F72F4">
            <w:pPr>
              <w:pStyle w:val="Tabulka"/>
              <w:keepNext/>
              <w:keepLines/>
              <w:rPr>
                <w:rFonts w:cs="Calibri"/>
              </w:rPr>
            </w:pPr>
            <w:r w:rsidRPr="00DD47DF">
              <w:rPr>
                <w:rFonts w:cs="Calibri"/>
              </w:rPr>
              <w:t>Kód</w:t>
            </w:r>
          </w:p>
        </w:tc>
        <w:tc>
          <w:tcPr>
            <w:tcW w:w="881" w:type="pct"/>
            <w:shd w:val="clear" w:color="auto" w:fill="DBE5F1"/>
            <w:vAlign w:val="center"/>
          </w:tcPr>
          <w:p w14:paraId="1F3C2E8F" w14:textId="77777777" w:rsidR="000B2315" w:rsidRPr="00DD47DF" w:rsidRDefault="00D16DE9" w:rsidP="008F72F4">
            <w:pPr>
              <w:pStyle w:val="Tabulka"/>
              <w:keepNext/>
              <w:keepLines/>
              <w:rPr>
                <w:rFonts w:cs="Calibri"/>
              </w:rPr>
            </w:pPr>
            <w:r w:rsidRPr="00DD47DF">
              <w:rPr>
                <w:rFonts w:cs="Calibri"/>
              </w:rPr>
              <w:t>Částka (v EUR)</w:t>
            </w:r>
          </w:p>
        </w:tc>
        <w:tc>
          <w:tcPr>
            <w:tcW w:w="282" w:type="pct"/>
            <w:shd w:val="clear" w:color="auto" w:fill="DBE5F1"/>
            <w:vAlign w:val="center"/>
          </w:tcPr>
          <w:p w14:paraId="62D2DEC4" w14:textId="77777777" w:rsidR="000B2315" w:rsidRPr="00DD47DF" w:rsidRDefault="000B2315" w:rsidP="008F72F4">
            <w:pPr>
              <w:pStyle w:val="Tabulka"/>
              <w:keepNext/>
              <w:keepLines/>
              <w:rPr>
                <w:rFonts w:cs="Calibri"/>
              </w:rPr>
            </w:pPr>
            <w:r w:rsidRPr="00DD47DF">
              <w:rPr>
                <w:rFonts w:cs="Calibri"/>
              </w:rPr>
              <w:t>Kód</w:t>
            </w:r>
          </w:p>
        </w:tc>
        <w:tc>
          <w:tcPr>
            <w:tcW w:w="914" w:type="pct"/>
            <w:shd w:val="clear" w:color="auto" w:fill="DBE5F1"/>
            <w:vAlign w:val="center"/>
          </w:tcPr>
          <w:p w14:paraId="4EB8F598" w14:textId="77777777" w:rsidR="000B2315" w:rsidRPr="00DD47DF" w:rsidRDefault="00D16DE9" w:rsidP="008F72F4">
            <w:pPr>
              <w:pStyle w:val="Tabulka"/>
              <w:keepNext/>
              <w:keepLines/>
              <w:rPr>
                <w:rFonts w:cs="Calibri"/>
              </w:rPr>
            </w:pPr>
            <w:r w:rsidRPr="00DD47DF">
              <w:rPr>
                <w:rFonts w:cs="Calibri"/>
              </w:rPr>
              <w:t>Částka (v EUR)</w:t>
            </w:r>
          </w:p>
        </w:tc>
      </w:tr>
      <w:tr w:rsidR="00E129EE" w:rsidRPr="00DD47DF" w14:paraId="64C19428" w14:textId="77777777" w:rsidTr="00D05A06">
        <w:tc>
          <w:tcPr>
            <w:tcW w:w="524" w:type="pct"/>
            <w:shd w:val="clear" w:color="auto" w:fill="auto"/>
            <w:vAlign w:val="center"/>
          </w:tcPr>
          <w:p w14:paraId="6AA64C99" w14:textId="77777777" w:rsidR="00E129EE" w:rsidRPr="00DD47DF" w:rsidRDefault="00E129EE" w:rsidP="00E129EE">
            <w:pPr>
              <w:pStyle w:val="Tabulka"/>
              <w:keepNext/>
              <w:keepLines/>
              <w:rPr>
                <w:rFonts w:cs="Calibri"/>
              </w:rPr>
            </w:pPr>
            <w:r w:rsidRPr="00DD47DF">
              <w:rPr>
                <w:rFonts w:cs="Calibri"/>
              </w:rPr>
              <w:t>002</w:t>
            </w:r>
          </w:p>
        </w:tc>
        <w:tc>
          <w:tcPr>
            <w:tcW w:w="888" w:type="pct"/>
            <w:tcBorders>
              <w:top w:val="single" w:sz="8" w:space="0" w:color="auto"/>
              <w:left w:val="nil"/>
              <w:bottom w:val="single" w:sz="8" w:space="0" w:color="auto"/>
              <w:right w:val="single" w:sz="8" w:space="0" w:color="auto"/>
            </w:tcBorders>
            <w:shd w:val="clear" w:color="auto" w:fill="auto"/>
            <w:vAlign w:val="center"/>
          </w:tcPr>
          <w:p w14:paraId="08D57BDA" w14:textId="4A77143C" w:rsidR="00E129EE" w:rsidRPr="00DD47DF" w:rsidRDefault="00E129EE" w:rsidP="00E129EE">
            <w:pPr>
              <w:pStyle w:val="Tabulka"/>
              <w:jc w:val="right"/>
              <w:rPr>
                <w:color w:val="000000"/>
              </w:rPr>
            </w:pPr>
            <w:r w:rsidRPr="00091531">
              <w:rPr>
                <w:color w:val="000000"/>
              </w:rPr>
              <w:t>167</w:t>
            </w:r>
            <w:r>
              <w:rPr>
                <w:color w:val="000000"/>
              </w:rPr>
              <w:t xml:space="preserve"> 0</w:t>
            </w:r>
            <w:r w:rsidRPr="00091531">
              <w:rPr>
                <w:color w:val="000000"/>
              </w:rPr>
              <w:t>00</w:t>
            </w:r>
            <w:r>
              <w:rPr>
                <w:color w:val="000000"/>
              </w:rPr>
              <w:t xml:space="preserve"> </w:t>
            </w:r>
            <w:r w:rsidRPr="00091531">
              <w:rPr>
                <w:color w:val="000000"/>
              </w:rPr>
              <w:t>000</w:t>
            </w:r>
          </w:p>
        </w:tc>
        <w:tc>
          <w:tcPr>
            <w:tcW w:w="273" w:type="pct"/>
            <w:shd w:val="clear" w:color="auto" w:fill="auto"/>
            <w:vAlign w:val="center"/>
          </w:tcPr>
          <w:p w14:paraId="00FD0DC0" w14:textId="77777777" w:rsidR="00E129EE" w:rsidRPr="00DD47DF" w:rsidRDefault="00E129EE" w:rsidP="00E129EE">
            <w:pPr>
              <w:pStyle w:val="Tabulka"/>
              <w:rPr>
                <w:rFonts w:cs="Calibri"/>
              </w:rPr>
            </w:pPr>
            <w:r w:rsidRPr="00DD47DF">
              <w:rPr>
                <w:rFonts w:cs="Calibri"/>
              </w:rPr>
              <w:t>01</w:t>
            </w:r>
          </w:p>
        </w:tc>
        <w:tc>
          <w:tcPr>
            <w:tcW w:w="922" w:type="pct"/>
            <w:shd w:val="clear" w:color="auto" w:fill="auto"/>
            <w:vAlign w:val="center"/>
          </w:tcPr>
          <w:p w14:paraId="07053108" w14:textId="36141FA4" w:rsidR="00E129EE" w:rsidRPr="00DD47DF" w:rsidRDefault="00E129EE" w:rsidP="00E129EE">
            <w:pPr>
              <w:pStyle w:val="Tabulka"/>
              <w:jc w:val="right"/>
              <w:rPr>
                <w:rFonts w:cs="Calibri"/>
              </w:rPr>
            </w:pPr>
            <w:r>
              <w:t>1 340 544 411</w:t>
            </w:r>
          </w:p>
        </w:tc>
        <w:tc>
          <w:tcPr>
            <w:tcW w:w="316" w:type="pct"/>
            <w:shd w:val="clear" w:color="auto" w:fill="auto"/>
            <w:vAlign w:val="center"/>
          </w:tcPr>
          <w:p w14:paraId="6D36AECF" w14:textId="77777777" w:rsidR="00E129EE" w:rsidRPr="00DD47DF" w:rsidRDefault="00E129EE" w:rsidP="00E129EE">
            <w:pPr>
              <w:pStyle w:val="Tabulka"/>
              <w:rPr>
                <w:rFonts w:cs="Calibri"/>
              </w:rPr>
            </w:pPr>
            <w:r w:rsidRPr="00DD47DF">
              <w:rPr>
                <w:rFonts w:cs="Calibri"/>
              </w:rPr>
              <w:t>01</w:t>
            </w:r>
          </w:p>
        </w:tc>
        <w:tc>
          <w:tcPr>
            <w:tcW w:w="881" w:type="pct"/>
            <w:shd w:val="clear" w:color="auto" w:fill="auto"/>
            <w:vAlign w:val="bottom"/>
          </w:tcPr>
          <w:p w14:paraId="65DD3BA9" w14:textId="55502693" w:rsidR="00E129EE" w:rsidRPr="00DD47DF" w:rsidRDefault="00E129EE" w:rsidP="00E129EE">
            <w:pPr>
              <w:pStyle w:val="Tabulka"/>
              <w:jc w:val="right"/>
            </w:pPr>
            <w:r w:rsidRPr="00700E39">
              <w:t>438 825 443</w:t>
            </w:r>
          </w:p>
        </w:tc>
        <w:tc>
          <w:tcPr>
            <w:tcW w:w="282" w:type="pct"/>
            <w:shd w:val="clear" w:color="auto" w:fill="auto"/>
            <w:vAlign w:val="center"/>
          </w:tcPr>
          <w:p w14:paraId="7346BFBF" w14:textId="77777777" w:rsidR="00E129EE" w:rsidRPr="00DD47DF" w:rsidRDefault="00E129EE" w:rsidP="00E129EE">
            <w:pPr>
              <w:pStyle w:val="Tabulka"/>
              <w:rPr>
                <w:rFonts w:cs="Calibri"/>
              </w:rPr>
            </w:pPr>
            <w:r w:rsidRPr="00DD47DF">
              <w:rPr>
                <w:rFonts w:cs="Calibri"/>
              </w:rPr>
              <w:t>01</w:t>
            </w:r>
          </w:p>
        </w:tc>
        <w:tc>
          <w:tcPr>
            <w:tcW w:w="914" w:type="pct"/>
            <w:shd w:val="clear" w:color="auto" w:fill="auto"/>
            <w:vAlign w:val="bottom"/>
          </w:tcPr>
          <w:p w14:paraId="7C36FE2A" w14:textId="7EE4BB00" w:rsidR="00E129EE" w:rsidRPr="00DD47DF" w:rsidRDefault="00CA5816" w:rsidP="00E129EE">
            <w:pPr>
              <w:pStyle w:val="Tabulka"/>
              <w:jc w:val="right"/>
            </w:pPr>
            <w:r w:rsidRPr="00700E39">
              <w:t>85 441 261</w:t>
            </w:r>
          </w:p>
        </w:tc>
      </w:tr>
      <w:tr w:rsidR="00E129EE" w:rsidRPr="00DD47DF" w14:paraId="07019E05" w14:textId="77777777" w:rsidTr="00D05A06">
        <w:tc>
          <w:tcPr>
            <w:tcW w:w="524" w:type="pct"/>
            <w:shd w:val="clear" w:color="auto" w:fill="auto"/>
            <w:vAlign w:val="center"/>
          </w:tcPr>
          <w:p w14:paraId="715DA8F5" w14:textId="77777777" w:rsidR="00E129EE" w:rsidRPr="00DD47DF" w:rsidRDefault="00E129EE" w:rsidP="00E129EE">
            <w:pPr>
              <w:pStyle w:val="Tabulka"/>
              <w:rPr>
                <w:rFonts w:cs="Calibri"/>
              </w:rPr>
            </w:pPr>
            <w:r w:rsidRPr="00DD47DF">
              <w:rPr>
                <w:rFonts w:cs="Calibri"/>
              </w:rPr>
              <w:t>056</w:t>
            </w:r>
          </w:p>
        </w:tc>
        <w:tc>
          <w:tcPr>
            <w:tcW w:w="888" w:type="pct"/>
            <w:tcBorders>
              <w:top w:val="nil"/>
              <w:left w:val="nil"/>
              <w:bottom w:val="single" w:sz="8" w:space="0" w:color="auto"/>
              <w:right w:val="single" w:sz="8" w:space="0" w:color="auto"/>
            </w:tcBorders>
            <w:shd w:val="clear" w:color="auto" w:fill="auto"/>
            <w:vAlign w:val="center"/>
          </w:tcPr>
          <w:p w14:paraId="3127A475" w14:textId="27E6FAE5" w:rsidR="00E129EE" w:rsidRPr="00DD47DF" w:rsidRDefault="00E129EE" w:rsidP="00E129EE">
            <w:pPr>
              <w:pStyle w:val="Tabulka"/>
              <w:jc w:val="right"/>
              <w:rPr>
                <w:color w:val="000000"/>
              </w:rPr>
            </w:pPr>
            <w:r w:rsidRPr="00700E39">
              <w:rPr>
                <w:color w:val="000000"/>
              </w:rPr>
              <w:t>142 312 240</w:t>
            </w:r>
          </w:p>
        </w:tc>
        <w:tc>
          <w:tcPr>
            <w:tcW w:w="273" w:type="pct"/>
            <w:shd w:val="clear" w:color="auto" w:fill="auto"/>
            <w:vAlign w:val="center"/>
          </w:tcPr>
          <w:p w14:paraId="58DCF43E" w14:textId="77777777" w:rsidR="00E129EE" w:rsidRPr="00DD47DF" w:rsidRDefault="00E129EE" w:rsidP="00E129EE">
            <w:pPr>
              <w:pStyle w:val="Tabulka"/>
              <w:rPr>
                <w:rFonts w:cs="Calibri"/>
              </w:rPr>
            </w:pPr>
            <w:r w:rsidRPr="00DD47DF">
              <w:rPr>
                <w:rFonts w:cs="Calibri"/>
              </w:rPr>
              <w:t>03</w:t>
            </w:r>
          </w:p>
        </w:tc>
        <w:tc>
          <w:tcPr>
            <w:tcW w:w="922" w:type="pct"/>
            <w:shd w:val="clear" w:color="auto" w:fill="auto"/>
            <w:vAlign w:val="center"/>
          </w:tcPr>
          <w:p w14:paraId="2F92E343" w14:textId="3D0EAB9F" w:rsidR="00E129EE" w:rsidRPr="00DD47DF" w:rsidRDefault="00E129EE" w:rsidP="00E129EE">
            <w:pPr>
              <w:pStyle w:val="Tabulka"/>
              <w:jc w:val="right"/>
              <w:rPr>
                <w:rFonts w:cs="Calibri"/>
              </w:rPr>
            </w:pPr>
            <w:r>
              <w:rPr>
                <w:rFonts w:cs="Calibri"/>
              </w:rPr>
              <w:t>12 000 000</w:t>
            </w:r>
            <w:r w:rsidRPr="00DD47DF">
              <w:rPr>
                <w:rStyle w:val="Znakapoznpodarou"/>
                <w:rFonts w:cs="Calibri"/>
              </w:rPr>
              <w:footnoteReference w:id="49"/>
            </w:r>
          </w:p>
        </w:tc>
        <w:tc>
          <w:tcPr>
            <w:tcW w:w="316" w:type="pct"/>
            <w:shd w:val="clear" w:color="auto" w:fill="auto"/>
            <w:vAlign w:val="center"/>
          </w:tcPr>
          <w:p w14:paraId="31255B08" w14:textId="77777777" w:rsidR="00E129EE" w:rsidRPr="00DD47DF" w:rsidRDefault="00E129EE" w:rsidP="00E129EE">
            <w:pPr>
              <w:pStyle w:val="Tabulka"/>
              <w:rPr>
                <w:rFonts w:cs="Calibri"/>
              </w:rPr>
            </w:pPr>
            <w:r w:rsidRPr="00DD47DF">
              <w:rPr>
                <w:rFonts w:cs="Calibri"/>
              </w:rPr>
              <w:t>02</w:t>
            </w:r>
          </w:p>
        </w:tc>
        <w:tc>
          <w:tcPr>
            <w:tcW w:w="881" w:type="pct"/>
            <w:shd w:val="clear" w:color="auto" w:fill="auto"/>
            <w:vAlign w:val="bottom"/>
          </w:tcPr>
          <w:p w14:paraId="012205A5" w14:textId="6333DB76" w:rsidR="00E129EE" w:rsidRPr="00DD47DF" w:rsidRDefault="00E129EE" w:rsidP="00E129EE">
            <w:pPr>
              <w:pStyle w:val="Tabulka"/>
              <w:jc w:val="right"/>
            </w:pPr>
            <w:r w:rsidRPr="00700E39">
              <w:t>523 401 289</w:t>
            </w:r>
          </w:p>
        </w:tc>
        <w:tc>
          <w:tcPr>
            <w:tcW w:w="282" w:type="pct"/>
            <w:shd w:val="clear" w:color="auto" w:fill="auto"/>
            <w:vAlign w:val="center"/>
          </w:tcPr>
          <w:p w14:paraId="113F4636" w14:textId="77777777" w:rsidR="00E129EE" w:rsidRPr="00DD47DF" w:rsidRDefault="00E129EE" w:rsidP="00E129EE">
            <w:pPr>
              <w:pStyle w:val="Tabulka"/>
              <w:rPr>
                <w:rFonts w:cs="Calibri"/>
              </w:rPr>
            </w:pPr>
            <w:r w:rsidRPr="00DD47DF">
              <w:rPr>
                <w:rFonts w:cs="Calibri"/>
              </w:rPr>
              <w:t>07</w:t>
            </w:r>
          </w:p>
        </w:tc>
        <w:tc>
          <w:tcPr>
            <w:tcW w:w="914" w:type="pct"/>
            <w:shd w:val="clear" w:color="auto" w:fill="auto"/>
            <w:vAlign w:val="bottom"/>
          </w:tcPr>
          <w:p w14:paraId="43755318" w14:textId="57772784" w:rsidR="00E129EE" w:rsidRPr="00DD47DF" w:rsidRDefault="00CA5816" w:rsidP="00E129EE">
            <w:pPr>
              <w:pStyle w:val="Tabulka"/>
              <w:jc w:val="right"/>
            </w:pPr>
            <w:r w:rsidRPr="00700E39">
              <w:t>1 267 103 150</w:t>
            </w:r>
          </w:p>
        </w:tc>
      </w:tr>
      <w:tr w:rsidR="00E129EE" w:rsidRPr="00DD47DF" w14:paraId="3D1EF6F8" w14:textId="77777777" w:rsidTr="00D05A06">
        <w:tc>
          <w:tcPr>
            <w:tcW w:w="524" w:type="pct"/>
            <w:shd w:val="clear" w:color="auto" w:fill="auto"/>
            <w:vAlign w:val="center"/>
          </w:tcPr>
          <w:p w14:paraId="6417DCF6" w14:textId="77777777" w:rsidR="00E129EE" w:rsidRPr="00DD47DF" w:rsidRDefault="00E129EE" w:rsidP="00E129EE">
            <w:pPr>
              <w:pStyle w:val="Tabulka"/>
              <w:rPr>
                <w:rFonts w:cs="Calibri"/>
              </w:rPr>
            </w:pPr>
            <w:r w:rsidRPr="00DD47DF">
              <w:rPr>
                <w:rFonts w:cs="Calibri"/>
              </w:rPr>
              <w:t>057</w:t>
            </w:r>
          </w:p>
        </w:tc>
        <w:tc>
          <w:tcPr>
            <w:tcW w:w="888" w:type="pct"/>
            <w:tcBorders>
              <w:top w:val="nil"/>
              <w:left w:val="nil"/>
              <w:bottom w:val="single" w:sz="8" w:space="0" w:color="auto"/>
              <w:right w:val="single" w:sz="8" w:space="0" w:color="auto"/>
            </w:tcBorders>
            <w:shd w:val="clear" w:color="auto" w:fill="auto"/>
            <w:vAlign w:val="center"/>
          </w:tcPr>
          <w:p w14:paraId="0284BD96" w14:textId="0A54F8D5" w:rsidR="00E129EE" w:rsidRPr="00DD47DF" w:rsidRDefault="00E129EE" w:rsidP="00E129EE">
            <w:pPr>
              <w:pStyle w:val="Tabulka"/>
              <w:jc w:val="right"/>
              <w:rPr>
                <w:color w:val="000000"/>
              </w:rPr>
            </w:pPr>
            <w:r>
              <w:rPr>
                <w:color w:val="000000"/>
              </w:rPr>
              <w:t>103 000 000</w:t>
            </w:r>
          </w:p>
        </w:tc>
        <w:tc>
          <w:tcPr>
            <w:tcW w:w="273" w:type="pct"/>
            <w:shd w:val="clear" w:color="auto" w:fill="auto"/>
            <w:vAlign w:val="center"/>
          </w:tcPr>
          <w:p w14:paraId="3969CC67" w14:textId="77777777" w:rsidR="00E129EE" w:rsidRPr="00DD47DF" w:rsidRDefault="00E129EE" w:rsidP="00E129EE">
            <w:pPr>
              <w:pStyle w:val="Tabulka"/>
              <w:rPr>
                <w:rFonts w:cs="Calibri"/>
              </w:rPr>
            </w:pPr>
          </w:p>
        </w:tc>
        <w:tc>
          <w:tcPr>
            <w:tcW w:w="922" w:type="pct"/>
            <w:shd w:val="clear" w:color="auto" w:fill="auto"/>
            <w:vAlign w:val="center"/>
          </w:tcPr>
          <w:p w14:paraId="2AD36C01" w14:textId="77777777" w:rsidR="00E129EE" w:rsidRPr="00DD47DF" w:rsidRDefault="00E129EE" w:rsidP="00E129EE">
            <w:pPr>
              <w:pStyle w:val="Tabulka"/>
              <w:jc w:val="right"/>
              <w:rPr>
                <w:rFonts w:cs="Calibri"/>
              </w:rPr>
            </w:pPr>
          </w:p>
        </w:tc>
        <w:tc>
          <w:tcPr>
            <w:tcW w:w="316" w:type="pct"/>
            <w:shd w:val="clear" w:color="auto" w:fill="auto"/>
            <w:vAlign w:val="center"/>
          </w:tcPr>
          <w:p w14:paraId="0BE33204" w14:textId="77777777" w:rsidR="00E129EE" w:rsidRPr="00DD47DF" w:rsidRDefault="00E129EE" w:rsidP="00E129EE">
            <w:pPr>
              <w:pStyle w:val="Tabulka"/>
              <w:rPr>
                <w:rFonts w:cs="Calibri"/>
              </w:rPr>
            </w:pPr>
            <w:r w:rsidRPr="00DD47DF">
              <w:rPr>
                <w:rFonts w:cs="Calibri"/>
              </w:rPr>
              <w:t>03</w:t>
            </w:r>
          </w:p>
        </w:tc>
        <w:tc>
          <w:tcPr>
            <w:tcW w:w="881" w:type="pct"/>
            <w:shd w:val="clear" w:color="auto" w:fill="auto"/>
            <w:vAlign w:val="bottom"/>
          </w:tcPr>
          <w:p w14:paraId="26027A27" w14:textId="78DAC982" w:rsidR="00E129EE" w:rsidRPr="00DD47DF" w:rsidRDefault="00E129EE" w:rsidP="00E129EE">
            <w:pPr>
              <w:pStyle w:val="Tabulka"/>
              <w:jc w:val="right"/>
            </w:pPr>
            <w:r w:rsidRPr="00700E39">
              <w:t>390 317 679</w:t>
            </w:r>
          </w:p>
        </w:tc>
        <w:tc>
          <w:tcPr>
            <w:tcW w:w="282" w:type="pct"/>
            <w:shd w:val="clear" w:color="auto" w:fill="auto"/>
            <w:vAlign w:val="center"/>
          </w:tcPr>
          <w:p w14:paraId="4814F492" w14:textId="77777777" w:rsidR="00E129EE" w:rsidRPr="00DD47DF" w:rsidRDefault="00E129EE" w:rsidP="00E129EE">
            <w:pPr>
              <w:pStyle w:val="Tabulka"/>
              <w:rPr>
                <w:rFonts w:cs="Calibri"/>
              </w:rPr>
            </w:pPr>
          </w:p>
        </w:tc>
        <w:tc>
          <w:tcPr>
            <w:tcW w:w="914" w:type="pct"/>
            <w:shd w:val="clear" w:color="auto" w:fill="auto"/>
            <w:vAlign w:val="center"/>
          </w:tcPr>
          <w:p w14:paraId="66F76D0A" w14:textId="77777777" w:rsidR="00E129EE" w:rsidRPr="00DD47DF" w:rsidRDefault="00E129EE" w:rsidP="00E129EE">
            <w:pPr>
              <w:pStyle w:val="Tabulka"/>
              <w:jc w:val="right"/>
              <w:rPr>
                <w:rFonts w:cs="Calibri"/>
              </w:rPr>
            </w:pPr>
          </w:p>
        </w:tc>
      </w:tr>
      <w:tr w:rsidR="00E9476F" w:rsidRPr="00DD47DF" w14:paraId="0091BD83" w14:textId="77777777" w:rsidTr="00D05A06">
        <w:tc>
          <w:tcPr>
            <w:tcW w:w="524" w:type="pct"/>
            <w:shd w:val="clear" w:color="auto" w:fill="auto"/>
            <w:vAlign w:val="center"/>
          </w:tcPr>
          <w:p w14:paraId="67F555DE" w14:textId="77777777" w:rsidR="00E9476F" w:rsidRPr="00DD47DF" w:rsidRDefault="00E9476F" w:rsidP="00E9476F">
            <w:pPr>
              <w:pStyle w:val="Tabulka"/>
              <w:rPr>
                <w:rFonts w:cs="Calibri"/>
              </w:rPr>
            </w:pPr>
            <w:r w:rsidRPr="00DD47DF">
              <w:rPr>
                <w:rFonts w:cs="Calibri"/>
              </w:rPr>
              <w:t>058</w:t>
            </w:r>
          </w:p>
        </w:tc>
        <w:tc>
          <w:tcPr>
            <w:tcW w:w="888" w:type="pct"/>
            <w:tcBorders>
              <w:top w:val="nil"/>
              <w:left w:val="nil"/>
              <w:bottom w:val="single" w:sz="8" w:space="0" w:color="auto"/>
              <w:right w:val="single" w:sz="8" w:space="0" w:color="auto"/>
            </w:tcBorders>
            <w:shd w:val="clear" w:color="auto" w:fill="auto"/>
            <w:vAlign w:val="center"/>
          </w:tcPr>
          <w:p w14:paraId="49EC1451" w14:textId="7C718106" w:rsidR="00E9476F" w:rsidRPr="00DD47DF" w:rsidRDefault="00025F9C" w:rsidP="00E9476F">
            <w:pPr>
              <w:pStyle w:val="Tabulka"/>
              <w:jc w:val="right"/>
            </w:pPr>
            <w:r>
              <w:rPr>
                <w:color w:val="000000"/>
              </w:rPr>
              <w:t>37 246 096</w:t>
            </w:r>
          </w:p>
        </w:tc>
        <w:tc>
          <w:tcPr>
            <w:tcW w:w="273" w:type="pct"/>
            <w:shd w:val="clear" w:color="auto" w:fill="auto"/>
            <w:vAlign w:val="center"/>
          </w:tcPr>
          <w:p w14:paraId="00D44C22" w14:textId="77777777" w:rsidR="00E9476F" w:rsidRPr="00DD47DF" w:rsidRDefault="00E9476F" w:rsidP="00E9476F">
            <w:pPr>
              <w:pStyle w:val="Tabulka"/>
              <w:rPr>
                <w:rFonts w:cs="Calibri"/>
              </w:rPr>
            </w:pPr>
          </w:p>
        </w:tc>
        <w:tc>
          <w:tcPr>
            <w:tcW w:w="922" w:type="pct"/>
            <w:shd w:val="clear" w:color="auto" w:fill="auto"/>
            <w:vAlign w:val="center"/>
          </w:tcPr>
          <w:p w14:paraId="6B796C9F" w14:textId="77777777" w:rsidR="00E9476F" w:rsidRPr="00DD47DF" w:rsidRDefault="00E9476F" w:rsidP="00E9476F">
            <w:pPr>
              <w:pStyle w:val="Tabulka"/>
              <w:jc w:val="right"/>
              <w:rPr>
                <w:rFonts w:cs="Calibri"/>
              </w:rPr>
            </w:pPr>
          </w:p>
        </w:tc>
        <w:tc>
          <w:tcPr>
            <w:tcW w:w="316" w:type="pct"/>
            <w:shd w:val="clear" w:color="auto" w:fill="auto"/>
            <w:vAlign w:val="center"/>
          </w:tcPr>
          <w:p w14:paraId="2C48F96A" w14:textId="77777777" w:rsidR="00E9476F" w:rsidRPr="00DD47DF" w:rsidRDefault="00E9476F" w:rsidP="00E9476F">
            <w:pPr>
              <w:pStyle w:val="Tabulka"/>
              <w:rPr>
                <w:rFonts w:cs="Calibri"/>
              </w:rPr>
            </w:pPr>
          </w:p>
        </w:tc>
        <w:tc>
          <w:tcPr>
            <w:tcW w:w="881" w:type="pct"/>
            <w:shd w:val="clear" w:color="auto" w:fill="auto"/>
            <w:vAlign w:val="center"/>
          </w:tcPr>
          <w:p w14:paraId="06951ADF" w14:textId="77777777" w:rsidR="00E9476F" w:rsidRPr="00DD47DF" w:rsidRDefault="00E9476F" w:rsidP="00E9476F">
            <w:pPr>
              <w:pStyle w:val="Tabulka"/>
              <w:jc w:val="right"/>
              <w:rPr>
                <w:rFonts w:cs="Calibri"/>
              </w:rPr>
            </w:pPr>
          </w:p>
        </w:tc>
        <w:tc>
          <w:tcPr>
            <w:tcW w:w="282" w:type="pct"/>
            <w:shd w:val="clear" w:color="auto" w:fill="auto"/>
            <w:vAlign w:val="center"/>
          </w:tcPr>
          <w:p w14:paraId="21349BCE" w14:textId="77777777" w:rsidR="00E9476F" w:rsidRPr="00DD47DF" w:rsidRDefault="00E9476F" w:rsidP="00E9476F">
            <w:pPr>
              <w:pStyle w:val="Tabulka"/>
              <w:rPr>
                <w:rFonts w:cs="Calibri"/>
              </w:rPr>
            </w:pPr>
          </w:p>
        </w:tc>
        <w:tc>
          <w:tcPr>
            <w:tcW w:w="914" w:type="pct"/>
            <w:shd w:val="clear" w:color="auto" w:fill="auto"/>
            <w:vAlign w:val="center"/>
          </w:tcPr>
          <w:p w14:paraId="7A49E98D" w14:textId="77777777" w:rsidR="00E9476F" w:rsidRPr="00DD47DF" w:rsidRDefault="00E9476F" w:rsidP="00E9476F">
            <w:pPr>
              <w:pStyle w:val="Tabulka"/>
              <w:jc w:val="right"/>
              <w:rPr>
                <w:rFonts w:cs="Calibri"/>
              </w:rPr>
            </w:pPr>
          </w:p>
        </w:tc>
      </w:tr>
      <w:tr w:rsidR="00E9476F" w:rsidRPr="00DD47DF" w14:paraId="7FDB7B1C" w14:textId="77777777" w:rsidTr="00D05A06">
        <w:tc>
          <w:tcPr>
            <w:tcW w:w="524" w:type="pct"/>
            <w:shd w:val="clear" w:color="auto" w:fill="auto"/>
            <w:vAlign w:val="center"/>
          </w:tcPr>
          <w:p w14:paraId="722004A8" w14:textId="77777777" w:rsidR="00E9476F" w:rsidRPr="00DD47DF" w:rsidRDefault="00E9476F" w:rsidP="00E9476F">
            <w:pPr>
              <w:pStyle w:val="Tabulka"/>
              <w:rPr>
                <w:rFonts w:cs="Calibri"/>
              </w:rPr>
            </w:pPr>
            <w:r w:rsidRPr="00DD47DF">
              <w:rPr>
                <w:rFonts w:cs="Calibri"/>
              </w:rPr>
              <w:t>059</w:t>
            </w:r>
          </w:p>
        </w:tc>
        <w:tc>
          <w:tcPr>
            <w:tcW w:w="888" w:type="pct"/>
            <w:tcBorders>
              <w:top w:val="nil"/>
              <w:left w:val="nil"/>
              <w:bottom w:val="single" w:sz="8" w:space="0" w:color="auto"/>
              <w:right w:val="single" w:sz="8" w:space="0" w:color="auto"/>
            </w:tcBorders>
            <w:shd w:val="clear" w:color="auto" w:fill="auto"/>
            <w:vAlign w:val="center"/>
          </w:tcPr>
          <w:p w14:paraId="515F9878" w14:textId="296FCCAD" w:rsidR="00E9476F" w:rsidRPr="00DD47DF" w:rsidRDefault="00025F9C" w:rsidP="00E9476F">
            <w:pPr>
              <w:pStyle w:val="Tabulka"/>
              <w:jc w:val="right"/>
            </w:pPr>
            <w:r>
              <w:rPr>
                <w:color w:val="000000"/>
              </w:rPr>
              <w:t>95 992 503</w:t>
            </w:r>
          </w:p>
        </w:tc>
        <w:tc>
          <w:tcPr>
            <w:tcW w:w="273" w:type="pct"/>
            <w:shd w:val="clear" w:color="auto" w:fill="auto"/>
            <w:vAlign w:val="center"/>
          </w:tcPr>
          <w:p w14:paraId="5B690723" w14:textId="77777777" w:rsidR="00E9476F" w:rsidRPr="00DD47DF" w:rsidRDefault="00E9476F" w:rsidP="00E9476F">
            <w:pPr>
              <w:pStyle w:val="Tabulka"/>
              <w:rPr>
                <w:rFonts w:cs="Calibri"/>
              </w:rPr>
            </w:pPr>
          </w:p>
        </w:tc>
        <w:tc>
          <w:tcPr>
            <w:tcW w:w="922" w:type="pct"/>
            <w:shd w:val="clear" w:color="auto" w:fill="auto"/>
            <w:vAlign w:val="center"/>
          </w:tcPr>
          <w:p w14:paraId="6743B7DB" w14:textId="77777777" w:rsidR="00E9476F" w:rsidRPr="00DD47DF" w:rsidRDefault="00E9476F" w:rsidP="00E9476F">
            <w:pPr>
              <w:pStyle w:val="Tabulka"/>
              <w:jc w:val="right"/>
              <w:rPr>
                <w:rFonts w:cs="Calibri"/>
              </w:rPr>
            </w:pPr>
          </w:p>
        </w:tc>
        <w:tc>
          <w:tcPr>
            <w:tcW w:w="316" w:type="pct"/>
            <w:shd w:val="clear" w:color="auto" w:fill="auto"/>
            <w:vAlign w:val="center"/>
          </w:tcPr>
          <w:p w14:paraId="2BF14D36" w14:textId="77777777" w:rsidR="00E9476F" w:rsidRPr="00DD47DF" w:rsidRDefault="00E9476F" w:rsidP="00E9476F">
            <w:pPr>
              <w:pStyle w:val="Tabulka"/>
              <w:rPr>
                <w:rFonts w:cs="Calibri"/>
              </w:rPr>
            </w:pPr>
          </w:p>
        </w:tc>
        <w:tc>
          <w:tcPr>
            <w:tcW w:w="881" w:type="pct"/>
            <w:shd w:val="clear" w:color="auto" w:fill="auto"/>
            <w:vAlign w:val="center"/>
          </w:tcPr>
          <w:p w14:paraId="632BE5BC" w14:textId="77777777" w:rsidR="00E9476F" w:rsidRPr="00DD47DF" w:rsidRDefault="00E9476F" w:rsidP="00E9476F">
            <w:pPr>
              <w:pStyle w:val="Tabulka"/>
              <w:jc w:val="right"/>
              <w:rPr>
                <w:rFonts w:cs="Calibri"/>
              </w:rPr>
            </w:pPr>
          </w:p>
        </w:tc>
        <w:tc>
          <w:tcPr>
            <w:tcW w:w="282" w:type="pct"/>
            <w:shd w:val="clear" w:color="auto" w:fill="auto"/>
            <w:vAlign w:val="center"/>
          </w:tcPr>
          <w:p w14:paraId="26194453" w14:textId="77777777" w:rsidR="00E9476F" w:rsidRPr="00DD47DF" w:rsidRDefault="00E9476F" w:rsidP="00E9476F">
            <w:pPr>
              <w:pStyle w:val="Tabulka"/>
              <w:rPr>
                <w:rFonts w:cs="Calibri"/>
              </w:rPr>
            </w:pPr>
          </w:p>
        </w:tc>
        <w:tc>
          <w:tcPr>
            <w:tcW w:w="914" w:type="pct"/>
            <w:shd w:val="clear" w:color="auto" w:fill="auto"/>
            <w:vAlign w:val="center"/>
          </w:tcPr>
          <w:p w14:paraId="325EF4A0" w14:textId="77777777" w:rsidR="00E9476F" w:rsidRPr="00DD47DF" w:rsidRDefault="00E9476F" w:rsidP="00E9476F">
            <w:pPr>
              <w:pStyle w:val="Tabulka"/>
              <w:jc w:val="right"/>
              <w:rPr>
                <w:rFonts w:cs="Calibri"/>
              </w:rPr>
            </w:pPr>
          </w:p>
        </w:tc>
      </w:tr>
      <w:tr w:rsidR="00E9476F" w:rsidRPr="00DD47DF" w14:paraId="6D6F1C52" w14:textId="77777777" w:rsidTr="00D05A06">
        <w:tc>
          <w:tcPr>
            <w:tcW w:w="524" w:type="pct"/>
            <w:shd w:val="clear" w:color="auto" w:fill="auto"/>
            <w:vAlign w:val="center"/>
          </w:tcPr>
          <w:p w14:paraId="220ECAF9" w14:textId="77777777" w:rsidR="00E9476F" w:rsidRPr="00DD47DF" w:rsidRDefault="00E9476F" w:rsidP="00E9476F">
            <w:pPr>
              <w:pStyle w:val="Tabulka"/>
              <w:rPr>
                <w:rFonts w:cs="Calibri"/>
              </w:rPr>
            </w:pPr>
            <w:r w:rsidRPr="00DD47DF">
              <w:rPr>
                <w:rFonts w:cs="Calibri"/>
              </w:rPr>
              <w:t>060</w:t>
            </w:r>
          </w:p>
        </w:tc>
        <w:tc>
          <w:tcPr>
            <w:tcW w:w="888" w:type="pct"/>
            <w:tcBorders>
              <w:top w:val="nil"/>
              <w:left w:val="nil"/>
              <w:bottom w:val="single" w:sz="8" w:space="0" w:color="auto"/>
              <w:right w:val="single" w:sz="8" w:space="0" w:color="auto"/>
            </w:tcBorders>
            <w:shd w:val="clear" w:color="auto" w:fill="auto"/>
            <w:vAlign w:val="center"/>
          </w:tcPr>
          <w:p w14:paraId="2C8D7837" w14:textId="410BC850" w:rsidR="00E9476F" w:rsidRPr="00DD47DF" w:rsidRDefault="00025F9C" w:rsidP="00E9476F">
            <w:pPr>
              <w:pStyle w:val="Tabulka"/>
              <w:jc w:val="right"/>
            </w:pPr>
            <w:r>
              <w:rPr>
                <w:color w:val="000000"/>
              </w:rPr>
              <w:t>60 464 085</w:t>
            </w:r>
          </w:p>
        </w:tc>
        <w:tc>
          <w:tcPr>
            <w:tcW w:w="273" w:type="pct"/>
            <w:shd w:val="clear" w:color="auto" w:fill="auto"/>
            <w:vAlign w:val="center"/>
          </w:tcPr>
          <w:p w14:paraId="4A49B3F1" w14:textId="77777777" w:rsidR="00E9476F" w:rsidRPr="00DD47DF" w:rsidRDefault="00E9476F" w:rsidP="00E9476F">
            <w:pPr>
              <w:pStyle w:val="Tabulka"/>
              <w:rPr>
                <w:rFonts w:cs="Calibri"/>
              </w:rPr>
            </w:pPr>
          </w:p>
        </w:tc>
        <w:tc>
          <w:tcPr>
            <w:tcW w:w="922" w:type="pct"/>
            <w:shd w:val="clear" w:color="auto" w:fill="auto"/>
            <w:vAlign w:val="center"/>
          </w:tcPr>
          <w:p w14:paraId="0888F5DA" w14:textId="77777777" w:rsidR="00E9476F" w:rsidRPr="00DD47DF" w:rsidRDefault="00E9476F" w:rsidP="00E9476F">
            <w:pPr>
              <w:pStyle w:val="Tabulka"/>
              <w:jc w:val="right"/>
              <w:rPr>
                <w:rFonts w:cs="Calibri"/>
              </w:rPr>
            </w:pPr>
          </w:p>
        </w:tc>
        <w:tc>
          <w:tcPr>
            <w:tcW w:w="316" w:type="pct"/>
            <w:shd w:val="clear" w:color="auto" w:fill="auto"/>
            <w:vAlign w:val="center"/>
          </w:tcPr>
          <w:p w14:paraId="094C62BF" w14:textId="77777777" w:rsidR="00E9476F" w:rsidRPr="00DD47DF" w:rsidRDefault="00E9476F" w:rsidP="00E9476F">
            <w:pPr>
              <w:pStyle w:val="Tabulka"/>
              <w:rPr>
                <w:rFonts w:cs="Calibri"/>
              </w:rPr>
            </w:pPr>
          </w:p>
        </w:tc>
        <w:tc>
          <w:tcPr>
            <w:tcW w:w="881" w:type="pct"/>
            <w:shd w:val="clear" w:color="auto" w:fill="auto"/>
            <w:vAlign w:val="center"/>
          </w:tcPr>
          <w:p w14:paraId="5274F5DA" w14:textId="77777777" w:rsidR="00E9476F" w:rsidRPr="00DD47DF" w:rsidRDefault="00E9476F" w:rsidP="00E9476F">
            <w:pPr>
              <w:pStyle w:val="Tabulka"/>
              <w:jc w:val="right"/>
              <w:rPr>
                <w:rFonts w:cs="Calibri"/>
              </w:rPr>
            </w:pPr>
          </w:p>
        </w:tc>
        <w:tc>
          <w:tcPr>
            <w:tcW w:w="282" w:type="pct"/>
            <w:shd w:val="clear" w:color="auto" w:fill="auto"/>
            <w:vAlign w:val="center"/>
          </w:tcPr>
          <w:p w14:paraId="6C089C6F" w14:textId="77777777" w:rsidR="00E9476F" w:rsidRPr="00DD47DF" w:rsidRDefault="00E9476F" w:rsidP="00E9476F">
            <w:pPr>
              <w:pStyle w:val="Tabulka"/>
              <w:rPr>
                <w:rFonts w:cs="Calibri"/>
              </w:rPr>
            </w:pPr>
          </w:p>
        </w:tc>
        <w:tc>
          <w:tcPr>
            <w:tcW w:w="914" w:type="pct"/>
            <w:shd w:val="clear" w:color="auto" w:fill="auto"/>
            <w:vAlign w:val="center"/>
          </w:tcPr>
          <w:p w14:paraId="21665246" w14:textId="77777777" w:rsidR="00E9476F" w:rsidRPr="00DD47DF" w:rsidRDefault="00E9476F" w:rsidP="00E9476F">
            <w:pPr>
              <w:pStyle w:val="Tabulka"/>
              <w:jc w:val="right"/>
              <w:rPr>
                <w:rFonts w:cs="Calibri"/>
              </w:rPr>
            </w:pPr>
          </w:p>
        </w:tc>
      </w:tr>
      <w:tr w:rsidR="00E9476F" w:rsidRPr="00DD47DF" w14:paraId="192ED411" w14:textId="77777777" w:rsidTr="00D05A06">
        <w:tc>
          <w:tcPr>
            <w:tcW w:w="524" w:type="pct"/>
            <w:shd w:val="clear" w:color="auto" w:fill="auto"/>
            <w:vAlign w:val="center"/>
          </w:tcPr>
          <w:p w14:paraId="5A9E6E46" w14:textId="77777777" w:rsidR="00E9476F" w:rsidRPr="00DD47DF" w:rsidRDefault="00E9476F" w:rsidP="00E9476F">
            <w:pPr>
              <w:pStyle w:val="Tabulka"/>
              <w:rPr>
                <w:rFonts w:cs="Calibri"/>
              </w:rPr>
            </w:pPr>
            <w:r w:rsidRPr="00DD47DF">
              <w:rPr>
                <w:rFonts w:cs="Calibri"/>
              </w:rPr>
              <w:t>061</w:t>
            </w:r>
          </w:p>
        </w:tc>
        <w:tc>
          <w:tcPr>
            <w:tcW w:w="888" w:type="pct"/>
            <w:tcBorders>
              <w:top w:val="nil"/>
              <w:left w:val="nil"/>
              <w:bottom w:val="single" w:sz="8" w:space="0" w:color="auto"/>
              <w:right w:val="single" w:sz="8" w:space="0" w:color="auto"/>
            </w:tcBorders>
            <w:shd w:val="clear" w:color="auto" w:fill="auto"/>
            <w:vAlign w:val="center"/>
          </w:tcPr>
          <w:p w14:paraId="0AF95045" w14:textId="7C107921" w:rsidR="00E9476F" w:rsidRPr="00DD47DF" w:rsidRDefault="00025F9C" w:rsidP="00E9476F">
            <w:pPr>
              <w:pStyle w:val="Tabulka"/>
              <w:jc w:val="right"/>
            </w:pPr>
            <w:r>
              <w:rPr>
                <w:color w:val="000000"/>
              </w:rPr>
              <w:t>263 704 909</w:t>
            </w:r>
          </w:p>
        </w:tc>
        <w:tc>
          <w:tcPr>
            <w:tcW w:w="273" w:type="pct"/>
            <w:shd w:val="clear" w:color="auto" w:fill="auto"/>
            <w:vAlign w:val="center"/>
          </w:tcPr>
          <w:p w14:paraId="19891C91" w14:textId="77777777" w:rsidR="00E9476F" w:rsidRPr="00DD47DF" w:rsidRDefault="00E9476F" w:rsidP="00E9476F">
            <w:pPr>
              <w:pStyle w:val="Tabulka"/>
              <w:rPr>
                <w:rFonts w:cs="Calibri"/>
              </w:rPr>
            </w:pPr>
          </w:p>
        </w:tc>
        <w:tc>
          <w:tcPr>
            <w:tcW w:w="922" w:type="pct"/>
            <w:shd w:val="clear" w:color="auto" w:fill="auto"/>
            <w:vAlign w:val="center"/>
          </w:tcPr>
          <w:p w14:paraId="3C19B4AD" w14:textId="77777777" w:rsidR="00E9476F" w:rsidRPr="00DD47DF" w:rsidRDefault="00E9476F" w:rsidP="00E9476F">
            <w:pPr>
              <w:pStyle w:val="Tabulka"/>
              <w:jc w:val="right"/>
              <w:rPr>
                <w:rFonts w:cs="Calibri"/>
              </w:rPr>
            </w:pPr>
          </w:p>
        </w:tc>
        <w:tc>
          <w:tcPr>
            <w:tcW w:w="316" w:type="pct"/>
            <w:shd w:val="clear" w:color="auto" w:fill="auto"/>
            <w:vAlign w:val="center"/>
          </w:tcPr>
          <w:p w14:paraId="41352E0F" w14:textId="77777777" w:rsidR="00E9476F" w:rsidRPr="00DD47DF" w:rsidRDefault="00E9476F" w:rsidP="00E9476F">
            <w:pPr>
              <w:pStyle w:val="Tabulka"/>
              <w:rPr>
                <w:rFonts w:cs="Calibri"/>
              </w:rPr>
            </w:pPr>
          </w:p>
        </w:tc>
        <w:tc>
          <w:tcPr>
            <w:tcW w:w="881" w:type="pct"/>
            <w:shd w:val="clear" w:color="auto" w:fill="auto"/>
            <w:vAlign w:val="center"/>
          </w:tcPr>
          <w:p w14:paraId="3034CDCA" w14:textId="77777777" w:rsidR="00E9476F" w:rsidRPr="00DD47DF" w:rsidRDefault="00E9476F" w:rsidP="00E9476F">
            <w:pPr>
              <w:pStyle w:val="Tabulka"/>
              <w:jc w:val="right"/>
              <w:rPr>
                <w:rFonts w:cs="Calibri"/>
              </w:rPr>
            </w:pPr>
          </w:p>
        </w:tc>
        <w:tc>
          <w:tcPr>
            <w:tcW w:w="282" w:type="pct"/>
            <w:shd w:val="clear" w:color="auto" w:fill="auto"/>
            <w:vAlign w:val="center"/>
          </w:tcPr>
          <w:p w14:paraId="74C79E23" w14:textId="77777777" w:rsidR="00E9476F" w:rsidRPr="00DD47DF" w:rsidRDefault="00E9476F" w:rsidP="00E9476F">
            <w:pPr>
              <w:pStyle w:val="Tabulka"/>
              <w:rPr>
                <w:rFonts w:cs="Calibri"/>
              </w:rPr>
            </w:pPr>
          </w:p>
        </w:tc>
        <w:tc>
          <w:tcPr>
            <w:tcW w:w="914" w:type="pct"/>
            <w:shd w:val="clear" w:color="auto" w:fill="auto"/>
            <w:vAlign w:val="center"/>
          </w:tcPr>
          <w:p w14:paraId="290AAA2A" w14:textId="77777777" w:rsidR="00E9476F" w:rsidRPr="00DD47DF" w:rsidRDefault="00E9476F" w:rsidP="00E9476F">
            <w:pPr>
              <w:pStyle w:val="Tabulka"/>
              <w:jc w:val="right"/>
              <w:rPr>
                <w:rFonts w:cs="Calibri"/>
              </w:rPr>
            </w:pPr>
          </w:p>
        </w:tc>
      </w:tr>
      <w:tr w:rsidR="00E9476F" w:rsidRPr="00DD47DF" w14:paraId="10FA2335" w14:textId="77777777" w:rsidTr="00D05A06">
        <w:tc>
          <w:tcPr>
            <w:tcW w:w="524" w:type="pct"/>
            <w:shd w:val="clear" w:color="auto" w:fill="auto"/>
            <w:vAlign w:val="center"/>
          </w:tcPr>
          <w:p w14:paraId="348A5C9B" w14:textId="77777777" w:rsidR="00E9476F" w:rsidRPr="00DD47DF" w:rsidRDefault="00E9476F" w:rsidP="00E9476F">
            <w:pPr>
              <w:pStyle w:val="Tabulka"/>
              <w:rPr>
                <w:rFonts w:cs="Calibri"/>
              </w:rPr>
            </w:pPr>
            <w:r w:rsidRPr="00DD47DF">
              <w:rPr>
                <w:rFonts w:cs="Calibri"/>
              </w:rPr>
              <w:t>062</w:t>
            </w:r>
          </w:p>
        </w:tc>
        <w:tc>
          <w:tcPr>
            <w:tcW w:w="888" w:type="pct"/>
            <w:tcBorders>
              <w:top w:val="nil"/>
              <w:left w:val="nil"/>
              <w:bottom w:val="single" w:sz="8" w:space="0" w:color="auto"/>
              <w:right w:val="single" w:sz="8" w:space="0" w:color="auto"/>
            </w:tcBorders>
            <w:shd w:val="clear" w:color="auto" w:fill="auto"/>
            <w:vAlign w:val="center"/>
          </w:tcPr>
          <w:p w14:paraId="3B0F6446" w14:textId="1F03DF8D" w:rsidR="00E9476F" w:rsidRPr="00DD47DF" w:rsidRDefault="00025F9C" w:rsidP="00E9476F">
            <w:pPr>
              <w:pStyle w:val="Tabulka"/>
              <w:jc w:val="right"/>
            </w:pPr>
            <w:r>
              <w:rPr>
                <w:color w:val="000000"/>
              </w:rPr>
              <w:t>19 061 720</w:t>
            </w:r>
          </w:p>
        </w:tc>
        <w:tc>
          <w:tcPr>
            <w:tcW w:w="273" w:type="pct"/>
            <w:shd w:val="clear" w:color="auto" w:fill="auto"/>
            <w:vAlign w:val="center"/>
          </w:tcPr>
          <w:p w14:paraId="5886B396" w14:textId="77777777" w:rsidR="00E9476F" w:rsidRPr="00DD47DF" w:rsidRDefault="00E9476F" w:rsidP="00E9476F">
            <w:pPr>
              <w:pStyle w:val="Tabulka"/>
              <w:rPr>
                <w:rFonts w:cs="Calibri"/>
              </w:rPr>
            </w:pPr>
          </w:p>
        </w:tc>
        <w:tc>
          <w:tcPr>
            <w:tcW w:w="922" w:type="pct"/>
            <w:shd w:val="clear" w:color="auto" w:fill="auto"/>
            <w:vAlign w:val="center"/>
          </w:tcPr>
          <w:p w14:paraId="42A45962" w14:textId="77777777" w:rsidR="00E9476F" w:rsidRPr="00DD47DF" w:rsidRDefault="00E9476F" w:rsidP="00E9476F">
            <w:pPr>
              <w:pStyle w:val="Tabulka"/>
              <w:jc w:val="right"/>
              <w:rPr>
                <w:rFonts w:cs="Calibri"/>
              </w:rPr>
            </w:pPr>
          </w:p>
        </w:tc>
        <w:tc>
          <w:tcPr>
            <w:tcW w:w="316" w:type="pct"/>
            <w:shd w:val="clear" w:color="auto" w:fill="auto"/>
            <w:vAlign w:val="center"/>
          </w:tcPr>
          <w:p w14:paraId="3605E0EA" w14:textId="77777777" w:rsidR="00E9476F" w:rsidRPr="00DD47DF" w:rsidRDefault="00E9476F" w:rsidP="00E9476F">
            <w:pPr>
              <w:pStyle w:val="Tabulka"/>
              <w:rPr>
                <w:rFonts w:cs="Calibri"/>
              </w:rPr>
            </w:pPr>
          </w:p>
        </w:tc>
        <w:tc>
          <w:tcPr>
            <w:tcW w:w="881" w:type="pct"/>
            <w:shd w:val="clear" w:color="auto" w:fill="auto"/>
            <w:vAlign w:val="center"/>
          </w:tcPr>
          <w:p w14:paraId="1A924275" w14:textId="77777777" w:rsidR="00E9476F" w:rsidRPr="00DD47DF" w:rsidRDefault="00E9476F" w:rsidP="00E9476F">
            <w:pPr>
              <w:pStyle w:val="Tabulka"/>
              <w:jc w:val="right"/>
              <w:rPr>
                <w:rFonts w:cs="Calibri"/>
              </w:rPr>
            </w:pPr>
          </w:p>
        </w:tc>
        <w:tc>
          <w:tcPr>
            <w:tcW w:w="282" w:type="pct"/>
            <w:shd w:val="clear" w:color="auto" w:fill="auto"/>
            <w:vAlign w:val="center"/>
          </w:tcPr>
          <w:p w14:paraId="780C46FC" w14:textId="77777777" w:rsidR="00E9476F" w:rsidRPr="00DD47DF" w:rsidRDefault="00E9476F" w:rsidP="00E9476F">
            <w:pPr>
              <w:pStyle w:val="Tabulka"/>
              <w:rPr>
                <w:rFonts w:cs="Calibri"/>
              </w:rPr>
            </w:pPr>
          </w:p>
        </w:tc>
        <w:tc>
          <w:tcPr>
            <w:tcW w:w="914" w:type="pct"/>
            <w:shd w:val="clear" w:color="auto" w:fill="auto"/>
            <w:vAlign w:val="center"/>
          </w:tcPr>
          <w:p w14:paraId="0A0C3281" w14:textId="77777777" w:rsidR="00E9476F" w:rsidRPr="00DD47DF" w:rsidRDefault="00E9476F" w:rsidP="00E9476F">
            <w:pPr>
              <w:pStyle w:val="Tabulka"/>
              <w:jc w:val="right"/>
              <w:rPr>
                <w:rFonts w:cs="Calibri"/>
              </w:rPr>
            </w:pPr>
          </w:p>
        </w:tc>
      </w:tr>
      <w:tr w:rsidR="00E9476F" w:rsidRPr="00DD47DF" w14:paraId="730382E2" w14:textId="77777777" w:rsidTr="00D05A06">
        <w:tc>
          <w:tcPr>
            <w:tcW w:w="524" w:type="pct"/>
            <w:shd w:val="clear" w:color="auto" w:fill="auto"/>
            <w:vAlign w:val="center"/>
          </w:tcPr>
          <w:p w14:paraId="67255F66" w14:textId="77777777" w:rsidR="00E9476F" w:rsidRPr="00DD47DF" w:rsidRDefault="00E9476F" w:rsidP="00E9476F">
            <w:pPr>
              <w:pStyle w:val="Tabulka"/>
              <w:rPr>
                <w:rFonts w:cs="Calibri"/>
              </w:rPr>
            </w:pPr>
            <w:r w:rsidRPr="00DD47DF">
              <w:rPr>
                <w:rFonts w:cs="Calibri"/>
              </w:rPr>
              <w:t>063</w:t>
            </w:r>
          </w:p>
        </w:tc>
        <w:tc>
          <w:tcPr>
            <w:tcW w:w="888" w:type="pct"/>
            <w:tcBorders>
              <w:top w:val="nil"/>
              <w:left w:val="nil"/>
              <w:bottom w:val="single" w:sz="8" w:space="0" w:color="auto"/>
              <w:right w:val="single" w:sz="8" w:space="0" w:color="auto"/>
            </w:tcBorders>
            <w:shd w:val="clear" w:color="auto" w:fill="auto"/>
            <w:vAlign w:val="center"/>
          </w:tcPr>
          <w:p w14:paraId="1FC9C045" w14:textId="33F1286E" w:rsidR="00E9476F" w:rsidRPr="00DD47DF" w:rsidRDefault="00E46245" w:rsidP="00E9476F">
            <w:pPr>
              <w:pStyle w:val="Tabulka"/>
              <w:jc w:val="right"/>
            </w:pPr>
            <w:r w:rsidRPr="00700E39">
              <w:rPr>
                <w:color w:val="000000"/>
              </w:rPr>
              <w:t>296 941 114</w:t>
            </w:r>
          </w:p>
        </w:tc>
        <w:tc>
          <w:tcPr>
            <w:tcW w:w="273" w:type="pct"/>
            <w:shd w:val="clear" w:color="auto" w:fill="auto"/>
            <w:vAlign w:val="center"/>
          </w:tcPr>
          <w:p w14:paraId="19E1E658" w14:textId="77777777" w:rsidR="00E9476F" w:rsidRPr="00DD47DF" w:rsidRDefault="00E9476F" w:rsidP="00E9476F">
            <w:pPr>
              <w:pStyle w:val="Tabulka"/>
              <w:rPr>
                <w:rFonts w:cs="Calibri"/>
              </w:rPr>
            </w:pPr>
          </w:p>
        </w:tc>
        <w:tc>
          <w:tcPr>
            <w:tcW w:w="922" w:type="pct"/>
            <w:shd w:val="clear" w:color="auto" w:fill="auto"/>
            <w:vAlign w:val="center"/>
          </w:tcPr>
          <w:p w14:paraId="0A4E7831" w14:textId="77777777" w:rsidR="00E9476F" w:rsidRPr="00DD47DF" w:rsidRDefault="00E9476F" w:rsidP="00E9476F">
            <w:pPr>
              <w:pStyle w:val="Tabulka"/>
              <w:jc w:val="right"/>
              <w:rPr>
                <w:rFonts w:cs="Calibri"/>
              </w:rPr>
            </w:pPr>
          </w:p>
        </w:tc>
        <w:tc>
          <w:tcPr>
            <w:tcW w:w="316" w:type="pct"/>
            <w:shd w:val="clear" w:color="auto" w:fill="auto"/>
            <w:vAlign w:val="center"/>
          </w:tcPr>
          <w:p w14:paraId="7F65A871" w14:textId="77777777" w:rsidR="00E9476F" w:rsidRPr="00DD47DF" w:rsidRDefault="00E9476F" w:rsidP="00E9476F">
            <w:pPr>
              <w:pStyle w:val="Tabulka"/>
              <w:rPr>
                <w:rFonts w:cs="Calibri"/>
              </w:rPr>
            </w:pPr>
          </w:p>
        </w:tc>
        <w:tc>
          <w:tcPr>
            <w:tcW w:w="881" w:type="pct"/>
            <w:shd w:val="clear" w:color="auto" w:fill="auto"/>
            <w:vAlign w:val="center"/>
          </w:tcPr>
          <w:p w14:paraId="79FC038A" w14:textId="77777777" w:rsidR="00E9476F" w:rsidRPr="00DD47DF" w:rsidRDefault="00E9476F" w:rsidP="00E9476F">
            <w:pPr>
              <w:pStyle w:val="Tabulka"/>
              <w:jc w:val="right"/>
              <w:rPr>
                <w:rFonts w:cs="Calibri"/>
              </w:rPr>
            </w:pPr>
          </w:p>
        </w:tc>
        <w:tc>
          <w:tcPr>
            <w:tcW w:w="282" w:type="pct"/>
            <w:shd w:val="clear" w:color="auto" w:fill="auto"/>
            <w:vAlign w:val="center"/>
          </w:tcPr>
          <w:p w14:paraId="5420B526" w14:textId="77777777" w:rsidR="00E9476F" w:rsidRPr="00DD47DF" w:rsidRDefault="00E9476F" w:rsidP="00E9476F">
            <w:pPr>
              <w:pStyle w:val="Tabulka"/>
              <w:rPr>
                <w:rFonts w:cs="Calibri"/>
              </w:rPr>
            </w:pPr>
          </w:p>
        </w:tc>
        <w:tc>
          <w:tcPr>
            <w:tcW w:w="914" w:type="pct"/>
            <w:shd w:val="clear" w:color="auto" w:fill="auto"/>
            <w:vAlign w:val="center"/>
          </w:tcPr>
          <w:p w14:paraId="05D261ED" w14:textId="77777777" w:rsidR="00E9476F" w:rsidRPr="00DD47DF" w:rsidRDefault="00E9476F" w:rsidP="00E9476F">
            <w:pPr>
              <w:pStyle w:val="Tabulka"/>
              <w:jc w:val="right"/>
              <w:rPr>
                <w:rFonts w:cs="Calibri"/>
              </w:rPr>
            </w:pPr>
          </w:p>
        </w:tc>
      </w:tr>
      <w:tr w:rsidR="00E9476F" w:rsidRPr="00DD47DF" w14:paraId="1082CEA1" w14:textId="77777777" w:rsidTr="00D05A06">
        <w:tc>
          <w:tcPr>
            <w:tcW w:w="524" w:type="pct"/>
            <w:shd w:val="clear" w:color="auto" w:fill="auto"/>
            <w:vAlign w:val="center"/>
          </w:tcPr>
          <w:p w14:paraId="68C1045F" w14:textId="77777777" w:rsidR="00E9476F" w:rsidRPr="00DD47DF" w:rsidRDefault="00E9476F" w:rsidP="00E9476F">
            <w:pPr>
              <w:pStyle w:val="Tabulka"/>
              <w:rPr>
                <w:rFonts w:cs="Calibri"/>
              </w:rPr>
            </w:pPr>
            <w:r w:rsidRPr="00DD47DF">
              <w:rPr>
                <w:rFonts w:cs="Calibri"/>
              </w:rPr>
              <w:t>064</w:t>
            </w:r>
          </w:p>
        </w:tc>
        <w:tc>
          <w:tcPr>
            <w:tcW w:w="888" w:type="pct"/>
            <w:tcBorders>
              <w:top w:val="nil"/>
              <w:left w:val="nil"/>
              <w:bottom w:val="single" w:sz="8" w:space="0" w:color="auto"/>
              <w:right w:val="single" w:sz="8" w:space="0" w:color="auto"/>
            </w:tcBorders>
            <w:shd w:val="clear" w:color="auto" w:fill="auto"/>
            <w:vAlign w:val="center"/>
          </w:tcPr>
          <w:p w14:paraId="4FD19C7C" w14:textId="45A8DF00" w:rsidR="00E9476F" w:rsidRPr="00DD47DF" w:rsidRDefault="00E46245" w:rsidP="00E9476F">
            <w:pPr>
              <w:pStyle w:val="Tabulka"/>
              <w:jc w:val="right"/>
            </w:pPr>
            <w:r w:rsidRPr="00700E39">
              <w:rPr>
                <w:color w:val="000000"/>
              </w:rPr>
              <w:t>57 987 240</w:t>
            </w:r>
          </w:p>
        </w:tc>
        <w:tc>
          <w:tcPr>
            <w:tcW w:w="273" w:type="pct"/>
            <w:shd w:val="clear" w:color="auto" w:fill="auto"/>
            <w:vAlign w:val="center"/>
          </w:tcPr>
          <w:p w14:paraId="376D1112" w14:textId="77777777" w:rsidR="00E9476F" w:rsidRPr="00DD47DF" w:rsidRDefault="00E9476F" w:rsidP="00E9476F">
            <w:pPr>
              <w:pStyle w:val="Tabulka"/>
              <w:rPr>
                <w:rFonts w:cs="Calibri"/>
              </w:rPr>
            </w:pPr>
          </w:p>
        </w:tc>
        <w:tc>
          <w:tcPr>
            <w:tcW w:w="922" w:type="pct"/>
            <w:shd w:val="clear" w:color="auto" w:fill="auto"/>
            <w:vAlign w:val="center"/>
          </w:tcPr>
          <w:p w14:paraId="6E34B913" w14:textId="77777777" w:rsidR="00E9476F" w:rsidRPr="00DD47DF" w:rsidRDefault="00E9476F" w:rsidP="00E9476F">
            <w:pPr>
              <w:pStyle w:val="Tabulka"/>
              <w:jc w:val="right"/>
              <w:rPr>
                <w:rFonts w:cs="Calibri"/>
              </w:rPr>
            </w:pPr>
          </w:p>
        </w:tc>
        <w:tc>
          <w:tcPr>
            <w:tcW w:w="316" w:type="pct"/>
            <w:shd w:val="clear" w:color="auto" w:fill="auto"/>
            <w:vAlign w:val="center"/>
          </w:tcPr>
          <w:p w14:paraId="77AD106D" w14:textId="77777777" w:rsidR="00E9476F" w:rsidRPr="00DD47DF" w:rsidRDefault="00E9476F" w:rsidP="00E9476F">
            <w:pPr>
              <w:pStyle w:val="Tabulka"/>
              <w:rPr>
                <w:rFonts w:cs="Calibri"/>
              </w:rPr>
            </w:pPr>
          </w:p>
        </w:tc>
        <w:tc>
          <w:tcPr>
            <w:tcW w:w="881" w:type="pct"/>
            <w:shd w:val="clear" w:color="auto" w:fill="auto"/>
            <w:vAlign w:val="center"/>
          </w:tcPr>
          <w:p w14:paraId="455C0F9F" w14:textId="77777777" w:rsidR="00E9476F" w:rsidRPr="00DD47DF" w:rsidRDefault="00E9476F" w:rsidP="00E9476F">
            <w:pPr>
              <w:pStyle w:val="Tabulka"/>
              <w:jc w:val="right"/>
              <w:rPr>
                <w:rFonts w:cs="Calibri"/>
              </w:rPr>
            </w:pPr>
          </w:p>
        </w:tc>
        <w:tc>
          <w:tcPr>
            <w:tcW w:w="282" w:type="pct"/>
            <w:shd w:val="clear" w:color="auto" w:fill="auto"/>
            <w:vAlign w:val="center"/>
          </w:tcPr>
          <w:p w14:paraId="77D0217F" w14:textId="77777777" w:rsidR="00E9476F" w:rsidRPr="00DD47DF" w:rsidRDefault="00E9476F" w:rsidP="00E9476F">
            <w:pPr>
              <w:pStyle w:val="Tabulka"/>
              <w:rPr>
                <w:rFonts w:cs="Calibri"/>
              </w:rPr>
            </w:pPr>
          </w:p>
        </w:tc>
        <w:tc>
          <w:tcPr>
            <w:tcW w:w="914" w:type="pct"/>
            <w:shd w:val="clear" w:color="auto" w:fill="auto"/>
            <w:vAlign w:val="center"/>
          </w:tcPr>
          <w:p w14:paraId="06A20412" w14:textId="77777777" w:rsidR="00E9476F" w:rsidRPr="00DD47DF" w:rsidRDefault="00E9476F" w:rsidP="00E9476F">
            <w:pPr>
              <w:pStyle w:val="Tabulka"/>
              <w:jc w:val="right"/>
              <w:rPr>
                <w:rFonts w:cs="Calibri"/>
              </w:rPr>
            </w:pPr>
          </w:p>
        </w:tc>
      </w:tr>
      <w:tr w:rsidR="00E9476F" w:rsidRPr="00DD47DF" w14:paraId="5F01AA88" w14:textId="77777777" w:rsidTr="00D05A06">
        <w:tc>
          <w:tcPr>
            <w:tcW w:w="524" w:type="pct"/>
            <w:shd w:val="clear" w:color="auto" w:fill="auto"/>
            <w:vAlign w:val="center"/>
          </w:tcPr>
          <w:p w14:paraId="053DB0C9" w14:textId="77777777" w:rsidR="00E9476F" w:rsidRPr="00DD47DF" w:rsidRDefault="00E9476F" w:rsidP="00E9476F">
            <w:pPr>
              <w:pStyle w:val="Tabulka"/>
              <w:rPr>
                <w:rFonts w:cs="Calibri"/>
              </w:rPr>
            </w:pPr>
            <w:r w:rsidRPr="00DD47DF">
              <w:rPr>
                <w:rFonts w:cs="Calibri"/>
              </w:rPr>
              <w:t>065</w:t>
            </w:r>
          </w:p>
        </w:tc>
        <w:tc>
          <w:tcPr>
            <w:tcW w:w="888" w:type="pct"/>
            <w:tcBorders>
              <w:top w:val="nil"/>
              <w:left w:val="nil"/>
              <w:bottom w:val="single" w:sz="8" w:space="0" w:color="auto"/>
              <w:right w:val="single" w:sz="8" w:space="0" w:color="auto"/>
            </w:tcBorders>
            <w:shd w:val="clear" w:color="auto" w:fill="auto"/>
            <w:vAlign w:val="center"/>
          </w:tcPr>
          <w:p w14:paraId="2AB3CEA3" w14:textId="7A7FD112" w:rsidR="00E9476F" w:rsidRPr="00DD47DF" w:rsidRDefault="00025F9C" w:rsidP="00E9476F">
            <w:pPr>
              <w:pStyle w:val="Tabulka"/>
              <w:jc w:val="right"/>
            </w:pPr>
            <w:r>
              <w:rPr>
                <w:color w:val="000000"/>
              </w:rPr>
              <w:t>108 834 504</w:t>
            </w:r>
          </w:p>
        </w:tc>
        <w:tc>
          <w:tcPr>
            <w:tcW w:w="273" w:type="pct"/>
            <w:shd w:val="clear" w:color="auto" w:fill="auto"/>
            <w:vAlign w:val="center"/>
          </w:tcPr>
          <w:p w14:paraId="4F0AFEDB" w14:textId="77777777" w:rsidR="00E9476F" w:rsidRPr="00DD47DF" w:rsidRDefault="00E9476F" w:rsidP="00E9476F">
            <w:pPr>
              <w:pStyle w:val="Tabulka"/>
              <w:rPr>
                <w:rFonts w:cs="Calibri"/>
              </w:rPr>
            </w:pPr>
          </w:p>
        </w:tc>
        <w:tc>
          <w:tcPr>
            <w:tcW w:w="922" w:type="pct"/>
            <w:shd w:val="clear" w:color="auto" w:fill="auto"/>
            <w:vAlign w:val="center"/>
          </w:tcPr>
          <w:p w14:paraId="73E007E0" w14:textId="77777777" w:rsidR="00E9476F" w:rsidRPr="00DD47DF" w:rsidRDefault="00E9476F" w:rsidP="00E9476F">
            <w:pPr>
              <w:pStyle w:val="Tabulka"/>
              <w:jc w:val="right"/>
              <w:rPr>
                <w:rFonts w:cs="Calibri"/>
              </w:rPr>
            </w:pPr>
          </w:p>
        </w:tc>
        <w:tc>
          <w:tcPr>
            <w:tcW w:w="316" w:type="pct"/>
            <w:shd w:val="clear" w:color="auto" w:fill="auto"/>
            <w:vAlign w:val="center"/>
          </w:tcPr>
          <w:p w14:paraId="749B00ED" w14:textId="77777777" w:rsidR="00E9476F" w:rsidRPr="00DD47DF" w:rsidRDefault="00E9476F" w:rsidP="00E9476F">
            <w:pPr>
              <w:pStyle w:val="Tabulka"/>
              <w:rPr>
                <w:rFonts w:cs="Calibri"/>
              </w:rPr>
            </w:pPr>
          </w:p>
        </w:tc>
        <w:tc>
          <w:tcPr>
            <w:tcW w:w="881" w:type="pct"/>
            <w:shd w:val="clear" w:color="auto" w:fill="auto"/>
            <w:vAlign w:val="center"/>
          </w:tcPr>
          <w:p w14:paraId="797F7B4E" w14:textId="77777777" w:rsidR="00E9476F" w:rsidRPr="00DD47DF" w:rsidRDefault="00E9476F" w:rsidP="00E9476F">
            <w:pPr>
              <w:pStyle w:val="Tabulka"/>
              <w:jc w:val="right"/>
              <w:rPr>
                <w:rFonts w:cs="Calibri"/>
              </w:rPr>
            </w:pPr>
          </w:p>
        </w:tc>
        <w:tc>
          <w:tcPr>
            <w:tcW w:w="282" w:type="pct"/>
            <w:shd w:val="clear" w:color="auto" w:fill="auto"/>
            <w:vAlign w:val="center"/>
          </w:tcPr>
          <w:p w14:paraId="2AAA5F3D" w14:textId="77777777" w:rsidR="00E9476F" w:rsidRPr="00DD47DF" w:rsidRDefault="00E9476F" w:rsidP="00E9476F">
            <w:pPr>
              <w:pStyle w:val="Tabulka"/>
              <w:rPr>
                <w:rFonts w:cs="Calibri"/>
              </w:rPr>
            </w:pPr>
          </w:p>
        </w:tc>
        <w:tc>
          <w:tcPr>
            <w:tcW w:w="914" w:type="pct"/>
            <w:shd w:val="clear" w:color="auto" w:fill="auto"/>
            <w:vAlign w:val="center"/>
          </w:tcPr>
          <w:p w14:paraId="65148365" w14:textId="77777777" w:rsidR="00E9476F" w:rsidRPr="00DD47DF" w:rsidRDefault="00E9476F" w:rsidP="00E9476F">
            <w:pPr>
              <w:pStyle w:val="Tabulka"/>
              <w:jc w:val="right"/>
              <w:rPr>
                <w:rFonts w:cs="Calibri"/>
              </w:rPr>
            </w:pPr>
          </w:p>
        </w:tc>
      </w:tr>
    </w:tbl>
    <w:p w14:paraId="5DF81260" w14:textId="77777777" w:rsidR="00636BAA" w:rsidRPr="00DD47DF" w:rsidRDefault="00DF23DE" w:rsidP="00441D67">
      <w:pPr>
        <w:pStyle w:val="kapitola2A0"/>
        <w:numPr>
          <w:ilvl w:val="2"/>
          <w:numId w:val="128"/>
        </w:numPr>
      </w:pPr>
      <w:bookmarkStart w:id="37" w:name="_Toc506884988"/>
      <w:bookmarkStart w:id="38" w:name="_Toc351464369"/>
      <w:r w:rsidRPr="00DD47DF">
        <w:t>Přehled plánovaného využití technické pomoci, je-li to nutné, včetně opatření na posílení správní kapacity orgánů zapojených do řízení a kontroly programů a příjemců (použije-li se)</w:t>
      </w:r>
      <w:bookmarkEnd w:id="37"/>
    </w:p>
    <w:p w14:paraId="10E5C718" w14:textId="77777777" w:rsidR="005A765B" w:rsidRPr="00DD47DF" w:rsidRDefault="008F72F4" w:rsidP="00133DC7">
      <w:pPr>
        <w:pStyle w:val="Standardntext"/>
        <w:rPr>
          <w:color w:val="FF0000"/>
        </w:rPr>
      </w:pPr>
      <w:r w:rsidRPr="00DD47DF">
        <w:t>Není relevantní pro OP PIK.</w:t>
      </w:r>
    </w:p>
    <w:p w14:paraId="5A138B81" w14:textId="77777777" w:rsidR="00EA3457" w:rsidRPr="00DD47DF" w:rsidRDefault="00EA3457" w:rsidP="00133DC7">
      <w:pPr>
        <w:pStyle w:val="Standardntext"/>
        <w:rPr>
          <w:color w:val="FF0000"/>
        </w:rPr>
      </w:pPr>
      <w:r w:rsidRPr="00DD47DF">
        <w:rPr>
          <w:color w:val="FF0000"/>
        </w:rPr>
        <w:br w:type="page"/>
      </w:r>
    </w:p>
    <w:p w14:paraId="3ADBBF03" w14:textId="77777777" w:rsidR="008C6813" w:rsidRPr="00DD47DF" w:rsidRDefault="008C6813" w:rsidP="005F43DF">
      <w:pPr>
        <w:pStyle w:val="kapitola2A0"/>
        <w:numPr>
          <w:ilvl w:val="2"/>
          <w:numId w:val="15"/>
        </w:numPr>
      </w:pPr>
      <w:bookmarkStart w:id="39" w:name="_Toc506884989"/>
      <w:bookmarkEnd w:id="38"/>
      <w:r w:rsidRPr="00DD47DF">
        <w:lastRenderedPageBreak/>
        <w:t>PRIORITNÍ OSA 2: Rozvoj podnikání a konkurenceschopnosti malých a středních podniků</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8C6813" w:rsidRPr="00DD47DF" w14:paraId="31649EF5" w14:textId="77777777">
        <w:tc>
          <w:tcPr>
            <w:tcW w:w="4736" w:type="pct"/>
            <w:shd w:val="clear" w:color="auto" w:fill="auto"/>
            <w:vAlign w:val="center"/>
          </w:tcPr>
          <w:p w14:paraId="1B3BA631" w14:textId="77777777" w:rsidR="008C6813" w:rsidRPr="00DD47DF" w:rsidRDefault="008C6813" w:rsidP="008C6813">
            <w:pPr>
              <w:pStyle w:val="Tabulka"/>
              <w:jc w:val="left"/>
              <w:rPr>
                <w:rFonts w:cs="Calibri"/>
              </w:rPr>
            </w:pPr>
            <w:r w:rsidRPr="00DD47DF">
              <w:rPr>
                <w:rFonts w:cs="Calibri"/>
              </w:rPr>
              <w:t>Celá prioritní osa bude realizována výhradně prostřednictvím finančních nástrojů</w:t>
            </w:r>
          </w:p>
        </w:tc>
        <w:tc>
          <w:tcPr>
            <w:tcW w:w="264" w:type="pct"/>
            <w:shd w:val="clear" w:color="auto" w:fill="auto"/>
            <w:vAlign w:val="center"/>
          </w:tcPr>
          <w:p w14:paraId="5A635FF2" w14:textId="77777777" w:rsidR="008C6813" w:rsidRPr="00DD47DF" w:rsidRDefault="002756E7" w:rsidP="008C6813">
            <w:pPr>
              <w:pStyle w:val="Tabulka"/>
              <w:rPr>
                <w:rFonts w:cs="Calibri"/>
              </w:rPr>
            </w:pPr>
            <w:r w:rsidRPr="00DD47DF">
              <w:rPr>
                <w:rFonts w:cs="Calibri"/>
              </w:rPr>
              <w:fldChar w:fldCharType="begin">
                <w:ffData>
                  <w:name w:val="Check1"/>
                  <w:enabled/>
                  <w:calcOnExit w:val="0"/>
                  <w:checkBox>
                    <w:sizeAuto/>
                    <w:default w:val="0"/>
                  </w:checkBox>
                </w:ffData>
              </w:fldChar>
            </w:r>
            <w:r w:rsidR="008C6813" w:rsidRPr="00DD47DF">
              <w:rPr>
                <w:rFonts w:cs="Calibri"/>
              </w:rPr>
              <w:instrText xml:space="preserve"> FORMCHECKBOX </w:instrText>
            </w:r>
            <w:r w:rsidR="00580034">
              <w:rPr>
                <w:rFonts w:cs="Calibri"/>
              </w:rPr>
            </w:r>
            <w:r w:rsidR="00580034">
              <w:rPr>
                <w:rFonts w:cs="Calibri"/>
              </w:rPr>
              <w:fldChar w:fldCharType="separate"/>
            </w:r>
            <w:r w:rsidRPr="00DD47DF">
              <w:rPr>
                <w:rFonts w:cs="Calibri"/>
              </w:rPr>
              <w:fldChar w:fldCharType="end"/>
            </w:r>
          </w:p>
        </w:tc>
      </w:tr>
      <w:tr w:rsidR="008C6813" w:rsidRPr="00DD47DF" w14:paraId="26A6A294" w14:textId="77777777">
        <w:tc>
          <w:tcPr>
            <w:tcW w:w="4736" w:type="pct"/>
            <w:shd w:val="clear" w:color="auto" w:fill="auto"/>
            <w:vAlign w:val="center"/>
          </w:tcPr>
          <w:p w14:paraId="7C32E0E3" w14:textId="77777777" w:rsidR="008C6813" w:rsidRPr="00DD47DF" w:rsidRDefault="008C6813" w:rsidP="008C6813">
            <w:pPr>
              <w:pStyle w:val="Tabulka"/>
              <w:jc w:val="left"/>
              <w:rPr>
                <w:rFonts w:cs="Calibri"/>
              </w:rPr>
            </w:pPr>
            <w:r w:rsidRPr="00DD47DF">
              <w:rPr>
                <w:rFonts w:cs="Calibri"/>
              </w:rPr>
              <w:t>Celá prioritní osa bude realizována výhradně prostřednictvím finančních nástrojů zřízených na úrovni Unie</w:t>
            </w:r>
          </w:p>
        </w:tc>
        <w:tc>
          <w:tcPr>
            <w:tcW w:w="264" w:type="pct"/>
            <w:shd w:val="clear" w:color="auto" w:fill="auto"/>
            <w:vAlign w:val="center"/>
          </w:tcPr>
          <w:p w14:paraId="46EA5408" w14:textId="77777777" w:rsidR="008C6813" w:rsidRPr="00DD47DF" w:rsidRDefault="002756E7" w:rsidP="008C6813">
            <w:pPr>
              <w:pStyle w:val="Tabulka"/>
              <w:rPr>
                <w:rFonts w:cs="Calibri"/>
              </w:rPr>
            </w:pPr>
            <w:r w:rsidRPr="00DD47DF">
              <w:rPr>
                <w:rFonts w:cs="Calibri"/>
              </w:rPr>
              <w:fldChar w:fldCharType="begin">
                <w:ffData>
                  <w:name w:val="Check1"/>
                  <w:enabled/>
                  <w:calcOnExit w:val="0"/>
                  <w:checkBox>
                    <w:sizeAuto/>
                    <w:default w:val="0"/>
                  </w:checkBox>
                </w:ffData>
              </w:fldChar>
            </w:r>
            <w:r w:rsidR="008C6813" w:rsidRPr="00DD47DF">
              <w:rPr>
                <w:rFonts w:cs="Calibri"/>
              </w:rPr>
              <w:instrText xml:space="preserve"> FORMCHECKBOX </w:instrText>
            </w:r>
            <w:r w:rsidR="00580034">
              <w:rPr>
                <w:rFonts w:cs="Calibri"/>
              </w:rPr>
            </w:r>
            <w:r w:rsidR="00580034">
              <w:rPr>
                <w:rFonts w:cs="Calibri"/>
              </w:rPr>
              <w:fldChar w:fldCharType="separate"/>
            </w:r>
            <w:r w:rsidRPr="00DD47DF">
              <w:rPr>
                <w:rFonts w:cs="Calibri"/>
              </w:rPr>
              <w:fldChar w:fldCharType="end"/>
            </w:r>
          </w:p>
        </w:tc>
      </w:tr>
      <w:tr w:rsidR="008C6813" w:rsidRPr="00DD47DF" w14:paraId="0AE2D798" w14:textId="77777777">
        <w:tc>
          <w:tcPr>
            <w:tcW w:w="4736" w:type="pct"/>
            <w:shd w:val="clear" w:color="auto" w:fill="auto"/>
            <w:vAlign w:val="center"/>
          </w:tcPr>
          <w:p w14:paraId="61B7E247" w14:textId="77777777" w:rsidR="008C6813" w:rsidRPr="00DD47DF" w:rsidRDefault="008C6813" w:rsidP="008C6813">
            <w:pPr>
              <w:pStyle w:val="Tabulka"/>
              <w:jc w:val="left"/>
              <w:rPr>
                <w:rFonts w:cs="Calibri"/>
              </w:rPr>
            </w:pPr>
            <w:r w:rsidRPr="00DD47DF">
              <w:rPr>
                <w:rFonts w:cs="Calibri"/>
              </w:rPr>
              <w:t>Celá prioritní osa bude realizována výhradně prostřednictvím komunitně vedeného místního rozvoje</w:t>
            </w:r>
          </w:p>
        </w:tc>
        <w:tc>
          <w:tcPr>
            <w:tcW w:w="264" w:type="pct"/>
            <w:shd w:val="clear" w:color="auto" w:fill="auto"/>
            <w:vAlign w:val="center"/>
          </w:tcPr>
          <w:p w14:paraId="6670A7D1" w14:textId="77777777" w:rsidR="008C6813" w:rsidRPr="00DD47DF" w:rsidRDefault="002756E7" w:rsidP="008C6813">
            <w:pPr>
              <w:pStyle w:val="Tabulka"/>
              <w:rPr>
                <w:rFonts w:cs="Calibri"/>
              </w:rPr>
            </w:pPr>
            <w:r w:rsidRPr="00DD47DF">
              <w:rPr>
                <w:rFonts w:cs="Calibri"/>
              </w:rPr>
              <w:fldChar w:fldCharType="begin">
                <w:ffData>
                  <w:name w:val="Check1"/>
                  <w:enabled/>
                  <w:calcOnExit w:val="0"/>
                  <w:checkBox>
                    <w:sizeAuto/>
                    <w:default w:val="0"/>
                  </w:checkBox>
                </w:ffData>
              </w:fldChar>
            </w:r>
            <w:r w:rsidR="008C6813" w:rsidRPr="00DD47DF">
              <w:rPr>
                <w:rFonts w:cs="Calibri"/>
              </w:rPr>
              <w:instrText xml:space="preserve"> FORMCHECKBOX </w:instrText>
            </w:r>
            <w:r w:rsidR="00580034">
              <w:rPr>
                <w:rFonts w:cs="Calibri"/>
              </w:rPr>
            </w:r>
            <w:r w:rsidR="00580034">
              <w:rPr>
                <w:rFonts w:cs="Calibri"/>
              </w:rPr>
              <w:fldChar w:fldCharType="separate"/>
            </w:r>
            <w:r w:rsidRPr="00DD47DF">
              <w:rPr>
                <w:rFonts w:cs="Calibri"/>
              </w:rPr>
              <w:fldChar w:fldCharType="end"/>
            </w:r>
          </w:p>
        </w:tc>
      </w:tr>
    </w:tbl>
    <w:p w14:paraId="3B758D74" w14:textId="77777777" w:rsidR="008C6813" w:rsidRPr="00DD47DF" w:rsidRDefault="008C6813" w:rsidP="005F43DF">
      <w:pPr>
        <w:pStyle w:val="kapitola2A0"/>
        <w:numPr>
          <w:ilvl w:val="2"/>
          <w:numId w:val="15"/>
        </w:numPr>
      </w:pPr>
      <w:bookmarkStart w:id="40" w:name="_Toc506884990"/>
      <w:r w:rsidRPr="00DD47DF">
        <w:t>Odůvodnění pro vytvoření prioritní osy, která zahrnuje více než jednu kategorii regionů nebo více než jeden tematický cíl či fond (použije-li se)</w:t>
      </w:r>
      <w:bookmarkEnd w:id="40"/>
    </w:p>
    <w:p w14:paraId="27C06D90" w14:textId="77777777" w:rsidR="008C6813" w:rsidRPr="00DD47DF" w:rsidRDefault="008C6813" w:rsidP="008C6813">
      <w:pPr>
        <w:pStyle w:val="Standardntext"/>
      </w:pPr>
      <w:r w:rsidRPr="00DD47DF">
        <w:t>Není relevantní pro OP PIK.</w:t>
      </w:r>
    </w:p>
    <w:p w14:paraId="1C37FFA9" w14:textId="77777777" w:rsidR="008C6813" w:rsidRPr="00DD47DF" w:rsidRDefault="008C6813" w:rsidP="005F43DF">
      <w:pPr>
        <w:pStyle w:val="kapitola2A0"/>
        <w:numPr>
          <w:ilvl w:val="2"/>
          <w:numId w:val="15"/>
        </w:numPr>
      </w:pPr>
      <w:bookmarkStart w:id="41" w:name="_Toc506884991"/>
      <w:r w:rsidRPr="00DD47DF">
        <w:t>Fond, kategorie regionů a základ pro výpočet podpory Unie</w:t>
      </w:r>
      <w:bookmarkEnd w:id="41"/>
    </w:p>
    <w:p w14:paraId="2B57C1C6" w14:textId="77777777" w:rsidR="008C6813" w:rsidRPr="00DD47DF" w:rsidRDefault="008C6813" w:rsidP="008C6813">
      <w:pPr>
        <w:pStyle w:val="Standardntext"/>
      </w:pPr>
      <w:r w:rsidRPr="00DD47DF">
        <w:t>Fond: Evropský fond pro regionální rozvoj</w:t>
      </w:r>
    </w:p>
    <w:p w14:paraId="60B1986D" w14:textId="77777777" w:rsidR="008C6813" w:rsidRPr="00DD47DF" w:rsidRDefault="008C6813" w:rsidP="008C6813">
      <w:pPr>
        <w:pStyle w:val="Standardntext"/>
      </w:pPr>
      <w:r w:rsidRPr="00DD47DF">
        <w:t>Kategorie regionů: Méně rozvinuté regiony</w:t>
      </w:r>
    </w:p>
    <w:p w14:paraId="18318317" w14:textId="77777777" w:rsidR="008C6813" w:rsidRPr="00DD47DF" w:rsidRDefault="008668C8" w:rsidP="008C6813">
      <w:pPr>
        <w:pStyle w:val="Standardntext"/>
      </w:pPr>
      <w:r w:rsidRPr="00DD47DF">
        <w:t xml:space="preserve">Základ pro výpočet: </w:t>
      </w:r>
      <w:r w:rsidR="009B6147" w:rsidRPr="00DD47DF">
        <w:t>celkové způsobilé výdaje</w:t>
      </w:r>
    </w:p>
    <w:p w14:paraId="3E7EB5A3" w14:textId="77777777" w:rsidR="008C6813" w:rsidRPr="00DD47DF" w:rsidRDefault="008C6813" w:rsidP="005F43DF">
      <w:pPr>
        <w:pStyle w:val="kapitola2A0"/>
        <w:numPr>
          <w:ilvl w:val="2"/>
          <w:numId w:val="15"/>
        </w:numPr>
      </w:pPr>
      <w:bookmarkStart w:id="42" w:name="_Toc506884992"/>
      <w:r w:rsidRPr="00DD47DF">
        <w:t>INVESTIČNÍ PRIORITA</w:t>
      </w:r>
      <w:r w:rsidR="00AA66A2" w:rsidRPr="00DD47DF">
        <w:t xml:space="preserve"> 1 prioritní osy 2</w:t>
      </w:r>
      <w:r w:rsidRPr="00DD47DF">
        <w:t xml:space="preserve">: </w:t>
      </w:r>
      <w:r w:rsidR="00F27EC3" w:rsidRPr="00DD47DF">
        <w:t>Podpora podnikání, zejména usnadněním hospodářského využívání nových myšlenek a podporou zakládání nových firem</w:t>
      </w:r>
      <w:r w:rsidRPr="00DD47DF">
        <w:t>, mimo jiné prostřednictvím podnikatelských inkubátorů</w:t>
      </w:r>
      <w:bookmarkEnd w:id="42"/>
    </w:p>
    <w:p w14:paraId="1E0B1578" w14:textId="77777777" w:rsidR="00EA3457" w:rsidRPr="00DD47DF" w:rsidRDefault="008C6813" w:rsidP="005F43DF">
      <w:pPr>
        <w:pStyle w:val="kapitola2A0"/>
        <w:numPr>
          <w:ilvl w:val="2"/>
          <w:numId w:val="15"/>
        </w:numPr>
      </w:pPr>
      <w:bookmarkStart w:id="43" w:name="_Toc506884993"/>
      <w:r w:rsidRPr="00DD47DF">
        <w:t>Specifické cíle odpovídající investiční prioritě a očekávané výsledky</w:t>
      </w:r>
      <w:bookmarkEnd w:id="43"/>
    </w:p>
    <w:p w14:paraId="2A435B9C" w14:textId="77777777" w:rsidR="00EA3457" w:rsidRPr="00DD47DF" w:rsidRDefault="00EA3457" w:rsidP="00396141">
      <w:pPr>
        <w:pStyle w:val="Modrnadpis"/>
      </w:pPr>
      <w:r w:rsidRPr="00DD47DF">
        <w:t xml:space="preserve">SPECIFICKÝ CÍL </w:t>
      </w:r>
      <w:r w:rsidR="00C71E6F" w:rsidRPr="00DD47DF">
        <w:t>2.</w:t>
      </w:r>
      <w:r w:rsidRPr="00DD47DF">
        <w:t>1:</w:t>
      </w:r>
      <w:r w:rsidR="00BA4E72" w:rsidRPr="00DD47DF">
        <w:t xml:space="preserve"> </w:t>
      </w:r>
      <w:r w:rsidR="00CE3F25" w:rsidRPr="00DD47DF">
        <w:t>Zvýšit konkurenceschopnost začínajících a rozvojových MSP</w:t>
      </w:r>
    </w:p>
    <w:p w14:paraId="751E404B" w14:textId="2C5A5FF7" w:rsidR="00D03396" w:rsidRPr="00DD47DF" w:rsidRDefault="00D03396" w:rsidP="00D03396">
      <w:pPr>
        <w:pStyle w:val="Standardntext"/>
      </w:pPr>
      <w:r w:rsidRPr="00DD47DF">
        <w:t xml:space="preserve">Malé a střední podniky představují stabilizující prvek prosperity a zaměstnanosti. Generují rozhodující počet nových pracovních míst, svými dodávkami se podílejí na konkurenční schopnosti velkých </w:t>
      </w:r>
      <w:r w:rsidR="00FF3A47" w:rsidRPr="00DD47DF">
        <w:t>podniků</w:t>
      </w:r>
      <w:r w:rsidRPr="00DD47DF">
        <w:t xml:space="preserve"> a na inovacích měnících dílčí produktové trhy. Hlavním cílem bude </w:t>
      </w:r>
      <w:r w:rsidR="00EF1071" w:rsidRPr="00DD47DF">
        <w:t>růst konkurenceschopnosti segmentu MSP prostřednictvím</w:t>
      </w:r>
      <w:r w:rsidR="00EF1071" w:rsidRPr="00DD47DF" w:rsidDel="00EF1071">
        <w:t xml:space="preserve"> </w:t>
      </w:r>
      <w:r w:rsidR="00EF1071" w:rsidRPr="00DD47DF">
        <w:t>zvýšení počtu</w:t>
      </w:r>
      <w:r w:rsidR="007C3741">
        <w:t xml:space="preserve"> </w:t>
      </w:r>
      <w:r w:rsidR="005B7415" w:rsidRPr="00DD47DF">
        <w:t>n</w:t>
      </w:r>
      <w:r w:rsidRPr="00DD47DF">
        <w:t>ových podnikatelských subjektů a nových podnikatelských záměrů zejména inovačního charakteru s vysokým potenciálem růstu, ale i na nižších hodnotových řetězcích</w:t>
      </w:r>
      <w:r w:rsidR="009765C2" w:rsidRPr="00DD47DF">
        <w:t>, a podnikatelů ve službách</w:t>
      </w:r>
      <w:r w:rsidRPr="00DD47DF">
        <w:t xml:space="preserve"> s přínosem pro zaměstnanost.</w:t>
      </w:r>
    </w:p>
    <w:p w14:paraId="2495682C" w14:textId="77777777" w:rsidR="001A5C2A" w:rsidRPr="00DD47DF" w:rsidRDefault="003508A9" w:rsidP="00D03396">
      <w:pPr>
        <w:pStyle w:val="Modrnadpis"/>
      </w:pPr>
      <w:r w:rsidRPr="00DD47DF">
        <w:t>Výsledky, kterých chce ČR dosáhnout s podporou Unie</w:t>
      </w:r>
    </w:p>
    <w:p w14:paraId="12CA1B41" w14:textId="77777777" w:rsidR="009D1769" w:rsidRPr="00DD47DF" w:rsidRDefault="009D1769" w:rsidP="00DA3512">
      <w:pPr>
        <w:pStyle w:val="Standardntext"/>
        <w:numPr>
          <w:ilvl w:val="0"/>
          <w:numId w:val="57"/>
        </w:numPr>
      </w:pPr>
      <w:r w:rsidRPr="00DD47DF">
        <w:t>Rozvoj a posílení endogenního podnikatelského sektoru, vznik nových podniků</w:t>
      </w:r>
      <w:r w:rsidR="00FE0B02" w:rsidRPr="00DD47DF">
        <w:t>.</w:t>
      </w:r>
    </w:p>
    <w:p w14:paraId="6E845A16" w14:textId="77777777" w:rsidR="009D1769" w:rsidRPr="00DD47DF" w:rsidRDefault="00EF1071" w:rsidP="00DA3512">
      <w:pPr>
        <w:pStyle w:val="Standardntext"/>
        <w:numPr>
          <w:ilvl w:val="0"/>
          <w:numId w:val="57"/>
        </w:numPr>
        <w:rPr>
          <w:b/>
        </w:rPr>
      </w:pPr>
      <w:r w:rsidRPr="00DD47DF">
        <w:t xml:space="preserve">Zajištění </w:t>
      </w:r>
      <w:r w:rsidR="009D1769" w:rsidRPr="00DD47DF">
        <w:t>dostupnosti vnějšího financování pro začínající podnikatele a inovační podniky (</w:t>
      </w:r>
      <w:r w:rsidRPr="00DD47DF">
        <w:t>pokrytí tržní mezery v nabídce</w:t>
      </w:r>
      <w:r w:rsidR="009D1769" w:rsidRPr="00DD47DF">
        <w:t xml:space="preserve"> zvýhodněného financování), včetně rizikového kapitálu</w:t>
      </w:r>
      <w:r w:rsidR="006329E9" w:rsidRPr="00DD47DF">
        <w:t xml:space="preserve">, </w:t>
      </w:r>
      <w:r w:rsidR="008F7D94" w:rsidRPr="00DD47DF">
        <w:t xml:space="preserve">a to jak </w:t>
      </w:r>
      <w:r w:rsidR="006329E9" w:rsidRPr="00DD47DF">
        <w:t xml:space="preserve">pro podnikatele </w:t>
      </w:r>
      <w:r w:rsidR="008F7D94" w:rsidRPr="00DD47DF">
        <w:t xml:space="preserve">v oblasti průmyslu, tak </w:t>
      </w:r>
      <w:r w:rsidR="006329E9" w:rsidRPr="00DD47DF">
        <w:t>ve službách</w:t>
      </w:r>
      <w:r w:rsidR="009D1769" w:rsidRPr="00DD47DF">
        <w:t>.</w:t>
      </w:r>
    </w:p>
    <w:p w14:paraId="6680F726" w14:textId="77777777" w:rsidR="009D1769" w:rsidRPr="00DD47DF" w:rsidRDefault="009D1769" w:rsidP="00DA3512">
      <w:pPr>
        <w:pStyle w:val="Standardntext"/>
        <w:numPr>
          <w:ilvl w:val="0"/>
          <w:numId w:val="57"/>
        </w:numPr>
        <w:rPr>
          <w:b/>
        </w:rPr>
      </w:pPr>
      <w:r w:rsidRPr="00DD47DF">
        <w:t xml:space="preserve">Vytvoření nových pracovních míst realizací podpořených podnikatelských záměrů povede ke stabilizaci </w:t>
      </w:r>
      <w:r w:rsidR="008C1551" w:rsidRPr="00DD47DF">
        <w:t xml:space="preserve">trhu práce a souvisejícího </w:t>
      </w:r>
      <w:r w:rsidRPr="00DD47DF">
        <w:t>podnikatelského prostředí</w:t>
      </w:r>
      <w:r w:rsidR="008C1551" w:rsidRPr="00DD47DF">
        <w:t xml:space="preserve"> MSP</w:t>
      </w:r>
    </w:p>
    <w:p w14:paraId="7C966210" w14:textId="77777777" w:rsidR="009D1769" w:rsidRPr="00DD47DF" w:rsidRDefault="009D1769" w:rsidP="00DA3512">
      <w:pPr>
        <w:pStyle w:val="Standardntext"/>
        <w:numPr>
          <w:ilvl w:val="0"/>
          <w:numId w:val="57"/>
        </w:numPr>
      </w:pPr>
      <w:r w:rsidRPr="00DD47DF">
        <w:t>Rozvoj podnikatelské kultury, podnikavosti a podnikatelství vedoucí k vyšší tvorbě nových podniků.</w:t>
      </w:r>
    </w:p>
    <w:p w14:paraId="303D0A48" w14:textId="77777777" w:rsidR="00636AE4" w:rsidRPr="00DD47DF" w:rsidRDefault="00636AE4" w:rsidP="00DA3512">
      <w:pPr>
        <w:pStyle w:val="Standardntext"/>
        <w:numPr>
          <w:ilvl w:val="0"/>
          <w:numId w:val="57"/>
        </w:numPr>
      </w:pPr>
      <w:r w:rsidRPr="00DD47DF">
        <w:lastRenderedPageBreak/>
        <w:t>Rozvoj kreativních odvětví, která jsou rychle rostoucími odvětvími s velkým růstovým potenciálem, a která pozitivně ovlivňují konkurenceschopnost produktů, služeb a rozvoj dalších odvětví (tzv. kreativní či nová ekonomika).</w:t>
      </w:r>
    </w:p>
    <w:p w14:paraId="30C03969" w14:textId="77777777" w:rsidR="009D1769" w:rsidRPr="00DD47DF" w:rsidRDefault="009D1769" w:rsidP="00DA3512">
      <w:pPr>
        <w:pStyle w:val="Standardntext"/>
        <w:numPr>
          <w:ilvl w:val="0"/>
          <w:numId w:val="57"/>
        </w:numPr>
      </w:pPr>
      <w:r w:rsidRPr="00DD47DF">
        <w:t xml:space="preserve">Vyšší kvalita a dostupnost poradenských služeb </w:t>
      </w:r>
      <w:r w:rsidR="00EF1071" w:rsidRPr="00DD47DF">
        <w:t xml:space="preserve">pro začínající podnikatele i prostřednictvím </w:t>
      </w:r>
      <w:r w:rsidRPr="00DD47DF">
        <w:t>podnikatelských inkubátorů, které napomohou podnikům se lépe orientovat na trhu a využít všechny tržní příležitosti.</w:t>
      </w:r>
    </w:p>
    <w:p w14:paraId="59672F09" w14:textId="77777777" w:rsidR="009D1769" w:rsidRPr="00DD47DF" w:rsidRDefault="009D1769" w:rsidP="00DA3512">
      <w:pPr>
        <w:pStyle w:val="Standardntext"/>
        <w:numPr>
          <w:ilvl w:val="0"/>
          <w:numId w:val="57"/>
        </w:numPr>
      </w:pPr>
      <w:r w:rsidRPr="00DD47DF">
        <w:t>Zlepšení netechnických kompetencí malých a středních podniků (strategické řízení, marketing, inovační management, zahraniční obchod ad.).</w:t>
      </w:r>
    </w:p>
    <w:p w14:paraId="66844775" w14:textId="77777777" w:rsidR="009D1769" w:rsidRPr="00DD47DF" w:rsidRDefault="009D1769" w:rsidP="00DA3512">
      <w:pPr>
        <w:pStyle w:val="Standardntext"/>
        <w:numPr>
          <w:ilvl w:val="0"/>
          <w:numId w:val="57"/>
        </w:numPr>
      </w:pPr>
      <w:r w:rsidRPr="00DD47DF">
        <w:t xml:space="preserve">Zlepšení podmínek pro podnikání </w:t>
      </w:r>
      <w:r w:rsidR="005B5EB6" w:rsidRPr="00DD47DF">
        <w:t>na celém území ČR s výjimkou území hl. města Prahy</w:t>
      </w:r>
      <w:r w:rsidRPr="00DD47DF">
        <w:t>.</w:t>
      </w:r>
    </w:p>
    <w:p w14:paraId="7BB62F83" w14:textId="77777777" w:rsidR="00D15773" w:rsidRPr="00DD47DF" w:rsidRDefault="00D15773" w:rsidP="00D15773">
      <w:pPr>
        <w:pStyle w:val="Titulek"/>
        <w:keepNext/>
        <w:rPr>
          <w:rFonts w:cs="Calibri"/>
        </w:rPr>
      </w:pPr>
      <w:r w:rsidRPr="00DD47DF">
        <w:rPr>
          <w:rFonts w:cs="Calibri"/>
        </w:rPr>
        <w:t xml:space="preserve">Tabulka </w:t>
      </w:r>
      <w:r w:rsidR="002756E7" w:rsidRPr="00DD47DF">
        <w:rPr>
          <w:rFonts w:cs="Calibri"/>
        </w:rPr>
        <w:fldChar w:fldCharType="begin"/>
      </w:r>
      <w:r w:rsidR="00505E76"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377"/>
        <w:gridCol w:w="946"/>
        <w:gridCol w:w="1390"/>
        <w:gridCol w:w="975"/>
        <w:gridCol w:w="915"/>
        <w:gridCol w:w="1030"/>
        <w:gridCol w:w="895"/>
        <w:gridCol w:w="1134"/>
      </w:tblGrid>
      <w:tr w:rsidR="00CF739D" w:rsidRPr="00DD47DF" w14:paraId="60AB6B5D" w14:textId="77777777">
        <w:trPr>
          <w:trHeight w:hRule="exact" w:val="125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749B6E5" w14:textId="77777777" w:rsidR="00CF739D" w:rsidRPr="00DD47DF" w:rsidRDefault="00CF739D" w:rsidP="001B2E5C">
            <w:pPr>
              <w:pStyle w:val="Tabulka"/>
              <w:rPr>
                <w:rFonts w:cs="Calibri"/>
                <w:b/>
                <w:bCs/>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1FA1DE0" w14:textId="77777777" w:rsidR="00CF739D" w:rsidRPr="00DD47DF" w:rsidRDefault="00CF739D" w:rsidP="001B2E5C">
            <w:pPr>
              <w:pStyle w:val="Tabulka"/>
              <w:rPr>
                <w:rFonts w:cs="Calibri"/>
                <w:b/>
                <w:bCs/>
              </w:rPr>
            </w:pPr>
            <w:r w:rsidRPr="00DD47DF">
              <w:rPr>
                <w:rFonts w:cs="Calibri"/>
                <w:b/>
                <w:bCs/>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358D411" w14:textId="77777777" w:rsidR="00CF739D" w:rsidRPr="00DD47DF" w:rsidRDefault="00CF739D" w:rsidP="001B2E5C">
            <w:pPr>
              <w:pStyle w:val="Tabulka"/>
              <w:rPr>
                <w:rFonts w:cs="Calibri"/>
                <w:b/>
                <w:bCs/>
              </w:rPr>
            </w:pPr>
            <w:r w:rsidRPr="00DD47DF">
              <w:rPr>
                <w:rFonts w:cs="Calibri"/>
                <w:b/>
                <w:bCs/>
              </w:rPr>
              <w:t>Měrná</w:t>
            </w:r>
          </w:p>
          <w:p w14:paraId="31CC8B23" w14:textId="77777777" w:rsidR="00CF739D" w:rsidRPr="00DD47DF" w:rsidRDefault="00CF739D" w:rsidP="001B2E5C">
            <w:pPr>
              <w:pStyle w:val="Tabulka"/>
              <w:rPr>
                <w:rFonts w:cs="Calibri"/>
                <w:b/>
                <w:bCs/>
              </w:rPr>
            </w:pPr>
            <w:r w:rsidRPr="00DD47DF">
              <w:rPr>
                <w:rFonts w:cs="Calibri"/>
                <w:b/>
                <w:bCs/>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F028AF8" w14:textId="77777777" w:rsidR="00CF739D" w:rsidRPr="00DD47DF" w:rsidRDefault="00CF739D" w:rsidP="001B2E5C">
            <w:pPr>
              <w:pStyle w:val="Tabulka"/>
              <w:rPr>
                <w:rFonts w:cs="Calibri"/>
                <w:b/>
                <w:bCs/>
              </w:rPr>
            </w:pPr>
            <w:r w:rsidRPr="00DD47DF">
              <w:rPr>
                <w:rFonts w:cs="Calibri"/>
                <w:b/>
                <w:bCs/>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F9A09FB" w14:textId="77777777" w:rsidR="00CF739D" w:rsidRPr="00DD47DF" w:rsidRDefault="004B0854" w:rsidP="001B2E5C">
            <w:pPr>
              <w:pStyle w:val="Tabulka"/>
              <w:rPr>
                <w:rFonts w:cs="Calibri"/>
                <w:b/>
                <w:bCs/>
              </w:rPr>
            </w:pPr>
            <w:r w:rsidRPr="00DD47DF">
              <w:rPr>
                <w:rFonts w:cs="Calibri"/>
                <w:b/>
                <w:bCs/>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37DE3BD" w14:textId="77777777" w:rsidR="00CF739D" w:rsidRPr="00DD47DF" w:rsidRDefault="004B0854" w:rsidP="004B0854">
            <w:pPr>
              <w:pStyle w:val="Tabulka"/>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F967F63" w14:textId="77777777" w:rsidR="00CF739D" w:rsidRPr="00DD47DF" w:rsidRDefault="00CF739D" w:rsidP="001B2E5C">
            <w:pPr>
              <w:pStyle w:val="Tabulka"/>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BA1B582" w14:textId="77777777" w:rsidR="00CF739D" w:rsidRPr="00DD47DF" w:rsidRDefault="00CF739D" w:rsidP="001B2E5C">
            <w:pPr>
              <w:pStyle w:val="Tabulka"/>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5BD0D13" w14:textId="77777777" w:rsidR="00CF739D" w:rsidRPr="00DD47DF" w:rsidRDefault="00CF739D" w:rsidP="001B2E5C">
            <w:pPr>
              <w:pStyle w:val="Tabulka"/>
              <w:rPr>
                <w:rFonts w:cs="Calibri"/>
                <w:b/>
                <w:bCs/>
              </w:rPr>
            </w:pPr>
            <w:r w:rsidRPr="00DD47DF">
              <w:rPr>
                <w:rFonts w:cs="Calibri"/>
                <w:b/>
                <w:bCs/>
              </w:rPr>
              <w:t>Četnost podávání zpráv</w:t>
            </w:r>
          </w:p>
        </w:tc>
      </w:tr>
      <w:tr w:rsidR="00D15773" w:rsidRPr="00DD47DF" w14:paraId="410718BC" w14:textId="77777777">
        <w:trPr>
          <w:trHeight w:hRule="exact" w:val="1401"/>
        </w:trPr>
        <w:tc>
          <w:tcPr>
            <w:tcW w:w="0" w:type="auto"/>
            <w:tcBorders>
              <w:top w:val="single" w:sz="4" w:space="0" w:color="000000"/>
              <w:left w:val="single" w:sz="4" w:space="0" w:color="000000"/>
              <w:bottom w:val="single" w:sz="4" w:space="0" w:color="000000"/>
              <w:right w:val="single" w:sz="4" w:space="0" w:color="000000"/>
            </w:tcBorders>
            <w:vAlign w:val="center"/>
          </w:tcPr>
          <w:p w14:paraId="2B42CA58" w14:textId="77777777" w:rsidR="00D15773" w:rsidRPr="00DD47DF" w:rsidRDefault="00D6006C" w:rsidP="00F47B67">
            <w:pPr>
              <w:pStyle w:val="Tabulka"/>
              <w:rPr>
                <w:rFonts w:cs="Calibri"/>
              </w:rPr>
            </w:pPr>
            <w:r w:rsidRPr="00DD47DF">
              <w:rPr>
                <w:rFonts w:cs="Calibri"/>
              </w:rPr>
              <w:t>10701</w:t>
            </w:r>
          </w:p>
        </w:tc>
        <w:tc>
          <w:tcPr>
            <w:tcW w:w="0" w:type="auto"/>
            <w:tcBorders>
              <w:top w:val="single" w:sz="4" w:space="0" w:color="000000"/>
              <w:left w:val="single" w:sz="4" w:space="0" w:color="000000"/>
              <w:bottom w:val="single" w:sz="4" w:space="0" w:color="000000"/>
              <w:right w:val="single" w:sz="4" w:space="0" w:color="000000"/>
            </w:tcBorders>
            <w:vAlign w:val="center"/>
          </w:tcPr>
          <w:p w14:paraId="3C59599A" w14:textId="77777777" w:rsidR="00D15773" w:rsidRPr="00DD47DF" w:rsidRDefault="00F6040D" w:rsidP="00AF574A">
            <w:pPr>
              <w:pStyle w:val="Tabulka"/>
              <w:jc w:val="left"/>
              <w:rPr>
                <w:rFonts w:cs="Calibri"/>
              </w:rPr>
            </w:pPr>
            <w:r w:rsidRPr="00DD47DF">
              <w:rPr>
                <w:rFonts w:cs="Calibri"/>
              </w:rPr>
              <w:t>Přidaná hodnota MSP jako % přidané hodnoty ČR</w:t>
            </w:r>
          </w:p>
        </w:tc>
        <w:tc>
          <w:tcPr>
            <w:tcW w:w="0" w:type="auto"/>
            <w:tcBorders>
              <w:top w:val="single" w:sz="4" w:space="0" w:color="000000"/>
              <w:left w:val="single" w:sz="4" w:space="0" w:color="000000"/>
              <w:bottom w:val="single" w:sz="4" w:space="0" w:color="000000"/>
              <w:right w:val="single" w:sz="4" w:space="0" w:color="000000"/>
            </w:tcBorders>
            <w:vAlign w:val="center"/>
          </w:tcPr>
          <w:p w14:paraId="4ACF354C" w14:textId="77777777" w:rsidR="00D15773" w:rsidRPr="00DD47DF" w:rsidRDefault="00F6040D" w:rsidP="00F47B67">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A3C81F9" w14:textId="77777777" w:rsidR="00D15773" w:rsidRPr="00DD47DF" w:rsidRDefault="00F6040D" w:rsidP="00F47B67">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4E52ED5F" w14:textId="77777777" w:rsidR="00D15773" w:rsidRPr="00DD47DF" w:rsidRDefault="00E73136" w:rsidP="00F47B67">
            <w:pPr>
              <w:pStyle w:val="Tabulka"/>
              <w:rPr>
                <w:rFonts w:cs="Calibri"/>
              </w:rPr>
            </w:pPr>
            <w:r w:rsidRPr="00DD47DF">
              <w:rPr>
                <w:rFonts w:cs="Calibri"/>
              </w:rPr>
              <w:t>53,81</w:t>
            </w:r>
          </w:p>
        </w:tc>
        <w:tc>
          <w:tcPr>
            <w:tcW w:w="0" w:type="auto"/>
            <w:tcBorders>
              <w:top w:val="single" w:sz="4" w:space="0" w:color="000000"/>
              <w:left w:val="single" w:sz="4" w:space="0" w:color="000000"/>
              <w:bottom w:val="single" w:sz="4" w:space="0" w:color="000000"/>
              <w:right w:val="single" w:sz="4" w:space="0" w:color="000000"/>
            </w:tcBorders>
            <w:vAlign w:val="center"/>
          </w:tcPr>
          <w:p w14:paraId="5E692D07" w14:textId="77777777" w:rsidR="00D15773" w:rsidRPr="00DD47DF" w:rsidRDefault="00E73136" w:rsidP="00F47B67">
            <w:pPr>
              <w:pStyle w:val="Tabulka"/>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03F14561" w14:textId="77777777" w:rsidR="00D15773" w:rsidRPr="00DD47DF" w:rsidRDefault="006D0B8B" w:rsidP="00F47B67">
            <w:pPr>
              <w:pStyle w:val="Tabulka"/>
              <w:rPr>
                <w:rFonts w:cs="Calibri"/>
              </w:rPr>
            </w:pPr>
            <w:r w:rsidRPr="00DD47DF">
              <w:rPr>
                <w:rFonts w:cs="Calibri"/>
              </w:rPr>
              <w:t>55 - 57</w:t>
            </w:r>
            <w:r w:rsidR="001102B3" w:rsidRPr="00DD47DF">
              <w:rPr>
                <w:rStyle w:val="Znakapoznpodarou"/>
                <w:rFonts w:cs="Calibri"/>
              </w:rPr>
              <w:footnoteReference w:id="50"/>
            </w:r>
          </w:p>
        </w:tc>
        <w:tc>
          <w:tcPr>
            <w:tcW w:w="0" w:type="auto"/>
            <w:tcBorders>
              <w:top w:val="single" w:sz="4" w:space="0" w:color="000000"/>
              <w:left w:val="single" w:sz="4" w:space="0" w:color="000000"/>
              <w:bottom w:val="single" w:sz="4" w:space="0" w:color="000000"/>
              <w:right w:val="single" w:sz="4" w:space="0" w:color="000000"/>
            </w:tcBorders>
            <w:vAlign w:val="center"/>
          </w:tcPr>
          <w:p w14:paraId="59FF59ED" w14:textId="77777777" w:rsidR="00D15773" w:rsidRPr="00DD47DF" w:rsidRDefault="00684DC4" w:rsidP="006D1774">
            <w:pPr>
              <w:pStyle w:val="Tabulka"/>
              <w:rPr>
                <w:rFonts w:cs="Calibri"/>
              </w:rPr>
            </w:pPr>
            <w:r>
              <w:rPr>
                <w:rFonts w:cs="Calibri"/>
              </w:rPr>
              <w:t>MPO</w:t>
            </w:r>
          </w:p>
        </w:tc>
        <w:tc>
          <w:tcPr>
            <w:tcW w:w="0" w:type="auto"/>
            <w:tcBorders>
              <w:top w:val="single" w:sz="4" w:space="0" w:color="000000"/>
              <w:left w:val="single" w:sz="4" w:space="0" w:color="000000"/>
              <w:bottom w:val="single" w:sz="4" w:space="0" w:color="000000"/>
              <w:right w:val="single" w:sz="4" w:space="0" w:color="000000"/>
            </w:tcBorders>
            <w:vAlign w:val="center"/>
          </w:tcPr>
          <w:p w14:paraId="3429C213" w14:textId="77777777" w:rsidR="00D15773" w:rsidRPr="00DD47DF" w:rsidRDefault="00F6040D" w:rsidP="00F47B67">
            <w:pPr>
              <w:pStyle w:val="Tabulka"/>
              <w:rPr>
                <w:rFonts w:cs="Calibri"/>
              </w:rPr>
            </w:pPr>
            <w:r w:rsidRPr="00DD47DF">
              <w:rPr>
                <w:rFonts w:cs="Calibri"/>
              </w:rPr>
              <w:t>ročně</w:t>
            </w:r>
          </w:p>
        </w:tc>
      </w:tr>
      <w:tr w:rsidR="00587FB1" w:rsidRPr="00DD47DF" w14:paraId="623C51C5" w14:textId="77777777">
        <w:trPr>
          <w:trHeight w:hRule="exact" w:val="1401"/>
        </w:trPr>
        <w:tc>
          <w:tcPr>
            <w:tcW w:w="0" w:type="auto"/>
            <w:tcBorders>
              <w:top w:val="single" w:sz="4" w:space="0" w:color="000000"/>
              <w:left w:val="single" w:sz="4" w:space="0" w:color="000000"/>
              <w:bottom w:val="single" w:sz="4" w:space="0" w:color="000000"/>
              <w:right w:val="single" w:sz="4" w:space="0" w:color="000000"/>
            </w:tcBorders>
            <w:vAlign w:val="center"/>
          </w:tcPr>
          <w:p w14:paraId="484CC93A" w14:textId="77777777" w:rsidR="00587FB1" w:rsidRPr="00DD47DF" w:rsidRDefault="00AF4183" w:rsidP="00F47B67">
            <w:pPr>
              <w:pStyle w:val="Tabulka"/>
              <w:rPr>
                <w:rFonts w:cs="Calibri"/>
              </w:rPr>
            </w:pPr>
            <w:r w:rsidRPr="00DD47DF">
              <w:rPr>
                <w:rFonts w:cs="Calibri"/>
              </w:rPr>
              <w:t>10710</w:t>
            </w:r>
          </w:p>
        </w:tc>
        <w:tc>
          <w:tcPr>
            <w:tcW w:w="0" w:type="auto"/>
            <w:tcBorders>
              <w:top w:val="single" w:sz="4" w:space="0" w:color="000000"/>
              <w:left w:val="single" w:sz="4" w:space="0" w:color="000000"/>
              <w:bottom w:val="single" w:sz="4" w:space="0" w:color="000000"/>
              <w:right w:val="single" w:sz="4" w:space="0" w:color="000000"/>
            </w:tcBorders>
            <w:vAlign w:val="center"/>
          </w:tcPr>
          <w:p w14:paraId="44D0833F" w14:textId="77777777" w:rsidR="00587FB1" w:rsidRPr="00DD47DF" w:rsidRDefault="00587FB1" w:rsidP="00AF574A">
            <w:pPr>
              <w:pStyle w:val="Tabulka"/>
              <w:jc w:val="left"/>
              <w:rPr>
                <w:rFonts w:cs="Calibri"/>
              </w:rPr>
            </w:pPr>
            <w:r w:rsidRPr="00DD47DF">
              <w:rPr>
                <w:rFonts w:cs="Calibri"/>
              </w:rPr>
              <w:t>Míra přežití vzniklých podniků</w:t>
            </w:r>
          </w:p>
        </w:tc>
        <w:tc>
          <w:tcPr>
            <w:tcW w:w="0" w:type="auto"/>
            <w:tcBorders>
              <w:top w:val="single" w:sz="4" w:space="0" w:color="000000"/>
              <w:left w:val="single" w:sz="4" w:space="0" w:color="000000"/>
              <w:bottom w:val="single" w:sz="4" w:space="0" w:color="000000"/>
              <w:right w:val="single" w:sz="4" w:space="0" w:color="000000"/>
            </w:tcBorders>
            <w:vAlign w:val="center"/>
          </w:tcPr>
          <w:p w14:paraId="0E47E52D" w14:textId="77777777" w:rsidR="00587FB1" w:rsidRPr="00DD47DF" w:rsidRDefault="00587FB1" w:rsidP="00F47B67">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72FA84A" w14:textId="77777777" w:rsidR="00587FB1" w:rsidRPr="00DD47DF" w:rsidRDefault="00587FB1" w:rsidP="00F47B67">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7A5820E1" w14:textId="77777777" w:rsidR="00587FB1" w:rsidRPr="00DD47DF" w:rsidRDefault="00587FB1" w:rsidP="00F47B67">
            <w:pPr>
              <w:pStyle w:val="Tabulka"/>
              <w:rPr>
                <w:rFonts w:cs="Calibri"/>
              </w:rPr>
            </w:pPr>
            <w:r w:rsidRPr="00DD47DF">
              <w:rPr>
                <w:rFonts w:cs="Calibri"/>
              </w:rPr>
              <w:t>67,8</w:t>
            </w:r>
          </w:p>
        </w:tc>
        <w:tc>
          <w:tcPr>
            <w:tcW w:w="0" w:type="auto"/>
            <w:tcBorders>
              <w:top w:val="single" w:sz="4" w:space="0" w:color="000000"/>
              <w:left w:val="single" w:sz="4" w:space="0" w:color="000000"/>
              <w:bottom w:val="single" w:sz="4" w:space="0" w:color="000000"/>
              <w:right w:val="single" w:sz="4" w:space="0" w:color="000000"/>
            </w:tcBorders>
            <w:vAlign w:val="center"/>
          </w:tcPr>
          <w:p w14:paraId="21F25DA3" w14:textId="77777777" w:rsidR="00587FB1" w:rsidRPr="00DD47DF" w:rsidRDefault="00587FB1" w:rsidP="00F47B67">
            <w:pPr>
              <w:pStyle w:val="Tabulka"/>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69FF0077" w14:textId="77777777" w:rsidR="00587FB1" w:rsidRPr="00DD47DF" w:rsidRDefault="00D05818" w:rsidP="00F47B67">
            <w:pPr>
              <w:pStyle w:val="Tabulka"/>
              <w:rPr>
                <w:rFonts w:cs="Calibri"/>
              </w:rPr>
            </w:pPr>
            <w:r w:rsidRPr="00DD47DF">
              <w:rPr>
                <w:rFonts w:cs="Calibri"/>
              </w:rPr>
              <w:t>68 - 69</w:t>
            </w:r>
            <w:r w:rsidRPr="00DD47DF">
              <w:rPr>
                <w:rStyle w:val="Znakapoznpodarou"/>
                <w:rFonts w:cs="Calibri"/>
              </w:rPr>
              <w:footnoteReference w:id="51"/>
            </w:r>
          </w:p>
        </w:tc>
        <w:tc>
          <w:tcPr>
            <w:tcW w:w="0" w:type="auto"/>
            <w:tcBorders>
              <w:top w:val="single" w:sz="4" w:space="0" w:color="000000"/>
              <w:left w:val="single" w:sz="4" w:space="0" w:color="000000"/>
              <w:bottom w:val="single" w:sz="4" w:space="0" w:color="000000"/>
              <w:right w:val="single" w:sz="4" w:space="0" w:color="000000"/>
            </w:tcBorders>
            <w:vAlign w:val="center"/>
          </w:tcPr>
          <w:p w14:paraId="76C1D5A8" w14:textId="77777777" w:rsidR="00587FB1" w:rsidRPr="00DD47DF" w:rsidRDefault="00587FB1" w:rsidP="006D1774">
            <w:pPr>
              <w:pStyle w:val="Tabulka"/>
              <w:rPr>
                <w:rFonts w:cs="Calibri"/>
              </w:rPr>
            </w:pPr>
            <w:r w:rsidRPr="00DD47DF">
              <w:rPr>
                <w:rFonts w:cs="Calibri"/>
              </w:rPr>
              <w:t>Eurostat</w:t>
            </w:r>
          </w:p>
        </w:tc>
        <w:tc>
          <w:tcPr>
            <w:tcW w:w="0" w:type="auto"/>
            <w:tcBorders>
              <w:top w:val="single" w:sz="4" w:space="0" w:color="000000"/>
              <w:left w:val="single" w:sz="4" w:space="0" w:color="000000"/>
              <w:bottom w:val="single" w:sz="4" w:space="0" w:color="000000"/>
              <w:right w:val="single" w:sz="4" w:space="0" w:color="000000"/>
            </w:tcBorders>
            <w:vAlign w:val="center"/>
          </w:tcPr>
          <w:p w14:paraId="052E749D" w14:textId="77777777" w:rsidR="00587FB1" w:rsidRPr="00DD47DF" w:rsidRDefault="00587FB1" w:rsidP="00F47B67">
            <w:pPr>
              <w:pStyle w:val="Tabulka"/>
              <w:rPr>
                <w:rFonts w:cs="Calibri"/>
              </w:rPr>
            </w:pPr>
            <w:r w:rsidRPr="00DD47DF">
              <w:rPr>
                <w:rFonts w:cs="Calibri"/>
              </w:rPr>
              <w:t>ročně</w:t>
            </w:r>
          </w:p>
        </w:tc>
      </w:tr>
    </w:tbl>
    <w:p w14:paraId="3F19EF3F" w14:textId="77777777" w:rsidR="00F27129" w:rsidRPr="00DD47DF" w:rsidRDefault="001B2E5C" w:rsidP="005F43DF">
      <w:pPr>
        <w:pStyle w:val="kapitola2A0"/>
        <w:numPr>
          <w:ilvl w:val="2"/>
          <w:numId w:val="15"/>
        </w:numPr>
      </w:pPr>
      <w:bookmarkStart w:id="44" w:name="_Toc506884994"/>
      <w:r w:rsidRPr="00DD47DF">
        <w:t>Opatření, jež má být podpořeno v rámci investiční priority</w:t>
      </w:r>
      <w:bookmarkEnd w:id="44"/>
    </w:p>
    <w:p w14:paraId="60FC2751" w14:textId="77777777" w:rsidR="00F27129" w:rsidRPr="00DD47DF" w:rsidRDefault="00D479AF" w:rsidP="005F43DF">
      <w:pPr>
        <w:pStyle w:val="Nadpis5"/>
        <w:numPr>
          <w:ilvl w:val="4"/>
          <w:numId w:val="16"/>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447D29B0" w14:textId="77777777" w:rsidR="00C30048" w:rsidRPr="00DD47DF" w:rsidRDefault="000A2EB4" w:rsidP="00DF4F92">
      <w:pPr>
        <w:pStyle w:val="Standardntext"/>
        <w:rPr>
          <w:b/>
        </w:rPr>
      </w:pPr>
      <w:r w:rsidRPr="00DD47DF">
        <w:rPr>
          <w:b/>
        </w:rPr>
        <w:t>Aktivity pro tento specifický cíl:</w:t>
      </w:r>
    </w:p>
    <w:p w14:paraId="10B527EC" w14:textId="77777777" w:rsidR="00527A16" w:rsidRPr="00DD47DF" w:rsidRDefault="004A326E" w:rsidP="00D927A2">
      <w:pPr>
        <w:pStyle w:val="Standardntext"/>
        <w:numPr>
          <w:ilvl w:val="0"/>
          <w:numId w:val="46"/>
        </w:numPr>
      </w:pPr>
      <w:r w:rsidRPr="00DD47DF">
        <w:t xml:space="preserve">Realizace podnikatelských záměrů začínajících </w:t>
      </w:r>
      <w:r w:rsidR="00FF3A47" w:rsidRPr="00DD47DF">
        <w:t>podniků</w:t>
      </w:r>
      <w:r w:rsidRPr="00DD47DF">
        <w:t xml:space="preserve"> (do </w:t>
      </w:r>
      <w:r w:rsidR="00700B4C" w:rsidRPr="00DD47DF">
        <w:t xml:space="preserve">3 </w:t>
      </w:r>
      <w:r w:rsidRPr="00DD47DF">
        <w:t xml:space="preserve">let) a rozvojových </w:t>
      </w:r>
      <w:r w:rsidR="00FF3A47" w:rsidRPr="00DD47DF">
        <w:t>podniků</w:t>
      </w:r>
      <w:r w:rsidRPr="00DD47DF">
        <w:t xml:space="preserve"> prostřednictvím vhodných finančních nástrojů a dotací </w:t>
      </w:r>
      <w:r w:rsidR="00B4602B" w:rsidRPr="00DD47DF">
        <w:t>MSP zejména pro</w:t>
      </w:r>
      <w:r w:rsidR="00BA4E72" w:rsidRPr="00DD47DF">
        <w:t xml:space="preserve"> </w:t>
      </w:r>
      <w:r w:rsidRPr="00DD47DF">
        <w:t>mikropodnik</w:t>
      </w:r>
      <w:r w:rsidR="00B4602B" w:rsidRPr="00DD47DF">
        <w:t>y</w:t>
      </w:r>
      <w:r w:rsidRPr="00DD47DF">
        <w:t>,</w:t>
      </w:r>
    </w:p>
    <w:p w14:paraId="10C93A31" w14:textId="77777777" w:rsidR="009D1769" w:rsidRPr="00DD47DF" w:rsidRDefault="004A326E" w:rsidP="00D927A2">
      <w:pPr>
        <w:pStyle w:val="Standardntext"/>
        <w:numPr>
          <w:ilvl w:val="0"/>
          <w:numId w:val="46"/>
        </w:numPr>
      </w:pPr>
      <w:r w:rsidRPr="00DD47DF">
        <w:t xml:space="preserve">poskytování poradenských služeb a služeb pro začínající </w:t>
      </w:r>
      <w:r w:rsidR="00594BD9" w:rsidRPr="00DD47DF">
        <w:t>podniky</w:t>
      </w:r>
      <w:r w:rsidRPr="00DD47DF">
        <w:t xml:space="preserve"> </w:t>
      </w:r>
      <w:r w:rsidR="008F7D94" w:rsidRPr="00DD47DF">
        <w:t>na celém území ČR s výjimkou území hl. města Prahy</w:t>
      </w:r>
      <w:r w:rsidR="00E27FF3" w:rsidRPr="00DD47DF">
        <w:t xml:space="preserve"> (např. prostřednictvím podnikatelských </w:t>
      </w:r>
      <w:r w:rsidR="009D1769" w:rsidRPr="00DD47DF">
        <w:t>inkubátorů).</w:t>
      </w:r>
    </w:p>
    <w:p w14:paraId="12CA18C9" w14:textId="77777777" w:rsidR="004F27E6" w:rsidRPr="00DD47DF" w:rsidRDefault="001F0C50" w:rsidP="009D1769">
      <w:pPr>
        <w:pStyle w:val="Standardntext"/>
      </w:pPr>
      <w:r w:rsidRPr="00DD47DF">
        <w:lastRenderedPageBreak/>
        <w:t>V tomto specifickém cíli je počítáno s inovacemi nižších řádů</w:t>
      </w:r>
      <w:r w:rsidR="00654C5F" w:rsidRPr="00DD47DF">
        <w:t xml:space="preserve"> (</w:t>
      </w:r>
      <w:r w:rsidR="0050426F" w:rsidRPr="00DD47DF">
        <w:t>1</w:t>
      </w:r>
      <w:r w:rsidR="00654C5F" w:rsidRPr="00DD47DF">
        <w:t xml:space="preserve">. – </w:t>
      </w:r>
      <w:r w:rsidR="00DA52F2" w:rsidRPr="00DD47DF">
        <w:t>4</w:t>
      </w:r>
      <w:r w:rsidR="00654C5F" w:rsidRPr="00DD47DF">
        <w:t>. řád)</w:t>
      </w:r>
      <w:r w:rsidRPr="00DD47DF">
        <w:rPr>
          <w:rStyle w:val="Znakapoznpodarou"/>
        </w:rPr>
        <w:footnoteReference w:id="52"/>
      </w:r>
      <w:r w:rsidRPr="00DD47DF">
        <w:t xml:space="preserve">, tzn. s podporou modernizačních a rozvojových projektů. </w:t>
      </w:r>
      <w:r w:rsidR="004F27E6" w:rsidRPr="00DD47DF">
        <w:t>Nebude se jednat o prostou výměnu strojů a zařízení, podporovány budou výhradně nové stroje a zařízení, které zvýší technologickou úroveň MSP</w:t>
      </w:r>
      <w:r w:rsidR="0050426F" w:rsidRPr="00DD47DF">
        <w:t xml:space="preserve"> a jejich konkurenceschopnost</w:t>
      </w:r>
      <w:r w:rsidR="004F27E6" w:rsidRPr="00DD47DF">
        <w:t>.</w:t>
      </w:r>
    </w:p>
    <w:p w14:paraId="6E258639" w14:textId="77777777" w:rsidR="001F0C50" w:rsidRPr="00DD47DF" w:rsidRDefault="001F0C50" w:rsidP="009D1769">
      <w:pPr>
        <w:pStyle w:val="Standardntext"/>
      </w:pPr>
      <w:r w:rsidRPr="00DD47DF">
        <w:t>Podporovány nebudou výdaje na výzkum a vývoj podporované v prioritní ose 1. Podporované projekty umožní vznik či rozvoj podnikatelů s krátkou historií nebo udržení a posílení konkurenceschopnosti MSP, což formou nových investic přispěje k tvorbě HDP a nárůstu zaměstnanosti. Podpora bude zaměřena zejména do odvětví zpracovatelského průmyslu a služeb.</w:t>
      </w:r>
    </w:p>
    <w:p w14:paraId="309B232E" w14:textId="77777777" w:rsidR="00584311" w:rsidRPr="00DD47DF" w:rsidRDefault="00D17DDE" w:rsidP="009D1769">
      <w:pPr>
        <w:pStyle w:val="Standardntext"/>
      </w:pPr>
      <w:r w:rsidRPr="00DD47DF">
        <w:t xml:space="preserve">Aktivita tohoto specifického cíle zaměřená na investiční podporu projektů začínajících a rozvojových firem navazuje na poznatky získané zejména z realizace programů </w:t>
      </w:r>
      <w:r w:rsidR="00E6033C" w:rsidRPr="00DD47DF">
        <w:t xml:space="preserve">podpory </w:t>
      </w:r>
      <w:r w:rsidRPr="00DD47DF">
        <w:t>OPPI</w:t>
      </w:r>
      <w:r w:rsidR="00700B4C" w:rsidRPr="00DD47DF">
        <w:t xml:space="preserve"> z prioritních os</w:t>
      </w:r>
      <w:r w:rsidR="00884FB7" w:rsidRPr="00DD47DF">
        <w:t xml:space="preserve"> „</w:t>
      </w:r>
      <w:r w:rsidRPr="00DD47DF">
        <w:rPr>
          <w:i/>
        </w:rPr>
        <w:t>Vznik firem</w:t>
      </w:r>
      <w:r w:rsidR="00884FB7" w:rsidRPr="00DD47DF">
        <w:rPr>
          <w:i/>
        </w:rPr>
        <w:t>“</w:t>
      </w:r>
      <w:r w:rsidRPr="00DD47DF">
        <w:t xml:space="preserve"> a</w:t>
      </w:r>
      <w:r w:rsidR="00835369" w:rsidRPr="00DD47DF">
        <w:t xml:space="preserve"> </w:t>
      </w:r>
      <w:r w:rsidR="00884FB7" w:rsidRPr="00DD47DF">
        <w:t>„</w:t>
      </w:r>
      <w:r w:rsidRPr="00DD47DF">
        <w:rPr>
          <w:i/>
        </w:rPr>
        <w:t>Rozvoj firem</w:t>
      </w:r>
      <w:r w:rsidR="00884FB7" w:rsidRPr="00DD47DF">
        <w:rPr>
          <w:i/>
        </w:rPr>
        <w:t>“</w:t>
      </w:r>
      <w:r w:rsidRPr="00DD47DF">
        <w:t xml:space="preserve">, kde formou podpory byly úvěry, záruky a </w:t>
      </w:r>
      <w:r w:rsidR="009D1769" w:rsidRPr="00DD47DF">
        <w:t>dotace.</w:t>
      </w:r>
      <w:r w:rsidRPr="00DD47DF">
        <w:t xml:space="preserve"> Cílem aktivity SC 2.1 </w:t>
      </w:r>
      <w:r w:rsidR="00E6033C" w:rsidRPr="00DD47DF">
        <w:t xml:space="preserve">OP PIK </w:t>
      </w:r>
      <w:r w:rsidRPr="00DD47DF">
        <w:t xml:space="preserve">je </w:t>
      </w:r>
      <w:r w:rsidR="009D1769" w:rsidRPr="00DD47DF">
        <w:t>zvýšení počtu nových podnikatelských záměrů</w:t>
      </w:r>
      <w:r w:rsidR="001F0C50" w:rsidRPr="00DD47DF">
        <w:t xml:space="preserve"> (investic)</w:t>
      </w:r>
      <w:r w:rsidR="009D1769" w:rsidRPr="00DD47DF">
        <w:t xml:space="preserve"> začínajících a rozvojových podniků </w:t>
      </w:r>
      <w:r w:rsidR="001F0C50" w:rsidRPr="00DD47DF">
        <w:t xml:space="preserve">zlepšením přístupu k finančním prostředkům na jejich realizaci a zavádění nových výrobních technologií a služeb. Případná </w:t>
      </w:r>
      <w:r w:rsidR="00700B4C" w:rsidRPr="00DD47DF">
        <w:t xml:space="preserve">doplňková </w:t>
      </w:r>
      <w:r w:rsidR="001F0C50" w:rsidRPr="00DD47DF">
        <w:t xml:space="preserve">modernizace současných objektů </w:t>
      </w:r>
      <w:r w:rsidR="00700B4C" w:rsidRPr="00DD47DF">
        <w:t xml:space="preserve">(např. stavební úpravy) </w:t>
      </w:r>
      <w:r w:rsidR="001F0C50" w:rsidRPr="00DD47DF">
        <w:t>musí být v případě SC 2.1 vždy spojena se zaváděním nových výrobních technologií a služeb.</w:t>
      </w:r>
    </w:p>
    <w:p w14:paraId="4AA179E5" w14:textId="77777777" w:rsidR="00896EDF" w:rsidRPr="00DD47DF" w:rsidRDefault="00E6033C" w:rsidP="009D1769">
      <w:pPr>
        <w:pStyle w:val="Standardntext"/>
      </w:pPr>
      <w:r w:rsidRPr="00DD47DF">
        <w:t>I pro programovací období 2014 – 2020 se uka</w:t>
      </w:r>
      <w:r w:rsidR="001911D7" w:rsidRPr="00DD47DF">
        <w:t xml:space="preserve">zuje, že je nadále účelné podporovat </w:t>
      </w:r>
      <w:r w:rsidRPr="00DD47DF">
        <w:t>přístup ke kapitálu pro MSP z veřejných prostředků a umožnit MSP realizaci konkurenceschopných projektů</w:t>
      </w:r>
      <w:r w:rsidR="00835369" w:rsidRPr="00DD47DF">
        <w:t xml:space="preserve">. </w:t>
      </w:r>
      <w:r w:rsidR="005B5EB6" w:rsidRPr="00DD47DF">
        <w:t>K dosažení cílů budou vyhlašovány výzvy, v rámci nichž budou stanoveny podmínky poskytnutí podpory projektům začínajících podniků a podmínky pro poskytnutí podpory na realizaci projektů rozvojových podniků</w:t>
      </w:r>
      <w:r w:rsidR="00584311" w:rsidRPr="00DD47DF">
        <w:t>. Ty</w:t>
      </w:r>
      <w:r w:rsidR="001839E9" w:rsidRPr="00DD47DF">
        <w:t xml:space="preserve"> budou náročnější na </w:t>
      </w:r>
      <w:r w:rsidR="00584311" w:rsidRPr="00DD47DF">
        <w:t>prokázání finančního zdraví žadatele a realizovatelnosti projektu, na výběrová kritéria i</w:t>
      </w:r>
      <w:r w:rsidR="001839E9" w:rsidRPr="00DD47DF">
        <w:t xml:space="preserve"> teritoriální vymezení dle výše míry nezaměstnanosti. </w:t>
      </w:r>
      <w:r w:rsidR="005B5EB6" w:rsidRPr="00DD47DF">
        <w:t xml:space="preserve">Monitoring údajů o přínosech realizace podpořených projektů bude sledován jak na úrovní začínajících podniků, tak podniků rozvojových. </w:t>
      </w:r>
      <w:r w:rsidR="009D1769" w:rsidRPr="00DD47DF">
        <w:t xml:space="preserve">Zkušenosti </w:t>
      </w:r>
      <w:r w:rsidR="00D12D06" w:rsidRPr="00DD47DF">
        <w:t>z implementace OPPI jsou blíže popsány v příloze č. 1.</w:t>
      </w:r>
    </w:p>
    <w:p w14:paraId="2FCE2C65" w14:textId="77777777" w:rsidR="009D1769" w:rsidRPr="00DD47DF" w:rsidRDefault="005368EE" w:rsidP="009D1769">
      <w:pPr>
        <w:pStyle w:val="Standardntext"/>
      </w:pPr>
      <w:r w:rsidRPr="00DD47DF">
        <w:t>Další a</w:t>
      </w:r>
      <w:r w:rsidR="00D17DDE" w:rsidRPr="00DD47DF">
        <w:t>ktivita</w:t>
      </w:r>
      <w:r w:rsidRPr="00DD47DF">
        <w:t xml:space="preserve"> SC 2.1</w:t>
      </w:r>
      <w:r w:rsidR="00D17DDE" w:rsidRPr="00DD47DF">
        <w:t xml:space="preserve"> zaměřená na podporu poradenských služeb a služeb pro začínající podniky je novou aktivitou reagující na nutnost posílení sektoru dynamicky rostoucích MSP pro zlepšení výkonnosti ekonomiky ČR a </w:t>
      </w:r>
      <w:r w:rsidRPr="00DD47DF">
        <w:t xml:space="preserve">zvýšení </w:t>
      </w:r>
      <w:r w:rsidR="00D17DDE" w:rsidRPr="00DD47DF">
        <w:t>zaměstnanost</w:t>
      </w:r>
      <w:r w:rsidRPr="00DD47DF">
        <w:t>i</w:t>
      </w:r>
      <w:r w:rsidR="00D17DDE" w:rsidRPr="00DD47DF">
        <w:t>.</w:t>
      </w:r>
      <w:r w:rsidR="005B5EB6" w:rsidRPr="00DD47DF">
        <w:t xml:space="preserve"> Poradenské služby jsou dosud poskytovány v podnikatelských inkubátorech </w:t>
      </w:r>
      <w:r w:rsidR="00901B83" w:rsidRPr="00DD47DF">
        <w:t>zejména</w:t>
      </w:r>
      <w:r w:rsidR="005B5EB6" w:rsidRPr="00DD47DF">
        <w:t xml:space="preserve"> pro začínající inovační podniky.</w:t>
      </w:r>
      <w:r w:rsidR="00D17DDE" w:rsidRPr="00DD47DF">
        <w:t xml:space="preserve"> V programov</w:t>
      </w:r>
      <w:r w:rsidRPr="00DD47DF">
        <w:t>acím</w:t>
      </w:r>
      <w:r w:rsidR="00D17DDE" w:rsidRPr="00DD47DF">
        <w:t xml:space="preserve"> období 2007 – 2013 byla podpora poradenských služeb v OPPI zaměřena na přípravu inovačních studií MSP na inovace produktu, procesu, organizační a marketingové inovace. </w:t>
      </w:r>
      <w:r w:rsidR="005B5EB6" w:rsidRPr="00DD47DF">
        <w:t xml:space="preserve">Nově budou podporovány základní poradenské služby pro začínající podnikatele do 3 let historie (podnikatelský plán, základy práva, účetnictví, řízení atp.). </w:t>
      </w:r>
      <w:r w:rsidR="009D1769" w:rsidRPr="00DD47DF">
        <w:t xml:space="preserve">Poznatky z realizace dosavadních podpor poradenských služeb v OPPI, poskytovaných externími poradci MSP, jsou zohledňovány v nastavení podmínek pro přípravu realizace nové aktivity v oblasti poradenských služeb pro začínající podnikatele </w:t>
      </w:r>
      <w:r w:rsidR="005B5EB6" w:rsidRPr="00DD47DF">
        <w:t>na celém území ČR s výjimkou území hl. města Prahy</w:t>
      </w:r>
      <w:r w:rsidR="009D1769" w:rsidRPr="00DD47DF">
        <w:t>, a to i prostřednictvím podnikatelských inkubátorů.</w:t>
      </w:r>
    </w:p>
    <w:p w14:paraId="1389EF3E" w14:textId="77777777" w:rsidR="00B37B07" w:rsidRPr="00DD47DF" w:rsidRDefault="00D6338B" w:rsidP="00D6338B">
      <w:pPr>
        <w:pStyle w:val="Standardntext"/>
      </w:pPr>
      <w:r w:rsidRPr="00DD47DF">
        <w:t>Typovými projekty v oblasti podnikatelských záměrů začínajících a rozvojových podniků, budou takové</w:t>
      </w:r>
      <w:r w:rsidR="00C610B3" w:rsidRPr="00DD47DF">
        <w:t xml:space="preserve"> projekty</w:t>
      </w:r>
      <w:r w:rsidRPr="00DD47DF">
        <w:t xml:space="preserve">, které jsou spojené s pořízením či rekonstrukcí budov, strojů a zařízení a získáním pracovního kapitálu pro zahájení či rozšíření podnikatelské činnosti začínajících podnikatelů, se zvyšováním produkční kapacity podnikatelských činností pořízením strojů a </w:t>
      </w:r>
      <w:r w:rsidRPr="00DD47DF">
        <w:lastRenderedPageBreak/>
        <w:t>zařízení a posílením pracovního</w:t>
      </w:r>
      <w:r w:rsidR="006C272E" w:rsidRPr="00DD47DF">
        <w:t xml:space="preserve"> kapitálu rozvojových podniků, </w:t>
      </w:r>
      <w:r w:rsidR="006329E9" w:rsidRPr="00DD47DF">
        <w:t xml:space="preserve">se zvyšováním kvality a efektivity poskytovaných služeb, </w:t>
      </w:r>
      <w:r w:rsidR="006C272E" w:rsidRPr="00DD47DF">
        <w:t xml:space="preserve">se </w:t>
      </w:r>
      <w:r w:rsidRPr="00DD47DF">
        <w:t>zavádění</w:t>
      </w:r>
      <w:r w:rsidR="006C272E" w:rsidRPr="00DD47DF">
        <w:t>m</w:t>
      </w:r>
      <w:r w:rsidRPr="00DD47DF">
        <w:t xml:space="preserve"> moderních technologických procesů u podnikatelských subjektů s využitím technických a užitných vlastností nových strojů a za</w:t>
      </w:r>
      <w:r w:rsidR="006C272E" w:rsidRPr="00DD47DF">
        <w:t>řízení, měřidel, hardware a software a s realizací</w:t>
      </w:r>
      <w:r w:rsidRPr="00DD47DF">
        <w:t xml:space="preserve"> automatizovaných </w:t>
      </w:r>
      <w:r w:rsidR="006C272E" w:rsidRPr="00DD47DF">
        <w:t xml:space="preserve">systémů marketingových činností, </w:t>
      </w:r>
      <w:r w:rsidRPr="00DD47DF">
        <w:t>technické přípravy výroby, ř</w:t>
      </w:r>
      <w:r w:rsidR="006C272E" w:rsidRPr="00DD47DF">
        <w:t xml:space="preserve">ízení výroby a obchodu pořizováním odpovídajícího </w:t>
      </w:r>
      <w:r w:rsidR="00F93EC1" w:rsidRPr="00DD47DF">
        <w:t xml:space="preserve">hardwaru a softwaru. </w:t>
      </w:r>
      <w:r w:rsidR="00152841" w:rsidRPr="00DD47DF">
        <w:t>Výstupem tak bud</w:t>
      </w:r>
      <w:r w:rsidR="00FB72D2" w:rsidRPr="00DD47DF">
        <w:t>ou jednotlivé podpořené podnikatelské</w:t>
      </w:r>
      <w:r w:rsidR="00152841" w:rsidRPr="00DD47DF">
        <w:t xml:space="preserve"> záměr</w:t>
      </w:r>
      <w:r w:rsidR="00FB72D2" w:rsidRPr="00DD47DF">
        <w:t>y</w:t>
      </w:r>
      <w:r w:rsidR="00152841" w:rsidRPr="00DD47DF">
        <w:t xml:space="preserve">, </w:t>
      </w:r>
      <w:r w:rsidR="009D1769" w:rsidRPr="00DD47DF">
        <w:t>jejichž</w:t>
      </w:r>
      <w:r w:rsidR="00152841" w:rsidRPr="00DD47DF">
        <w:t xml:space="preserve"> výsledky se promítnou ve střednědobém horizontu </w:t>
      </w:r>
      <w:r w:rsidR="00C610B3" w:rsidRPr="00DD47DF">
        <w:t>ekonomickými přínosy a nově vytvořenými pracovními</w:t>
      </w:r>
      <w:r w:rsidR="00152841" w:rsidRPr="00DD47DF">
        <w:t xml:space="preserve"> míst</w:t>
      </w:r>
      <w:r w:rsidR="00C610B3" w:rsidRPr="00DD47DF">
        <w:t>y</w:t>
      </w:r>
      <w:r w:rsidR="00152841" w:rsidRPr="00DD47DF">
        <w:t>.</w:t>
      </w:r>
    </w:p>
    <w:p w14:paraId="2DABDB1E" w14:textId="77777777" w:rsidR="00D43022" w:rsidRPr="00DD47DF" w:rsidRDefault="0007086E" w:rsidP="009D1769">
      <w:pPr>
        <w:pStyle w:val="Standardntext"/>
        <w:rPr>
          <w:rFonts w:cs="Arial"/>
        </w:rPr>
      </w:pPr>
      <w:r w:rsidRPr="00DD47DF">
        <w:t>V oblasti poskytování poradenských služeb a služeb pro začínající podnikatele půjde o služby</w:t>
      </w:r>
      <w:r w:rsidR="00584311" w:rsidRPr="00DD47DF">
        <w:t xml:space="preserve"> usnadňující zahájení podnikatelské činnosti</w:t>
      </w:r>
      <w:r w:rsidRPr="00DD47DF">
        <w:t xml:space="preserve"> zaměřené zejména na příprav</w:t>
      </w:r>
      <w:r w:rsidR="00C610B3" w:rsidRPr="00DD47DF">
        <w:t>u</w:t>
      </w:r>
      <w:r w:rsidR="00B37B07" w:rsidRPr="00DD47DF">
        <w:t xml:space="preserve"> podnikatelského plánu, základy</w:t>
      </w:r>
      <w:r w:rsidRPr="00DD47DF">
        <w:t xml:space="preserve"> práva a účetnictví, možnost</w:t>
      </w:r>
      <w:r w:rsidR="00B37B07" w:rsidRPr="00DD47DF">
        <w:t>i</w:t>
      </w:r>
      <w:r w:rsidRPr="00DD47DF">
        <w:t xml:space="preserve"> získání finančních </w:t>
      </w:r>
      <w:r w:rsidR="00B37B07" w:rsidRPr="00DD47DF">
        <w:t>prostředků k podnikání a základy</w:t>
      </w:r>
      <w:r w:rsidRPr="00DD47DF">
        <w:t xml:space="preserve"> finančního řízení podniku, finanční analýzy řízení podniku, rozvoj vnitropodnikového řízení, optimalizační systémy rozvoje firem apod.</w:t>
      </w:r>
      <w:r w:rsidR="00B37B07" w:rsidRPr="00DD47DF">
        <w:t xml:space="preserve"> </w:t>
      </w:r>
      <w:r w:rsidR="00453006" w:rsidRPr="00DD47DF">
        <w:t>Na rozdíl od SC 2.2 se bude jednat o základní poradenské služby</w:t>
      </w:r>
      <w:r w:rsidR="00584311" w:rsidRPr="00DD47DF">
        <w:t xml:space="preserve"> pro začínající podniky</w:t>
      </w:r>
      <w:r w:rsidR="00453006" w:rsidRPr="00DD47DF">
        <w:t xml:space="preserve">. </w:t>
      </w:r>
      <w:r w:rsidR="00B37B07" w:rsidRPr="00DD47DF">
        <w:rPr>
          <w:rFonts w:cs="Arial"/>
        </w:rPr>
        <w:t xml:space="preserve">Výstupem tak bude počet </w:t>
      </w:r>
      <w:r w:rsidR="00584311" w:rsidRPr="00DD47DF">
        <w:t>projektů MSP, kterým byly poskytnuty poradenské služby</w:t>
      </w:r>
      <w:r w:rsidR="00D43022" w:rsidRPr="00DD47DF">
        <w:rPr>
          <w:rFonts w:cs="Arial"/>
        </w:rPr>
        <w:t>.</w:t>
      </w:r>
      <w:r w:rsidR="00B37B07" w:rsidRPr="00DD47DF">
        <w:rPr>
          <w:rFonts w:cs="Arial"/>
        </w:rPr>
        <w:t xml:space="preserve"> </w:t>
      </w:r>
      <w:r w:rsidR="00D43022" w:rsidRPr="00DD47DF">
        <w:rPr>
          <w:rFonts w:cs="Arial"/>
        </w:rPr>
        <w:t xml:space="preserve">Výsledky se </w:t>
      </w:r>
      <w:r w:rsidR="009D1769" w:rsidRPr="00DD47DF">
        <w:rPr>
          <w:rFonts w:cs="Arial"/>
        </w:rPr>
        <w:t xml:space="preserve">na úrovni </w:t>
      </w:r>
      <w:r w:rsidR="00D43022" w:rsidRPr="00DD47DF">
        <w:rPr>
          <w:rFonts w:cs="Arial"/>
        </w:rPr>
        <w:t>projektů budou</w:t>
      </w:r>
      <w:r w:rsidR="009D1769" w:rsidRPr="00DD47DF">
        <w:rPr>
          <w:rFonts w:cs="Arial"/>
        </w:rPr>
        <w:t xml:space="preserve"> promítat </w:t>
      </w:r>
      <w:r w:rsidR="00D43022" w:rsidRPr="00DD47DF">
        <w:rPr>
          <w:rFonts w:cs="Arial"/>
        </w:rPr>
        <w:t xml:space="preserve">do </w:t>
      </w:r>
      <w:r w:rsidR="009D1769" w:rsidRPr="00DD47DF">
        <w:rPr>
          <w:rFonts w:cs="Arial"/>
        </w:rPr>
        <w:t>počtu podniků využívajících podpůrné služby inovační infrastruktury</w:t>
      </w:r>
      <w:r w:rsidR="00D43022" w:rsidRPr="00DD47DF">
        <w:rPr>
          <w:rFonts w:cs="Arial"/>
        </w:rPr>
        <w:t>.</w:t>
      </w:r>
      <w:r w:rsidR="009D1769" w:rsidRPr="00DD47DF">
        <w:rPr>
          <w:rFonts w:cs="Arial"/>
        </w:rPr>
        <w:t xml:space="preserve"> </w:t>
      </w:r>
    </w:p>
    <w:p w14:paraId="3501CD37" w14:textId="77777777" w:rsidR="005C1834" w:rsidRPr="00DD47DF" w:rsidRDefault="005C1834" w:rsidP="009D1769">
      <w:pPr>
        <w:pStyle w:val="Standardntext"/>
        <w:rPr>
          <w:rFonts w:cs="Arial"/>
        </w:rPr>
      </w:pPr>
      <w:r w:rsidRPr="00DD47DF">
        <w:t xml:space="preserve">V SC 2.1 bude využito obou nástrojů podpory, tzn. finančních nástrojů </w:t>
      </w:r>
      <w:r w:rsidR="00FD57C0" w:rsidRPr="00DD47DF">
        <w:t>na základě předběžného posouzení podle čl. 37 odst. 2 obecného nařízení</w:t>
      </w:r>
      <w:r w:rsidRPr="00DD47DF">
        <w:t xml:space="preserve"> i dotací. </w:t>
      </w:r>
      <w:r w:rsidR="003D6734" w:rsidRPr="00DD47DF">
        <w:t xml:space="preserve">Základní rámec režimu rizikového kapitálu je již navržen na základě zkušeností z období 2007-2013 a bude dále diskutován s partnery, zejména soukromými investory, zástupci inovační infrastruktury, sdruženími malých a středních podniků a zpracovatelem předběžného posouzení finančních nástrojů. Hlavní riziko, které je třeba zvážit na základě </w:t>
      </w:r>
      <w:r w:rsidR="00D12D06" w:rsidRPr="00DD47DF">
        <w:t xml:space="preserve">dosavadních </w:t>
      </w:r>
      <w:r w:rsidR="003D6734" w:rsidRPr="00DD47DF">
        <w:t>zkušenost</w:t>
      </w:r>
      <w:r w:rsidR="00D12D06" w:rsidRPr="00DD47DF">
        <w:t>í</w:t>
      </w:r>
      <w:r w:rsidR="003D6734" w:rsidRPr="00DD47DF">
        <w:t xml:space="preserve">, je časový rámec pro přípravu projektu. Mohou nastat neočekávaná zpoždění jako </w:t>
      </w:r>
      <w:r w:rsidR="00584311" w:rsidRPr="00DD47DF">
        <w:t xml:space="preserve">např. </w:t>
      </w:r>
      <w:r w:rsidR="003D6734" w:rsidRPr="00DD47DF">
        <w:t xml:space="preserve">zdlouhavá správní řízení atd. </w:t>
      </w:r>
      <w:r w:rsidR="00584311" w:rsidRPr="00DD47DF">
        <w:t>R</w:t>
      </w:r>
      <w:r w:rsidRPr="00DD47DF">
        <w:t xml:space="preserve">ealizace podnikatelských záměrů začínajících podniků a rozvojových podniků </w:t>
      </w:r>
      <w:r w:rsidR="00584311" w:rsidRPr="00DD47DF">
        <w:t>bude podporována prostřednictvím</w:t>
      </w:r>
      <w:r w:rsidRPr="00DD47DF">
        <w:t xml:space="preserve"> finančních nástrojů a dotací </w:t>
      </w:r>
      <w:r w:rsidR="00514FEC" w:rsidRPr="00DD47DF">
        <w:t>MSP zejména</w:t>
      </w:r>
      <w:r w:rsidRPr="00DD47DF">
        <w:t xml:space="preserve"> pro mikropodniky, zatímco </w:t>
      </w:r>
      <w:r w:rsidR="00584311" w:rsidRPr="00DD47DF">
        <w:t>poradenské</w:t>
      </w:r>
      <w:r w:rsidRPr="00DD47DF">
        <w:t xml:space="preserve"> služb</w:t>
      </w:r>
      <w:r w:rsidR="00584311" w:rsidRPr="00DD47DF">
        <w:t>y</w:t>
      </w:r>
      <w:r w:rsidRPr="00DD47DF">
        <w:t xml:space="preserve"> pro začínající podniky </w:t>
      </w:r>
      <w:r w:rsidR="00584311" w:rsidRPr="00DD47DF">
        <w:t>budou podporovány</w:t>
      </w:r>
      <w:r w:rsidRPr="00DD47DF">
        <w:t xml:space="preserve"> pouze </w:t>
      </w:r>
      <w:r w:rsidR="00584311" w:rsidRPr="00DD47DF">
        <w:t xml:space="preserve">formou </w:t>
      </w:r>
      <w:r w:rsidRPr="00DD47DF">
        <w:t>dotací.</w:t>
      </w:r>
    </w:p>
    <w:p w14:paraId="212A7D1E" w14:textId="77777777" w:rsidR="00F01494" w:rsidRPr="00DD47DF" w:rsidRDefault="000B1647" w:rsidP="0007086E">
      <w:pPr>
        <w:pStyle w:val="Standardntext"/>
      </w:pPr>
      <w:r w:rsidRPr="00DD47DF">
        <w:t xml:space="preserve">Poskytování podpory začínajícím MSP formou </w:t>
      </w:r>
      <w:r w:rsidR="009D73F6" w:rsidRPr="00DD47DF">
        <w:t>finančních nástrojů</w:t>
      </w:r>
      <w:r w:rsidR="00C34AE7" w:rsidRPr="00DD47DF">
        <w:t xml:space="preserve"> </w:t>
      </w:r>
      <w:r w:rsidRPr="00DD47DF">
        <w:t xml:space="preserve">v aktivitě SC 2.1 </w:t>
      </w:r>
      <w:r w:rsidR="00C34AE7" w:rsidRPr="00DD47DF">
        <w:t>„Realizace podnikatelských záměrů začínajících podniků (do 3 let) prostřednictvím vhodných finančních nástrojů“</w:t>
      </w:r>
      <w:r w:rsidR="006E14F6" w:rsidRPr="00DD47DF">
        <w:t xml:space="preserve"> vycház</w:t>
      </w:r>
      <w:r w:rsidR="00C34AE7" w:rsidRPr="00DD47DF">
        <w:t>í</w:t>
      </w:r>
      <w:r w:rsidR="006E14F6" w:rsidRPr="00DD47DF">
        <w:t xml:space="preserve"> </w:t>
      </w:r>
      <w:r w:rsidRPr="00DD47DF">
        <w:t xml:space="preserve">bezprostředně </w:t>
      </w:r>
      <w:r w:rsidR="006E14F6" w:rsidRPr="00DD47DF">
        <w:t>z potřeb zohledněných v Národní RIS3 strategii a</w:t>
      </w:r>
      <w:r w:rsidR="009B5D47" w:rsidRPr="00DD47DF">
        <w:t xml:space="preserve"> m</w:t>
      </w:r>
      <w:r w:rsidR="00C34AE7" w:rsidRPr="00DD47DF">
        <w:t>á</w:t>
      </w:r>
      <w:r w:rsidR="009B5D47" w:rsidRPr="00DD47DF">
        <w:t xml:space="preserve"> přímou vazbu na strategický cíl</w:t>
      </w:r>
      <w:r w:rsidR="00F01494" w:rsidRPr="00DD47DF">
        <w:t xml:space="preserve"> Národní </w:t>
      </w:r>
      <w:r w:rsidR="002B0AB0" w:rsidRPr="00DD47DF">
        <w:t>RI</w:t>
      </w:r>
      <w:r w:rsidR="00F01494" w:rsidRPr="00DD47DF">
        <w:t>S3 strategie</w:t>
      </w:r>
      <w:r w:rsidRPr="00DD47DF">
        <w:t xml:space="preserve"> </w:t>
      </w:r>
      <w:r w:rsidR="00F01494" w:rsidRPr="00DD47DF">
        <w:t>„Zvýšit míru podnikání ve společnosti s důrazem na zakládání nových rychle rostoucích firem“.</w:t>
      </w:r>
      <w:r w:rsidR="000C7B9A" w:rsidRPr="00DD47DF">
        <w:t xml:space="preserve"> </w:t>
      </w:r>
      <w:r w:rsidR="00EB2A24" w:rsidRPr="00DD47DF">
        <w:t>Druhá aktivita SC2.1 spadá rovněž pod výše uvedený strategický cíl</w:t>
      </w:r>
      <w:r w:rsidRPr="00DD47DF">
        <w:t xml:space="preserve"> RIS3. </w:t>
      </w:r>
      <w:r w:rsidR="000C7B9A" w:rsidRPr="00DD47DF">
        <w:t>Jde především o vzájemnou provázanost s typovými aktivitami/projekty/operacemi specifických cílů</w:t>
      </w:r>
      <w:r w:rsidRPr="00DD47DF">
        <w:t xml:space="preserve"> </w:t>
      </w:r>
      <w:r w:rsidR="000C7B9A" w:rsidRPr="00DD47DF">
        <w:t>A2.1 „Zvýšit počet nových firem usilujících o inovace, zejména vyšších řádů</w:t>
      </w:r>
      <w:r w:rsidR="00044470" w:rsidRPr="00DD47DF">
        <w:t xml:space="preserve">“ </w:t>
      </w:r>
      <w:r w:rsidRPr="00DD47DF">
        <w:t xml:space="preserve">(zde jde o poskytování poradenských služeb začínajícím MSP prostřednictvím podnikatelských inkubátorů a inovačních center) </w:t>
      </w:r>
      <w:r w:rsidR="00044470" w:rsidRPr="00DD47DF">
        <w:t>a</w:t>
      </w:r>
      <w:r w:rsidR="000C7B9A" w:rsidRPr="00DD47DF">
        <w:t xml:space="preserve"> </w:t>
      </w:r>
      <w:r w:rsidRPr="00DD47DF">
        <w:t xml:space="preserve">dále </w:t>
      </w:r>
      <w:r w:rsidR="000C7B9A" w:rsidRPr="00DD47DF">
        <w:t xml:space="preserve">A2.2 „Zlepšit dostupnost vnějšího financování pro začínající podnikatele a firmy s krátkou historií“ Národní </w:t>
      </w:r>
      <w:r w:rsidR="002B0AB0" w:rsidRPr="00DD47DF">
        <w:t>RI</w:t>
      </w:r>
      <w:r w:rsidR="000C7B9A" w:rsidRPr="00DD47DF">
        <w:t>S3 strategie.</w:t>
      </w:r>
    </w:p>
    <w:p w14:paraId="760E9BF8" w14:textId="77777777" w:rsidR="00527A16" w:rsidRPr="00DD47DF" w:rsidRDefault="00527A16" w:rsidP="00757916">
      <w:pPr>
        <w:pStyle w:val="Standardntext"/>
      </w:pPr>
      <w:r w:rsidRPr="00DD47DF">
        <w:rPr>
          <w:b/>
        </w:rPr>
        <w:t xml:space="preserve">Hlavní cílová skupina: </w:t>
      </w:r>
      <w:r w:rsidR="00E512C6" w:rsidRPr="00DD47DF">
        <w:t>Podnikatelské subjekty (malé a střední podniky).</w:t>
      </w:r>
    </w:p>
    <w:p w14:paraId="29828284" w14:textId="77777777" w:rsidR="00835369" w:rsidRPr="00DD47DF" w:rsidRDefault="00527A16" w:rsidP="00757916">
      <w:pPr>
        <w:pStyle w:val="Standardntext"/>
      </w:pPr>
      <w:r w:rsidRPr="00DD47DF">
        <w:rPr>
          <w:b/>
        </w:rPr>
        <w:t xml:space="preserve">Cílové území: </w:t>
      </w:r>
      <w:r w:rsidRPr="00DD47DF">
        <w:t>Území České republiky, mimo území hl. města Prahy</w:t>
      </w:r>
      <w:r w:rsidR="0066347A" w:rsidRPr="00DD47DF">
        <w:t xml:space="preserve">. </w:t>
      </w:r>
      <w:r w:rsidR="008819EE" w:rsidRPr="00DD47DF">
        <w:t xml:space="preserve">Z hlediska územní dimenze </w:t>
      </w:r>
      <w:r w:rsidR="00A46CD6" w:rsidRPr="00DD47DF">
        <w:t>bude tento specifický cíl zaměřen na hospodářsky problémov</w:t>
      </w:r>
      <w:r w:rsidR="00C859E0" w:rsidRPr="00DD47DF">
        <w:t>é regiony</w:t>
      </w:r>
      <w:r w:rsidR="00A46CD6" w:rsidRPr="00DD47DF">
        <w:t xml:space="preserve"> a území s vysokou mírou nezaměstnaností a dále urbánní území, kde se předpokládá zapojení do integrovaného nástroje ITI. Z tohoto pohledu je vhodné odlišit územní přístupy rovněž dle formy podpory; zatímco v případě finančních nástrojů se předpokládá plošné směřování intervencí, v případě dotací MSP</w:t>
      </w:r>
      <w:r w:rsidR="00584311" w:rsidRPr="00DD47DF">
        <w:t xml:space="preserve"> budou vyhlašovány výzvy na podporu projektů formou dotací prioritně</w:t>
      </w:r>
      <w:r w:rsidR="00A46CD6" w:rsidRPr="00DD47DF">
        <w:t xml:space="preserve"> pro mikropodniky </w:t>
      </w:r>
      <w:r w:rsidR="00584311" w:rsidRPr="00DD47DF">
        <w:t>s orientací</w:t>
      </w:r>
      <w:r w:rsidR="00A46CD6" w:rsidRPr="00DD47DF">
        <w:t xml:space="preserve"> na hospodářsky problémov</w:t>
      </w:r>
      <w:r w:rsidR="00C859E0" w:rsidRPr="00DD47DF">
        <w:t>é regiony</w:t>
      </w:r>
      <w:r w:rsidR="00A46CD6" w:rsidRPr="00DD47DF">
        <w:t xml:space="preserve"> a území s vysokou mírou nezaměstnanost</w:t>
      </w:r>
      <w:r w:rsidR="00D12D06" w:rsidRPr="00DD47DF">
        <w:t xml:space="preserve">i. </w:t>
      </w:r>
    </w:p>
    <w:p w14:paraId="0ED5BA87" w14:textId="77777777" w:rsidR="00527A16" w:rsidRPr="00DD47DF" w:rsidRDefault="00527A16" w:rsidP="00757916">
      <w:pPr>
        <w:pStyle w:val="Standardntext"/>
      </w:pPr>
      <w:r w:rsidRPr="00DD47DF">
        <w:rPr>
          <w:b/>
        </w:rPr>
        <w:lastRenderedPageBreak/>
        <w:t xml:space="preserve">Typy příjemců: </w:t>
      </w:r>
      <w:r w:rsidR="00E512C6" w:rsidRPr="00DD47DF">
        <w:t>Podnikatelské su</w:t>
      </w:r>
      <w:r w:rsidR="006B4793" w:rsidRPr="00DD47DF">
        <w:t>bjekty (malé a střední podniky)</w:t>
      </w:r>
      <w:r w:rsidR="0066347A" w:rsidRPr="00DD47DF">
        <w:t xml:space="preserve"> ve výrobě a službách, </w:t>
      </w:r>
      <w:r w:rsidR="00F94571" w:rsidRPr="00DD47DF">
        <w:t>provozovatelé inovační infra</w:t>
      </w:r>
      <w:r w:rsidR="00BC2E13" w:rsidRPr="00DD47DF">
        <w:t>struktury</w:t>
      </w:r>
      <w:r w:rsidR="005C1834" w:rsidRPr="00DD47DF">
        <w:t xml:space="preserve"> jako jsou podnikatelské inkubátory, vědeckotechnické parky</w:t>
      </w:r>
      <w:r w:rsidR="001118FB" w:rsidRPr="00DD47DF">
        <w:t xml:space="preserve"> a inovační centra</w:t>
      </w:r>
      <w:r w:rsidR="00DD1A06" w:rsidRPr="00DD47DF">
        <w:t xml:space="preserve"> </w:t>
      </w:r>
      <w:r w:rsidR="006B4793" w:rsidRPr="00DD47DF">
        <w:t>(pouze pro aktivity poskytování poradenských služeb a služeb pro začínající podniky)</w:t>
      </w:r>
      <w:r w:rsidR="0066347A" w:rsidRPr="00DD47DF">
        <w:t xml:space="preserve">; </w:t>
      </w:r>
      <w:r w:rsidR="007459FF" w:rsidRPr="00DD47DF">
        <w:t xml:space="preserve">v rámci tohoto specifického cíle budou </w:t>
      </w:r>
      <w:r w:rsidR="0066347A" w:rsidRPr="00DD47DF">
        <w:t xml:space="preserve">příjemci podpory </w:t>
      </w:r>
      <w:r w:rsidR="007459FF" w:rsidRPr="00DD47DF">
        <w:t>nezemědělští podnikatelé s výstupem projektu mimo položky</w:t>
      </w:r>
      <w:r w:rsidR="004038F0" w:rsidRPr="00DD47DF">
        <w:t xml:space="preserve"> obsažené v dodatku Smlouvy (o EU)</w:t>
      </w:r>
      <w:r w:rsidR="00112C3A" w:rsidRPr="00DD47DF">
        <w:t>, z</w:t>
      </w:r>
      <w:r w:rsidR="007459FF" w:rsidRPr="00DD47DF">
        <w:t>ároveň budou podporovány projekty zemědělských podnikatelů zaměřené na podnikatelské poradenství (nikoliv poradenství do zemědělské činnosti)</w:t>
      </w:r>
      <w:r w:rsidR="00112C3A" w:rsidRPr="00DD47DF">
        <w:t xml:space="preserve">. </w:t>
      </w:r>
    </w:p>
    <w:p w14:paraId="386185D7" w14:textId="77777777" w:rsidR="00F27129" w:rsidRPr="00DD47DF" w:rsidRDefault="00BA6461" w:rsidP="005F43DF">
      <w:pPr>
        <w:pStyle w:val="Nadpis5"/>
        <w:numPr>
          <w:ilvl w:val="4"/>
          <w:numId w:val="16"/>
        </w:numPr>
      </w:pPr>
      <w:r w:rsidRPr="00DD47DF">
        <w:t>Hlavní zásady pro výběr operací</w:t>
      </w:r>
    </w:p>
    <w:p w14:paraId="105856CF" w14:textId="77777777" w:rsidR="00FE3385" w:rsidRPr="00DD47DF" w:rsidRDefault="00FE3385" w:rsidP="00A3171C">
      <w:pPr>
        <w:pStyle w:val="Standardntext"/>
      </w:pPr>
      <w:r w:rsidRPr="00DD47DF">
        <w:t>Společné obecné zásady pro výběr operací pro všechny investiční priority celého OP PIK jsou uvedeny v prioritní ose 1 v oddíle 2.A.6.2.</w:t>
      </w:r>
    </w:p>
    <w:p w14:paraId="2807048A" w14:textId="77777777" w:rsidR="00794BE8" w:rsidRPr="00DD47DF" w:rsidRDefault="00794BE8" w:rsidP="00794BE8">
      <w:pPr>
        <w:pStyle w:val="Standardntext"/>
      </w:pPr>
      <w:r w:rsidRPr="00DD47DF">
        <w:t>V rámci výběru a hodnocení projektů budou posuzována především následující kritéria:</w:t>
      </w:r>
    </w:p>
    <w:p w14:paraId="3045E498" w14:textId="77777777" w:rsidR="00794BE8" w:rsidRPr="00DD47DF" w:rsidRDefault="00794BE8" w:rsidP="00D927A2">
      <w:pPr>
        <w:pStyle w:val="Standardntext"/>
        <w:numPr>
          <w:ilvl w:val="0"/>
          <w:numId w:val="43"/>
        </w:numPr>
      </w:pPr>
      <w:r w:rsidRPr="00DD47DF">
        <w:t xml:space="preserve">Kvalita a potřebnost projektu </w:t>
      </w:r>
      <w:r w:rsidR="00A438A6" w:rsidRPr="00DD47DF">
        <w:t xml:space="preserve">s ohledem na </w:t>
      </w:r>
      <w:r w:rsidR="004E1B49" w:rsidRPr="00DD47DF">
        <w:t>jeho</w:t>
      </w:r>
      <w:r w:rsidR="00A438A6" w:rsidRPr="00DD47DF">
        <w:t xml:space="preserve"> předpokládaný ekonomický přínos, nově vytvořená pracovní místa apod.</w:t>
      </w:r>
    </w:p>
    <w:p w14:paraId="045F797C" w14:textId="77777777" w:rsidR="00A438A6" w:rsidRPr="00DD47DF" w:rsidRDefault="00A438A6" w:rsidP="00D927A2">
      <w:pPr>
        <w:pStyle w:val="Standardntext"/>
        <w:numPr>
          <w:ilvl w:val="0"/>
          <w:numId w:val="43"/>
        </w:numPr>
      </w:pPr>
      <w:r w:rsidRPr="00DD47DF">
        <w:rPr>
          <w:iCs/>
        </w:rPr>
        <w:t>Projekty, které svou realizací prokáž</w:t>
      </w:r>
      <w:r w:rsidR="00634DCF" w:rsidRPr="00DD47DF">
        <w:rPr>
          <w:iCs/>
        </w:rPr>
        <w:t>ou</w:t>
      </w:r>
      <w:r w:rsidRPr="00DD47DF">
        <w:rPr>
          <w:iCs/>
        </w:rPr>
        <w:t xml:space="preserve"> vytvoření, udržitelnost nových pracovních míst a zaměstnání osob znevýhodněných na trhu práce (osoby se zdravotním postižením, matky s dětmi a další pečující osoby, senioři, příslušníci etnických menšin, včetně romské menšiny, cizinci, atd.) budou bonifikovány.</w:t>
      </w:r>
    </w:p>
    <w:p w14:paraId="5DC42A7D" w14:textId="77777777" w:rsidR="00794BE8" w:rsidRPr="00DD47DF" w:rsidRDefault="001963EC" w:rsidP="00D927A2">
      <w:pPr>
        <w:pStyle w:val="Standardntext"/>
        <w:numPr>
          <w:ilvl w:val="0"/>
          <w:numId w:val="43"/>
        </w:numPr>
      </w:pPr>
      <w:r w:rsidRPr="00DD47DF">
        <w:t>Soulad projektu s</w:t>
      </w:r>
      <w:r w:rsidR="00BA4E72" w:rsidRPr="00DD47DF">
        <w:t xml:space="preserve"> </w:t>
      </w:r>
      <w:r w:rsidRPr="00DD47DF">
        <w:t xml:space="preserve">územní dimenzí a uplatněním integrovaných </w:t>
      </w:r>
      <w:r w:rsidR="009D1769" w:rsidRPr="00DD47DF">
        <w:t>nástrojů</w:t>
      </w:r>
      <w:r w:rsidRPr="00DD47DF">
        <w:t xml:space="preserve"> (ITI) v rámci této investiční priority</w:t>
      </w:r>
      <w:r w:rsidR="00D23729" w:rsidRPr="00DD47DF">
        <w:t xml:space="preserve"> (viz </w:t>
      </w:r>
      <w:r w:rsidR="00D23729" w:rsidRPr="00DD47DF">
        <w:rPr>
          <w:i/>
        </w:rPr>
        <w:t>Cílové území</w:t>
      </w:r>
      <w:r w:rsidR="00D23729" w:rsidRPr="00DD47DF">
        <w:t xml:space="preserve"> v</w:t>
      </w:r>
      <w:r w:rsidR="00C63CF5" w:rsidRPr="00DD47DF">
        <w:t> oddíle 2.A.6.1 a dále oddíl 4</w:t>
      </w:r>
      <w:r w:rsidR="00D23729" w:rsidRPr="00DD47DF">
        <w:t>)</w:t>
      </w:r>
      <w:r w:rsidRPr="00DD47DF">
        <w:t>.</w:t>
      </w:r>
      <w:r w:rsidR="00794BE8" w:rsidRPr="00DD47DF">
        <w:t> </w:t>
      </w:r>
    </w:p>
    <w:p w14:paraId="499EF033" w14:textId="77777777" w:rsidR="00FE3385" w:rsidRPr="00DD47DF" w:rsidRDefault="00FE3385" w:rsidP="00D927A2">
      <w:pPr>
        <w:pStyle w:val="Standardntext"/>
        <w:numPr>
          <w:ilvl w:val="0"/>
          <w:numId w:val="43"/>
        </w:numPr>
      </w:pPr>
      <w:r w:rsidRPr="00DD47DF">
        <w:t>Shoda relevantních projektů s Národní RIS3 strategií bude ověřena v rámci hodnocení projektu, a to z hlediska naplňování výběrových kritérií definovaných v příslušných výzvách.</w:t>
      </w:r>
    </w:p>
    <w:p w14:paraId="7171B8DB" w14:textId="77777777" w:rsidR="00794BE8" w:rsidRPr="00DD47DF" w:rsidRDefault="00794BE8"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32CD8BB7" w14:textId="77777777" w:rsidR="00794BE8" w:rsidRPr="00DD47DF" w:rsidRDefault="00637CF8"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1275C386" w14:textId="7E440E7E" w:rsidR="00794BE8" w:rsidRPr="00DD47DF" w:rsidRDefault="008F732B" w:rsidP="008F732B">
      <w:pPr>
        <w:pStyle w:val="Standardntext"/>
        <w:numPr>
          <w:ilvl w:val="0"/>
          <w:numId w:val="43"/>
        </w:numPr>
      </w:pPr>
      <w:r w:rsidRPr="008F732B">
        <w:t>V případě podpory formou finančních nástrojů bude výběr operací a příjemců proveden ŘO podle výběrových kritérií schválených MV OP PIK, v souladu s výsledky předběžného posouzení FN. Výběr konečných příjemců bude provádět správce finančního nástroje.</w:t>
      </w:r>
    </w:p>
    <w:p w14:paraId="4ADAAF90" w14:textId="77777777" w:rsidR="00346C12" w:rsidRPr="00DD47DF" w:rsidRDefault="00BA6461" w:rsidP="005F43DF">
      <w:pPr>
        <w:pStyle w:val="Nadpis5"/>
        <w:numPr>
          <w:ilvl w:val="4"/>
          <w:numId w:val="16"/>
        </w:numPr>
        <w:rPr>
          <w:rFonts w:cs="Calibri"/>
        </w:rPr>
      </w:pPr>
      <w:r w:rsidRPr="00DD47DF">
        <w:t xml:space="preserve">Plánované využití finančních nástrojů </w:t>
      </w:r>
    </w:p>
    <w:p w14:paraId="428E16E2" w14:textId="77777777" w:rsidR="00527A16" w:rsidRPr="00DD47DF" w:rsidRDefault="00806FCA" w:rsidP="00AE26A2">
      <w:pPr>
        <w:pStyle w:val="Standardntext"/>
      </w:pPr>
      <w:r w:rsidRPr="00DD47DF">
        <w:t xml:space="preserve">Při provádění této investiční priority budou koneční příjemci podpořeni finančními nástroji. </w:t>
      </w:r>
      <w:r w:rsidR="000558FE" w:rsidRPr="00DD47DF">
        <w:t>Detaily stanoví Řídící orgán OP PIK na základě předběžného posouzení finančních nástrojů OP PIK dle čl. 37 odst. 2 obecného nařízení, případně jeho revize podle čl. 37 odst. 2 písm. g) obecného nařízení.</w:t>
      </w:r>
      <w:r w:rsidRPr="00DD47DF">
        <w:t xml:space="preserve"> </w:t>
      </w:r>
      <w:r w:rsidR="001049C5" w:rsidRPr="00DD47DF">
        <w:t>Předběžné posouzení finančních nástrojů musí být dokončeno dříve, než řídicí orgán rozhodne, že finanční nástroj obdrží příspěvek z programu.</w:t>
      </w:r>
    </w:p>
    <w:p w14:paraId="6010A155" w14:textId="77777777" w:rsidR="00346C12" w:rsidRPr="00DD47DF" w:rsidRDefault="00BA6461" w:rsidP="005F43DF">
      <w:pPr>
        <w:pStyle w:val="Nadpis5"/>
        <w:numPr>
          <w:ilvl w:val="4"/>
          <w:numId w:val="16"/>
        </w:numPr>
      </w:pPr>
      <w:r w:rsidRPr="00DD47DF">
        <w:lastRenderedPageBreak/>
        <w:t>Plánované využití velkých projektů (použije-li se)</w:t>
      </w:r>
    </w:p>
    <w:p w14:paraId="790A33C9" w14:textId="77777777" w:rsidR="008B5752" w:rsidRPr="00DD47DF" w:rsidRDefault="008B5752" w:rsidP="008B5752">
      <w:pPr>
        <w:pStyle w:val="Standardntext"/>
      </w:pPr>
      <w:r w:rsidRPr="00DD47DF">
        <w:t xml:space="preserve">Velké projekty ve smyslu čl. </w:t>
      </w:r>
      <w:r w:rsidR="006B7890" w:rsidRPr="00DD47DF">
        <w:t>10</w:t>
      </w:r>
      <w:r w:rsidRPr="00DD47DF">
        <w:t>0 obecného nařízení nejsou plánovány.</w:t>
      </w:r>
    </w:p>
    <w:p w14:paraId="1771942B" w14:textId="77777777" w:rsidR="00346C12" w:rsidRPr="00DD47DF" w:rsidRDefault="00BA6461" w:rsidP="005F43DF">
      <w:pPr>
        <w:pStyle w:val="Nadpis5"/>
        <w:numPr>
          <w:ilvl w:val="4"/>
          <w:numId w:val="16"/>
        </w:numPr>
      </w:pPr>
      <w:r w:rsidRPr="00DD47DF">
        <w:t>Ukazatele výstupů podle investiční priority a případně podle kategorie regionů</w:t>
      </w:r>
    </w:p>
    <w:p w14:paraId="7B4DE9B1" w14:textId="77777777" w:rsidR="00B40D97" w:rsidRPr="00DD47DF" w:rsidRDefault="00B40D97" w:rsidP="00D030DD">
      <w:pPr>
        <w:pStyle w:val="Titulek"/>
        <w:keepNext/>
        <w:keepLines/>
        <w:rPr>
          <w:rFonts w:cs="Calibri"/>
        </w:rPr>
      </w:pPr>
      <w:r w:rsidRPr="00DD47DF">
        <w:rPr>
          <w:rFonts w:cs="Calibri"/>
        </w:rPr>
        <w:t>Tabulka</w:t>
      </w:r>
      <w:r w:rsidR="00505E76" w:rsidRPr="00DD47DF">
        <w:rPr>
          <w:rFonts w:cs="Calibri"/>
        </w:rPr>
        <w:t xml:space="preserve"> </w:t>
      </w:r>
      <w:r w:rsidR="002756E7" w:rsidRPr="00DD47DF">
        <w:rPr>
          <w:rFonts w:cs="Calibri"/>
        </w:rPr>
        <w:fldChar w:fldCharType="begin"/>
      </w:r>
      <w:r w:rsidR="00505E76"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56"/>
        <w:gridCol w:w="2336"/>
        <w:gridCol w:w="1039"/>
        <w:gridCol w:w="665"/>
        <w:gridCol w:w="1202"/>
        <w:gridCol w:w="1464"/>
        <w:gridCol w:w="997"/>
        <w:gridCol w:w="1167"/>
      </w:tblGrid>
      <w:tr w:rsidR="001B2E5C" w:rsidRPr="00DD47DF" w14:paraId="31FF69AE" w14:textId="77777777">
        <w:trPr>
          <w:trHeight w:hRule="exact" w:val="1010"/>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0B34B7" w14:textId="77777777" w:rsidR="001B2E5C" w:rsidRPr="00DD47DF" w:rsidRDefault="001B2E5C" w:rsidP="001B2E5C">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3F255C8" w14:textId="77777777" w:rsidR="001B2E5C" w:rsidRPr="00DD47DF" w:rsidRDefault="001B2E5C" w:rsidP="001B2E5C">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2D19288" w14:textId="77777777" w:rsidR="001B2E5C" w:rsidRPr="00DD47DF" w:rsidRDefault="001B2E5C" w:rsidP="001B2E5C">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CEF19B6" w14:textId="77777777" w:rsidR="001B2E5C" w:rsidRPr="00DD47DF" w:rsidRDefault="001B2E5C" w:rsidP="001B2E5C">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BBA3EB3" w14:textId="77777777" w:rsidR="001B2E5C" w:rsidRPr="00DD47DF" w:rsidRDefault="001B2E5C" w:rsidP="001B2E5C">
            <w:pPr>
              <w:pStyle w:val="Tabulka"/>
              <w:keepNext/>
              <w:keepLines/>
              <w:rPr>
                <w:rFonts w:cs="Calibri"/>
                <w:b/>
              </w:rPr>
            </w:pPr>
            <w:r w:rsidRPr="00DD47DF">
              <w:rPr>
                <w:rFonts w:cs="Calibri"/>
                <w:b/>
              </w:rPr>
              <w:t>Kategorie regionu</w:t>
            </w:r>
          </w:p>
        </w:tc>
        <w:tc>
          <w:tcPr>
            <w:tcW w:w="146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30432DD" w14:textId="77777777" w:rsidR="001B2E5C" w:rsidRPr="00DD47DF" w:rsidRDefault="001B2E5C" w:rsidP="00956C4F">
            <w:pPr>
              <w:pStyle w:val="Tabulka"/>
              <w:keepNext/>
              <w:keepLines/>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66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3204053" w14:textId="77777777" w:rsidR="001B2E5C" w:rsidRPr="00DD47DF" w:rsidRDefault="001B2E5C" w:rsidP="001B2E5C">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7506355" w14:textId="77777777" w:rsidR="001B2E5C" w:rsidRPr="00DD47DF" w:rsidRDefault="001B2E5C" w:rsidP="001B2E5C">
            <w:pPr>
              <w:pStyle w:val="Tabulka"/>
              <w:keepNext/>
              <w:keepLines/>
              <w:rPr>
                <w:rFonts w:cs="Calibri"/>
                <w:b/>
              </w:rPr>
            </w:pPr>
            <w:r w:rsidRPr="00DD47DF">
              <w:rPr>
                <w:rFonts w:cs="Calibri"/>
                <w:b/>
              </w:rPr>
              <w:t>Četnost podávání zpráv</w:t>
            </w:r>
          </w:p>
        </w:tc>
      </w:tr>
      <w:tr w:rsidR="00465C6C" w:rsidRPr="00DD47DF" w14:paraId="7EEC84FE"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E8612B7" w14:textId="575791F2" w:rsidR="00465C6C" w:rsidRPr="00DD47DF" w:rsidRDefault="00C75691" w:rsidP="00D030DD">
            <w:pPr>
              <w:pStyle w:val="Tabulka"/>
              <w:keepNext/>
              <w:keepLines/>
              <w:rPr>
                <w:rFonts w:cs="Calibri"/>
              </w:rPr>
            </w:pPr>
            <w:r w:rsidRPr="00DD47DF">
              <w:rPr>
                <w:rFonts w:cs="Calibri"/>
              </w:rPr>
              <w:t xml:space="preserve">CO </w:t>
            </w:r>
            <w:r w:rsidR="00EA7B06" w:rsidRPr="00DD47DF">
              <w:rPr>
                <w:rFonts w:cs="Calibri"/>
              </w:rPr>
              <w:t>0</w:t>
            </w:r>
            <w:r w:rsidR="00465C6C"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6888D141" w14:textId="77777777" w:rsidR="00465C6C" w:rsidRPr="00DD47DF" w:rsidRDefault="007D6298" w:rsidP="00D030DD">
            <w:pPr>
              <w:pStyle w:val="Tabulka"/>
              <w:keepNext/>
              <w:keepLines/>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63D099D8" w14:textId="77777777" w:rsidR="00465C6C" w:rsidRPr="00DD47DF" w:rsidRDefault="00050E1B" w:rsidP="00D030DD">
            <w:pPr>
              <w:pStyle w:val="Tabulka"/>
              <w:keepNext/>
              <w:keepLines/>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54AAD2ED" w14:textId="77777777" w:rsidR="00465C6C" w:rsidRPr="00DD47DF" w:rsidRDefault="000C37B9" w:rsidP="000C37B9">
            <w:pPr>
              <w:pStyle w:val="Tabulka"/>
              <w:keepNext/>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86AB7AC" w14:textId="77777777" w:rsidR="00465C6C" w:rsidRPr="00DD47DF" w:rsidRDefault="009974DF" w:rsidP="00D030DD">
            <w:pPr>
              <w:pStyle w:val="Tabulka"/>
              <w:keepNext/>
              <w:keepLines/>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711518B3" w14:textId="1484AA16" w:rsidR="00465C6C" w:rsidRPr="00DD47DF" w:rsidRDefault="0016073A" w:rsidP="00D5733E">
            <w:pPr>
              <w:pStyle w:val="Tabulka"/>
              <w:keepNext/>
              <w:keepLines/>
              <w:rPr>
                <w:rFonts w:cs="Calibri"/>
              </w:rPr>
            </w:pPr>
            <w:r>
              <w:rPr>
                <w:rFonts w:cs="Calibri"/>
              </w:rPr>
              <w:t xml:space="preserve">2 </w:t>
            </w:r>
            <w:r w:rsidR="00D5733E">
              <w:rPr>
                <w:rFonts w:cs="Calibri"/>
              </w:rPr>
              <w:t>024</w:t>
            </w:r>
          </w:p>
        </w:tc>
        <w:tc>
          <w:tcPr>
            <w:tcW w:w="665" w:type="dxa"/>
            <w:tcBorders>
              <w:top w:val="single" w:sz="4" w:space="0" w:color="000000"/>
              <w:left w:val="single" w:sz="4" w:space="0" w:color="000000"/>
              <w:bottom w:val="single" w:sz="4" w:space="0" w:color="000000"/>
              <w:right w:val="single" w:sz="4" w:space="0" w:color="000000"/>
            </w:tcBorders>
            <w:vAlign w:val="center"/>
          </w:tcPr>
          <w:p w14:paraId="5161755A" w14:textId="77777777" w:rsidR="00465C6C" w:rsidRPr="00DD47DF" w:rsidRDefault="00FC7054" w:rsidP="00D030DD">
            <w:pPr>
              <w:pStyle w:val="Tabulka"/>
              <w:keepNext/>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22DFCDF2" w14:textId="77777777" w:rsidR="00465C6C" w:rsidRPr="00DD47DF" w:rsidRDefault="00FC7054" w:rsidP="00D030DD">
            <w:pPr>
              <w:pStyle w:val="Tabulka"/>
              <w:keepNext/>
              <w:keepLines/>
              <w:rPr>
                <w:rFonts w:cs="Calibri"/>
              </w:rPr>
            </w:pPr>
            <w:r>
              <w:rPr>
                <w:rFonts w:cs="Calibri"/>
              </w:rPr>
              <w:t>průběžně</w:t>
            </w:r>
          </w:p>
        </w:tc>
      </w:tr>
      <w:tr w:rsidR="006D1774" w:rsidRPr="00DD47DF" w14:paraId="3DC4E92A"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2B6FA6F" w14:textId="5586E7AD"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50B25F65" w14:textId="77777777" w:rsidR="006D1774" w:rsidRPr="00DD47DF" w:rsidRDefault="006D1774" w:rsidP="00F47B67">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6602952F" w14:textId="77777777" w:rsidR="006D1774" w:rsidRPr="00DD47DF" w:rsidRDefault="006D1774" w:rsidP="00F47B67">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0C2210B5"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1E7A10F"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7E1A83DA" w14:textId="329F33D6" w:rsidR="006D1774" w:rsidRPr="00DD47DF" w:rsidRDefault="004617F2" w:rsidP="00D5733E">
            <w:pPr>
              <w:pStyle w:val="Tabulka"/>
              <w:rPr>
                <w:rFonts w:cs="Calibri"/>
              </w:rPr>
            </w:pPr>
            <w:r w:rsidRPr="00DD47DF">
              <w:rPr>
                <w:rFonts w:cs="Calibri"/>
              </w:rPr>
              <w:t xml:space="preserve">1 </w:t>
            </w:r>
            <w:r w:rsidR="00D5733E">
              <w:rPr>
                <w:rFonts w:cs="Calibri"/>
              </w:rPr>
              <w:t>025</w:t>
            </w:r>
          </w:p>
        </w:tc>
        <w:tc>
          <w:tcPr>
            <w:tcW w:w="665" w:type="dxa"/>
            <w:tcBorders>
              <w:top w:val="single" w:sz="4" w:space="0" w:color="000000"/>
              <w:left w:val="single" w:sz="4" w:space="0" w:color="000000"/>
              <w:bottom w:val="single" w:sz="4" w:space="0" w:color="000000"/>
              <w:right w:val="single" w:sz="4" w:space="0" w:color="000000"/>
            </w:tcBorders>
            <w:vAlign w:val="center"/>
          </w:tcPr>
          <w:p w14:paraId="5A41465E" w14:textId="77777777" w:rsidR="006D1774" w:rsidRPr="00DD47DF" w:rsidRDefault="00FC7054" w:rsidP="006D177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15356DE0" w14:textId="77777777" w:rsidR="006D1774" w:rsidRPr="00DD47DF" w:rsidRDefault="00FC7054" w:rsidP="006D1774">
            <w:pPr>
              <w:pStyle w:val="Tabulka"/>
              <w:rPr>
                <w:rFonts w:cs="Calibri"/>
              </w:rPr>
            </w:pPr>
            <w:r>
              <w:rPr>
                <w:rFonts w:cs="Calibri"/>
              </w:rPr>
              <w:t>průběžně</w:t>
            </w:r>
          </w:p>
        </w:tc>
      </w:tr>
      <w:tr w:rsidR="006D1774" w:rsidRPr="00DD47DF" w14:paraId="501D3AE8"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631D257" w14:textId="3372ADDE"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005F2488" w14:textId="77777777" w:rsidR="006D1774" w:rsidRPr="00DD47DF" w:rsidRDefault="007D6298" w:rsidP="00F47B67">
            <w:pPr>
              <w:pStyle w:val="Tabulka"/>
              <w:jc w:val="left"/>
              <w:rPr>
                <w:rFonts w:cs="Calibri"/>
              </w:rPr>
            </w:pPr>
            <w:r w:rsidRPr="00DD47DF">
              <w:rPr>
                <w:rFonts w:cs="Calibri"/>
              </w:rPr>
              <w:t>Počet podniků p</w:t>
            </w:r>
            <w:r w:rsidR="00974E81">
              <w:rPr>
                <w:rFonts w:cs="Calibri"/>
              </w:rPr>
              <w:t>obírajících jinou finanční podporu</w:t>
            </w:r>
            <w:r w:rsidRPr="00DD47DF">
              <w:rPr>
                <w:rFonts w:cs="Calibri"/>
              </w:rPr>
              <w:t xml:space="preserve">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5D092F79" w14:textId="77777777" w:rsidR="006D1774" w:rsidRPr="00DD47DF" w:rsidRDefault="006D1774" w:rsidP="00F47B67">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446F2C65"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806F515"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3DF51107" w14:textId="20947030" w:rsidR="006D1774" w:rsidRPr="00DD47DF" w:rsidRDefault="00D5733E" w:rsidP="00D5733E">
            <w:pPr>
              <w:pStyle w:val="Tabulka"/>
              <w:rPr>
                <w:rFonts w:cs="Calibri"/>
              </w:rPr>
            </w:pPr>
            <w:r>
              <w:rPr>
                <w:rFonts w:cs="Calibri"/>
              </w:rPr>
              <w:t>999</w:t>
            </w:r>
          </w:p>
        </w:tc>
        <w:tc>
          <w:tcPr>
            <w:tcW w:w="665" w:type="dxa"/>
            <w:tcBorders>
              <w:top w:val="single" w:sz="4" w:space="0" w:color="000000"/>
              <w:left w:val="single" w:sz="4" w:space="0" w:color="000000"/>
              <w:bottom w:val="single" w:sz="4" w:space="0" w:color="000000"/>
              <w:right w:val="single" w:sz="4" w:space="0" w:color="000000"/>
            </w:tcBorders>
            <w:vAlign w:val="center"/>
          </w:tcPr>
          <w:p w14:paraId="7D9B10AE" w14:textId="77777777" w:rsidR="006D1774" w:rsidRPr="00DD47DF" w:rsidRDefault="00392BCA" w:rsidP="006D1774">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40DBECEE" w14:textId="77777777" w:rsidR="006D1774" w:rsidRPr="00DD47DF" w:rsidRDefault="00392BCA" w:rsidP="006D1774">
            <w:pPr>
              <w:pStyle w:val="Tabulka"/>
              <w:rPr>
                <w:rFonts w:cs="Calibri"/>
              </w:rPr>
            </w:pPr>
            <w:r>
              <w:rPr>
                <w:rFonts w:cs="Calibri"/>
              </w:rPr>
              <w:t>průběžně</w:t>
            </w:r>
          </w:p>
        </w:tc>
      </w:tr>
      <w:tr w:rsidR="006D1774" w:rsidRPr="00DD47DF" w14:paraId="3D72C76A" w14:textId="77777777">
        <w:trPr>
          <w:trHeight w:val="934"/>
        </w:trPr>
        <w:tc>
          <w:tcPr>
            <w:tcW w:w="0" w:type="auto"/>
            <w:tcBorders>
              <w:top w:val="single" w:sz="4" w:space="0" w:color="000000"/>
              <w:left w:val="single" w:sz="4" w:space="0" w:color="000000"/>
              <w:bottom w:val="single" w:sz="4" w:space="0" w:color="000000"/>
              <w:right w:val="single" w:sz="4" w:space="0" w:color="000000"/>
            </w:tcBorders>
            <w:vAlign w:val="center"/>
          </w:tcPr>
          <w:p w14:paraId="0C69A4F6" w14:textId="5184E534"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4BEA1A34" w14:textId="77777777" w:rsidR="006D1774" w:rsidRPr="00DD47DF" w:rsidRDefault="00FE1B8C" w:rsidP="00F47B67">
            <w:pPr>
              <w:pStyle w:val="Tabulka"/>
              <w:jc w:val="left"/>
              <w:rPr>
                <w:rFonts w:cs="Calibri"/>
              </w:rPr>
            </w:pPr>
            <w:r w:rsidRPr="00DD47DF">
              <w:rPr>
                <w:rFonts w:cs="Calibri"/>
              </w:rPr>
              <w:t>Počet nových podniků, které dostávají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6EFC1681" w14:textId="77777777" w:rsidR="006D1774" w:rsidRPr="00DD47DF" w:rsidRDefault="006D1774" w:rsidP="00F47B67">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57F835FE"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83C3719"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691AB483" w14:textId="77777777" w:rsidR="006D1774" w:rsidRPr="00DD47DF" w:rsidRDefault="006D1774" w:rsidP="00F47B67">
            <w:pPr>
              <w:pStyle w:val="Tabulka"/>
              <w:rPr>
                <w:rFonts w:cs="Calibri"/>
              </w:rPr>
            </w:pPr>
            <w:r w:rsidRPr="00DD47DF">
              <w:rPr>
                <w:rFonts w:cs="Calibri"/>
              </w:rPr>
              <w:t>402</w:t>
            </w:r>
          </w:p>
        </w:tc>
        <w:tc>
          <w:tcPr>
            <w:tcW w:w="665" w:type="dxa"/>
            <w:tcBorders>
              <w:top w:val="single" w:sz="4" w:space="0" w:color="000000"/>
              <w:left w:val="single" w:sz="4" w:space="0" w:color="000000"/>
              <w:bottom w:val="single" w:sz="4" w:space="0" w:color="000000"/>
              <w:right w:val="single" w:sz="4" w:space="0" w:color="000000"/>
            </w:tcBorders>
            <w:vAlign w:val="center"/>
          </w:tcPr>
          <w:p w14:paraId="408BFE26" w14:textId="77777777" w:rsidR="006D1774" w:rsidRPr="00DD47DF" w:rsidRDefault="004C2A8C" w:rsidP="006D1774">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55A1DB9C" w14:textId="77777777" w:rsidR="006D1774" w:rsidRPr="00DD47DF" w:rsidRDefault="004C2A8C" w:rsidP="006D1774">
            <w:pPr>
              <w:pStyle w:val="Tabulka"/>
              <w:rPr>
                <w:rFonts w:cs="Calibri"/>
              </w:rPr>
            </w:pPr>
            <w:r>
              <w:rPr>
                <w:rFonts w:cs="Calibri"/>
              </w:rPr>
              <w:t>průběžně</w:t>
            </w:r>
          </w:p>
        </w:tc>
      </w:tr>
      <w:tr w:rsidR="006D1774" w:rsidRPr="00DD47DF" w14:paraId="5F0834AF"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758FBE1" w14:textId="7259E7A2"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2BC3E6CB" w14:textId="77777777" w:rsidR="006D1774" w:rsidRPr="00DD47DF" w:rsidRDefault="00892451" w:rsidP="00F47B67">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579BD8F" w14:textId="77777777" w:rsidR="006D1774" w:rsidRPr="00DD47DF" w:rsidRDefault="006D1774" w:rsidP="00F47B67">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7A69D92F"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49BDCFCB"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11D971FF" w14:textId="2058485D" w:rsidR="006D1774" w:rsidRPr="00DD47DF" w:rsidRDefault="00D5733E" w:rsidP="001C51E1">
            <w:pPr>
              <w:pStyle w:val="Tabulka"/>
              <w:rPr>
                <w:rFonts w:cs="Calibri"/>
              </w:rPr>
            </w:pPr>
            <w:r>
              <w:rPr>
                <w:rFonts w:cs="Calibri"/>
              </w:rPr>
              <w:t>276</w:t>
            </w:r>
            <w:r w:rsidR="00757F45" w:rsidRPr="00DD47DF">
              <w:rPr>
                <w:rFonts w:cs="Calibri"/>
              </w:rPr>
              <w:t xml:space="preserve"> 0</w:t>
            </w:r>
            <w:r w:rsidR="001C51E1" w:rsidRPr="00DD47DF">
              <w:rPr>
                <w:rFonts w:cs="Calibri"/>
              </w:rPr>
              <w:t>00 000</w:t>
            </w:r>
          </w:p>
        </w:tc>
        <w:tc>
          <w:tcPr>
            <w:tcW w:w="665" w:type="dxa"/>
            <w:tcBorders>
              <w:top w:val="single" w:sz="4" w:space="0" w:color="000000"/>
              <w:left w:val="single" w:sz="4" w:space="0" w:color="000000"/>
              <w:bottom w:val="single" w:sz="4" w:space="0" w:color="000000"/>
              <w:right w:val="single" w:sz="4" w:space="0" w:color="000000"/>
            </w:tcBorders>
            <w:vAlign w:val="center"/>
          </w:tcPr>
          <w:p w14:paraId="5DF6EF8B" w14:textId="77777777" w:rsidR="006D1774" w:rsidRPr="00DD47DF" w:rsidRDefault="00800418" w:rsidP="006D177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5509244" w14:textId="77777777" w:rsidR="006D1774" w:rsidRPr="00DD47DF" w:rsidRDefault="00934A97" w:rsidP="006D1774">
            <w:pPr>
              <w:pStyle w:val="Tabulka"/>
              <w:rPr>
                <w:rFonts w:cs="Calibri"/>
              </w:rPr>
            </w:pPr>
            <w:r>
              <w:rPr>
                <w:rFonts w:cs="Calibri"/>
              </w:rPr>
              <w:t>průběžně</w:t>
            </w:r>
          </w:p>
        </w:tc>
      </w:tr>
      <w:tr w:rsidR="006D1774" w:rsidRPr="00DD47DF" w14:paraId="391DDCC7"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8DA12B0" w14:textId="7E1839B1"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410BC01B" w14:textId="77777777" w:rsidR="006D1774" w:rsidRPr="00DD47DF" w:rsidRDefault="006D0B6D" w:rsidP="00F47B67">
            <w:pPr>
              <w:pStyle w:val="Tabulka"/>
              <w:jc w:val="left"/>
              <w:rPr>
                <w:rFonts w:cs="Calibri"/>
              </w:rPr>
            </w:pPr>
            <w:r w:rsidRPr="006D0B6D">
              <w:rPr>
                <w:rFonts w:cs="Calibri"/>
              </w:rPr>
              <w:t>Soukromé investice odpovídající veřejné podpoře podniků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7AD5A14C" w14:textId="77777777" w:rsidR="006D1774" w:rsidRPr="00DD47DF" w:rsidRDefault="006D1774" w:rsidP="00F47B67">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7099EA7A"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BC52C8D"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364AFC28" w14:textId="75DCDA18" w:rsidR="006D1774" w:rsidRPr="00DD47DF" w:rsidRDefault="00D5733E" w:rsidP="00D5733E">
            <w:pPr>
              <w:pStyle w:val="Tabulka"/>
              <w:rPr>
                <w:rFonts w:cs="Calibri"/>
              </w:rPr>
            </w:pPr>
            <w:r>
              <w:rPr>
                <w:rFonts w:cs="Calibri"/>
              </w:rPr>
              <w:t xml:space="preserve">399 </w:t>
            </w:r>
            <w:r w:rsidR="00F932E8">
              <w:rPr>
                <w:rFonts w:cs="Calibri"/>
              </w:rPr>
              <w:t>000</w:t>
            </w:r>
            <w:r w:rsidR="0016073A">
              <w:rPr>
                <w:rFonts w:cs="Calibri"/>
              </w:rPr>
              <w:t xml:space="preserve"> 000</w:t>
            </w:r>
          </w:p>
        </w:tc>
        <w:tc>
          <w:tcPr>
            <w:tcW w:w="665" w:type="dxa"/>
            <w:tcBorders>
              <w:top w:val="single" w:sz="4" w:space="0" w:color="000000"/>
              <w:left w:val="single" w:sz="4" w:space="0" w:color="000000"/>
              <w:bottom w:val="single" w:sz="4" w:space="0" w:color="000000"/>
              <w:right w:val="single" w:sz="4" w:space="0" w:color="000000"/>
            </w:tcBorders>
            <w:vAlign w:val="center"/>
          </w:tcPr>
          <w:p w14:paraId="75B869B0" w14:textId="77777777" w:rsidR="006D1774" w:rsidRPr="00DD47DF" w:rsidRDefault="00392BCA" w:rsidP="006D1774">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3EBB7900" w14:textId="77777777" w:rsidR="006D1774" w:rsidRPr="00DD47DF" w:rsidRDefault="00392BCA" w:rsidP="006D1774">
            <w:pPr>
              <w:pStyle w:val="Tabulka"/>
              <w:rPr>
                <w:rFonts w:cs="Calibri"/>
              </w:rPr>
            </w:pPr>
            <w:r>
              <w:rPr>
                <w:rFonts w:cs="Calibri"/>
              </w:rPr>
              <w:t>průběžně</w:t>
            </w:r>
          </w:p>
        </w:tc>
      </w:tr>
      <w:tr w:rsidR="00F6040D" w:rsidRPr="00DD47DF" w14:paraId="35AB8C15" w14:textId="77777777" w:rsidTr="001D58DB">
        <w:trPr>
          <w:trHeight w:val="363"/>
        </w:trPr>
        <w:tc>
          <w:tcPr>
            <w:tcW w:w="0" w:type="auto"/>
            <w:tcBorders>
              <w:top w:val="single" w:sz="4" w:space="0" w:color="000000"/>
              <w:left w:val="single" w:sz="4" w:space="0" w:color="000000"/>
              <w:bottom w:val="single" w:sz="4" w:space="0" w:color="000000"/>
              <w:right w:val="single" w:sz="4" w:space="0" w:color="000000"/>
            </w:tcBorders>
            <w:vAlign w:val="center"/>
          </w:tcPr>
          <w:p w14:paraId="49AB87B9" w14:textId="026A47A5" w:rsidR="00F6040D" w:rsidRPr="00DD47DF" w:rsidRDefault="00C75691" w:rsidP="008F41A1">
            <w:pPr>
              <w:pStyle w:val="Tabulka"/>
              <w:rPr>
                <w:rFonts w:cs="Calibri"/>
              </w:rPr>
            </w:pPr>
            <w:r w:rsidRPr="00DD47DF">
              <w:rPr>
                <w:rFonts w:cs="Calibri"/>
              </w:rPr>
              <w:t xml:space="preserve">CO </w:t>
            </w:r>
            <w:r w:rsidR="00EA7B06" w:rsidRPr="00DD47DF">
              <w:rPr>
                <w:rFonts w:cs="Calibri"/>
              </w:rPr>
              <w:t>0</w:t>
            </w:r>
            <w:r w:rsidR="00F6040D" w:rsidRPr="00DD47DF">
              <w:rPr>
                <w:rFonts w:cs="Calibri"/>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54829E58" w14:textId="77777777" w:rsidR="00F6040D" w:rsidRPr="00DD47DF" w:rsidRDefault="00F6040D" w:rsidP="008F41A1">
            <w:pPr>
              <w:pStyle w:val="Tabulka"/>
              <w:jc w:val="left"/>
              <w:rPr>
                <w:rFonts w:cs="Calibri"/>
              </w:rPr>
            </w:pPr>
            <w:r w:rsidRPr="00DD47DF">
              <w:rPr>
                <w:rFonts w:cs="Calibri"/>
              </w:rPr>
              <w:t>Zvýšení zaměstnanosti v podporovaných podnicích</w:t>
            </w:r>
          </w:p>
        </w:tc>
        <w:tc>
          <w:tcPr>
            <w:tcW w:w="0" w:type="auto"/>
            <w:tcBorders>
              <w:top w:val="single" w:sz="4" w:space="0" w:color="000000"/>
              <w:left w:val="single" w:sz="4" w:space="0" w:color="000000"/>
              <w:bottom w:val="single" w:sz="4" w:space="0" w:color="000000"/>
              <w:right w:val="single" w:sz="4" w:space="0" w:color="000000"/>
            </w:tcBorders>
            <w:vAlign w:val="center"/>
          </w:tcPr>
          <w:p w14:paraId="32018384" w14:textId="77777777" w:rsidR="00F6040D" w:rsidRPr="00DD47DF" w:rsidRDefault="00F6040D" w:rsidP="008F41A1">
            <w:pPr>
              <w:pStyle w:val="Tabulka"/>
              <w:rPr>
                <w:rFonts w:cs="Calibri"/>
              </w:rPr>
            </w:pPr>
            <w:r w:rsidRPr="00DD47DF">
              <w:rPr>
                <w:rFonts w:cs="Calibri"/>
              </w:rPr>
              <w:t>FTE</w:t>
            </w:r>
          </w:p>
        </w:tc>
        <w:tc>
          <w:tcPr>
            <w:tcW w:w="0" w:type="auto"/>
            <w:tcBorders>
              <w:top w:val="single" w:sz="4" w:space="0" w:color="000000"/>
              <w:left w:val="single" w:sz="4" w:space="0" w:color="000000"/>
              <w:bottom w:val="single" w:sz="4" w:space="0" w:color="000000"/>
              <w:right w:val="single" w:sz="4" w:space="0" w:color="000000"/>
            </w:tcBorders>
            <w:vAlign w:val="center"/>
          </w:tcPr>
          <w:p w14:paraId="7F1F27DB" w14:textId="77777777" w:rsidR="00F6040D"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948F2A5" w14:textId="77777777" w:rsidR="00F6040D" w:rsidRPr="00DD47DF" w:rsidRDefault="00F6040D"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2E9187F9" w14:textId="3052C5F9" w:rsidR="00F6040D" w:rsidRPr="00DD47DF" w:rsidRDefault="0016073A" w:rsidP="00757F45">
            <w:pPr>
              <w:pStyle w:val="Tabulka"/>
              <w:rPr>
                <w:rFonts w:cs="Calibri"/>
              </w:rPr>
            </w:pPr>
            <w:r>
              <w:rPr>
                <w:rFonts w:cs="Calibri"/>
              </w:rPr>
              <w:t>5 000</w:t>
            </w:r>
          </w:p>
        </w:tc>
        <w:tc>
          <w:tcPr>
            <w:tcW w:w="665" w:type="dxa"/>
            <w:tcBorders>
              <w:top w:val="single" w:sz="4" w:space="0" w:color="000000"/>
              <w:left w:val="single" w:sz="4" w:space="0" w:color="000000"/>
              <w:bottom w:val="single" w:sz="4" w:space="0" w:color="000000"/>
              <w:right w:val="single" w:sz="4" w:space="0" w:color="000000"/>
            </w:tcBorders>
            <w:vAlign w:val="center"/>
          </w:tcPr>
          <w:p w14:paraId="201A21BE" w14:textId="77777777" w:rsidR="00F6040D" w:rsidRPr="00DD47DF" w:rsidRDefault="00F6040D" w:rsidP="008F41A1">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58D380A" w14:textId="77777777" w:rsidR="00F6040D" w:rsidRPr="00DD47DF" w:rsidRDefault="00B404F7" w:rsidP="008F41A1">
            <w:pPr>
              <w:pStyle w:val="Tabulka"/>
              <w:rPr>
                <w:rFonts w:cs="Calibri"/>
              </w:rPr>
            </w:pPr>
            <w:r>
              <w:rPr>
                <w:rFonts w:cs="Calibri"/>
              </w:rPr>
              <w:t>průběžně</w:t>
            </w:r>
          </w:p>
        </w:tc>
      </w:tr>
    </w:tbl>
    <w:p w14:paraId="1129E12A" w14:textId="77777777" w:rsidR="008C7D72" w:rsidRPr="00DD47DF" w:rsidRDefault="008C7D72" w:rsidP="00DA3512">
      <w:pPr>
        <w:pStyle w:val="kapitola2A0"/>
        <w:numPr>
          <w:ilvl w:val="2"/>
          <w:numId w:val="64"/>
        </w:numPr>
      </w:pPr>
      <w:bookmarkStart w:id="45" w:name="_Toc506884995"/>
      <w:bookmarkStart w:id="46" w:name="_Toc351464373"/>
      <w:r w:rsidRPr="00DD47DF">
        <w:t>INVESTIČNÍ PRIORITA</w:t>
      </w:r>
      <w:r w:rsidR="00AA66A2" w:rsidRPr="00DD47DF">
        <w:t xml:space="preserve"> 2 prioritní osy 2</w:t>
      </w:r>
      <w:r w:rsidRPr="00DD47DF">
        <w:t>: Vyvíjení a provádění nových obchodních modelů pro MSP, zejména pro oblast mezinárodního obchodu</w:t>
      </w:r>
      <w:bookmarkEnd w:id="45"/>
    </w:p>
    <w:p w14:paraId="0EAFD271" w14:textId="77777777" w:rsidR="00EB13D9" w:rsidRPr="00DD47DF" w:rsidRDefault="008C7D72" w:rsidP="00DA3512">
      <w:pPr>
        <w:pStyle w:val="kapitola2A0"/>
        <w:numPr>
          <w:ilvl w:val="2"/>
          <w:numId w:val="64"/>
        </w:numPr>
      </w:pPr>
      <w:bookmarkStart w:id="47" w:name="_Toc506884996"/>
      <w:r w:rsidRPr="00DD47DF">
        <w:t>Specifické cíle odpovídající investiční prioritě a očekávané výsledky</w:t>
      </w:r>
      <w:bookmarkEnd w:id="47"/>
    </w:p>
    <w:p w14:paraId="0A28E5C9" w14:textId="77777777" w:rsidR="00EB13D9" w:rsidRPr="00DD47DF" w:rsidRDefault="00EB13D9" w:rsidP="00396141">
      <w:pPr>
        <w:pStyle w:val="Modrnadpis"/>
      </w:pPr>
      <w:r w:rsidRPr="00DD47DF">
        <w:t xml:space="preserve">SPECIFICKÝ CÍL </w:t>
      </w:r>
      <w:r w:rsidR="00C71E6F" w:rsidRPr="00DD47DF">
        <w:t>2.</w:t>
      </w:r>
      <w:r w:rsidRPr="00DD47DF">
        <w:t xml:space="preserve">2: </w:t>
      </w:r>
      <w:r w:rsidR="00FF3A47" w:rsidRPr="00DD47DF">
        <w:t>Zvýšit internacionalizaci malých a středních podniků</w:t>
      </w:r>
    </w:p>
    <w:bookmarkEnd w:id="46"/>
    <w:p w14:paraId="5E04145A" w14:textId="77777777" w:rsidR="001A5C2A" w:rsidRPr="00DD47DF" w:rsidRDefault="005E45B6" w:rsidP="00666B70">
      <w:pPr>
        <w:pStyle w:val="Standardntext"/>
      </w:pPr>
      <w:r w:rsidRPr="00DD47DF">
        <w:t xml:space="preserve">Konkurenceschopnost MSP a jejich růst jsou zásadním způsobem závislé na schopnosti MSP pronikat na nové a perspektivní zahraniční trhy. Expanze na nové trhy v zahraničí představuje možnost pro MSP dosáhnout posunu v těchto pozicích a orientovat se na výrobu pro koncové zákazníky. Hlavním cílem je zaměřit se na rozvoj internacionalizace podnikání v oblasti </w:t>
      </w:r>
      <w:r w:rsidRPr="00DD47DF">
        <w:lastRenderedPageBreak/>
        <w:t>sofistikovaných služeb a poradenství a na MSP orientující se na nové zdroje růstu na zahraničních trzích.</w:t>
      </w:r>
    </w:p>
    <w:p w14:paraId="5D8DB3B5" w14:textId="77777777" w:rsidR="001A5C2A" w:rsidRPr="00DD47DF" w:rsidRDefault="003508A9" w:rsidP="001A5C2A">
      <w:pPr>
        <w:pStyle w:val="Modrnadpis"/>
      </w:pPr>
      <w:r w:rsidRPr="00DD47DF">
        <w:t>Výsledky, kterých chce ČR dosáhnout s podporou Unie</w:t>
      </w:r>
    </w:p>
    <w:p w14:paraId="20341FFD" w14:textId="77777777" w:rsidR="005E45B6" w:rsidRPr="00DD47DF" w:rsidRDefault="005E45B6" w:rsidP="00D927A2">
      <w:pPr>
        <w:pStyle w:val="Odstavecseseznamem1"/>
        <w:numPr>
          <w:ilvl w:val="0"/>
          <w:numId w:val="54"/>
        </w:numPr>
        <w:jc w:val="both"/>
        <w:rPr>
          <w:rFonts w:cs="Calibri"/>
          <w:sz w:val="24"/>
          <w:szCs w:val="24"/>
        </w:rPr>
      </w:pPr>
      <w:r w:rsidRPr="00DD47DF">
        <w:rPr>
          <w:rFonts w:cs="Calibri"/>
          <w:sz w:val="24"/>
          <w:szCs w:val="24"/>
        </w:rPr>
        <w:t>Zlepšení dostupnosti kvalitních poradenských služeb za účelem napomoci malým a středním podnikům k vyššímu využití tržních příležitostí.</w:t>
      </w:r>
    </w:p>
    <w:p w14:paraId="0ABC02B5" w14:textId="77777777" w:rsidR="005E45B6" w:rsidRPr="00DD47DF" w:rsidRDefault="005E45B6" w:rsidP="00D927A2">
      <w:pPr>
        <w:pStyle w:val="Odstavecseseznamem1"/>
        <w:numPr>
          <w:ilvl w:val="0"/>
          <w:numId w:val="54"/>
        </w:numPr>
        <w:jc w:val="both"/>
        <w:rPr>
          <w:rFonts w:cs="Calibri"/>
          <w:sz w:val="24"/>
          <w:szCs w:val="24"/>
        </w:rPr>
      </w:pPr>
      <w:r w:rsidRPr="00DD47DF">
        <w:rPr>
          <w:rFonts w:cs="Calibri"/>
          <w:sz w:val="24"/>
          <w:szCs w:val="24"/>
        </w:rPr>
        <w:t xml:space="preserve">Posílení schopnosti a marketinkové připravenosti malých a středních </w:t>
      </w:r>
      <w:r w:rsidR="00594BD9" w:rsidRPr="00DD47DF">
        <w:rPr>
          <w:rFonts w:cs="Calibri"/>
          <w:sz w:val="24"/>
          <w:szCs w:val="24"/>
        </w:rPr>
        <w:t>podniků</w:t>
      </w:r>
      <w:r w:rsidRPr="00DD47DF">
        <w:rPr>
          <w:rFonts w:cs="Calibri"/>
          <w:sz w:val="24"/>
          <w:szCs w:val="24"/>
        </w:rPr>
        <w:t xml:space="preserve"> nacházet nové trhy (územně i produktově) a vstupovat a udržet se na nich. S tím souvisí zvýšená schopnost mezinárodní expanze, rozšiřování exportní působnosti, výrobních a prodejních aktivit. </w:t>
      </w:r>
    </w:p>
    <w:p w14:paraId="69C08C67" w14:textId="77777777" w:rsidR="005E45B6" w:rsidRPr="00DD47DF" w:rsidRDefault="005E45B6" w:rsidP="00D927A2">
      <w:pPr>
        <w:pStyle w:val="Odstavecseseznamem1"/>
        <w:numPr>
          <w:ilvl w:val="0"/>
          <w:numId w:val="54"/>
        </w:numPr>
        <w:jc w:val="both"/>
        <w:rPr>
          <w:rFonts w:cs="Calibri"/>
          <w:sz w:val="24"/>
          <w:szCs w:val="24"/>
        </w:rPr>
      </w:pPr>
      <w:r w:rsidRPr="00DD47DF">
        <w:rPr>
          <w:rFonts w:cs="Calibri"/>
          <w:sz w:val="24"/>
          <w:szCs w:val="24"/>
        </w:rPr>
        <w:t xml:space="preserve">Zlepšení strategického plánování a řízení MSP povede k posílení schopnosti identifikovat nové příležitosti na zahraničních trzích, zvýšení účinnosti řízení klíčových </w:t>
      </w:r>
      <w:r w:rsidR="00594BD9" w:rsidRPr="00DD47DF">
        <w:rPr>
          <w:rFonts w:cs="Calibri"/>
          <w:sz w:val="24"/>
          <w:szCs w:val="24"/>
        </w:rPr>
        <w:t>podnikových</w:t>
      </w:r>
      <w:r w:rsidRPr="00DD47DF">
        <w:rPr>
          <w:rFonts w:cs="Calibri"/>
          <w:sz w:val="24"/>
          <w:szCs w:val="24"/>
        </w:rPr>
        <w:t xml:space="preserve"> procesů a celkovému posílení aktivního přístupu k řízení budoucí konkurenční výhody MSP (princip řízení z budoucnosti).</w:t>
      </w:r>
    </w:p>
    <w:p w14:paraId="1AD74388" w14:textId="77777777" w:rsidR="001A5C2A" w:rsidRPr="00DD47DF" w:rsidRDefault="005E45B6" w:rsidP="00D927A2">
      <w:pPr>
        <w:pStyle w:val="Standardntext"/>
        <w:numPr>
          <w:ilvl w:val="0"/>
          <w:numId w:val="54"/>
        </w:numPr>
      </w:pPr>
      <w:r w:rsidRPr="00DD47DF">
        <w:t>Zlepšení ekonomických výsledků endogenního podnikatelského sektoru v podobě růstu pod</w:t>
      </w:r>
      <w:r w:rsidR="000A3436" w:rsidRPr="00DD47DF">
        <w:t>ílu exportu na celkových výkonech</w:t>
      </w:r>
      <w:r w:rsidRPr="00DD47DF">
        <w:t xml:space="preserve"> povede ke stabilizaci podnikatelského prostředí a vytvoří tak prostor pro další rozvoj klíčových </w:t>
      </w:r>
      <w:r w:rsidR="009D1769" w:rsidRPr="00DD47DF">
        <w:t>kompetencí</w:t>
      </w:r>
      <w:r w:rsidR="000A3436" w:rsidRPr="00DD47DF">
        <w:t xml:space="preserve"> a vyšší diversifikaci exportu.</w:t>
      </w:r>
    </w:p>
    <w:p w14:paraId="4F467266" w14:textId="77777777" w:rsidR="00EB13D9" w:rsidRPr="00DD47DF" w:rsidRDefault="00EB13D9" w:rsidP="007B391E">
      <w:pPr>
        <w:pStyle w:val="Titulek"/>
        <w:keepNext/>
        <w:keepLines/>
        <w:rPr>
          <w:rFonts w:cs="Calibri"/>
        </w:rPr>
      </w:pPr>
      <w:r w:rsidRPr="00DD47DF">
        <w:rPr>
          <w:rFonts w:cs="Calibri"/>
        </w:rPr>
        <w:t>Tabulka</w:t>
      </w:r>
      <w:r w:rsidR="00955F90" w:rsidRPr="00DD47DF">
        <w:rPr>
          <w:rFonts w:cs="Calibri"/>
        </w:rPr>
        <w:t xml:space="preserve"> </w:t>
      </w:r>
      <w:r w:rsidR="002756E7" w:rsidRPr="00DD47DF">
        <w:rPr>
          <w:rFonts w:cs="Calibri"/>
        </w:rPr>
        <w:fldChar w:fldCharType="begin"/>
      </w:r>
      <w:r w:rsidR="00955F90"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708"/>
        <w:gridCol w:w="946"/>
        <w:gridCol w:w="1334"/>
        <w:gridCol w:w="955"/>
        <w:gridCol w:w="905"/>
        <w:gridCol w:w="997"/>
        <w:gridCol w:w="717"/>
        <w:gridCol w:w="1100"/>
      </w:tblGrid>
      <w:tr w:rsidR="00CF739D" w:rsidRPr="00DD47DF" w14:paraId="316C208B" w14:textId="77777777">
        <w:trPr>
          <w:trHeight w:hRule="exact" w:val="12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C9FA385" w14:textId="77777777" w:rsidR="00CF739D" w:rsidRPr="00DD47DF" w:rsidRDefault="00CF739D" w:rsidP="007B391E">
            <w:pPr>
              <w:pStyle w:val="Tabulka"/>
              <w:keepNext/>
              <w:keepLines/>
              <w:rPr>
                <w:rFonts w:cs="Calibri"/>
                <w:b/>
                <w:bCs/>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35117CE" w14:textId="77777777" w:rsidR="00CF739D" w:rsidRPr="00DD47DF" w:rsidRDefault="00CF739D" w:rsidP="007B391E">
            <w:pPr>
              <w:pStyle w:val="Tabulka"/>
              <w:keepNext/>
              <w:keepLines/>
              <w:rPr>
                <w:rFonts w:cs="Calibri"/>
                <w:b/>
                <w:bCs/>
              </w:rPr>
            </w:pPr>
            <w:r w:rsidRPr="00DD47DF">
              <w:rPr>
                <w:rFonts w:cs="Calibri"/>
                <w:b/>
                <w:bCs/>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90B28A9" w14:textId="77777777" w:rsidR="00CF739D" w:rsidRPr="00DD47DF" w:rsidRDefault="00CF739D" w:rsidP="007B391E">
            <w:pPr>
              <w:pStyle w:val="Tabulka"/>
              <w:keepNext/>
              <w:keepLines/>
              <w:rPr>
                <w:rFonts w:cs="Calibri"/>
                <w:b/>
                <w:bCs/>
              </w:rPr>
            </w:pPr>
            <w:r w:rsidRPr="00DD47DF">
              <w:rPr>
                <w:rFonts w:cs="Calibri"/>
                <w:b/>
                <w:bCs/>
              </w:rPr>
              <w:t>Měrná</w:t>
            </w:r>
          </w:p>
          <w:p w14:paraId="0C238163" w14:textId="77777777" w:rsidR="00CF739D" w:rsidRPr="00DD47DF" w:rsidRDefault="00CF739D" w:rsidP="007B391E">
            <w:pPr>
              <w:pStyle w:val="Tabulka"/>
              <w:keepNext/>
              <w:keepLines/>
              <w:rPr>
                <w:rFonts w:cs="Calibri"/>
                <w:b/>
                <w:bCs/>
              </w:rPr>
            </w:pPr>
            <w:r w:rsidRPr="00DD47DF">
              <w:rPr>
                <w:rFonts w:cs="Calibri"/>
                <w:b/>
                <w:bCs/>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92769F6" w14:textId="77777777" w:rsidR="00CF739D" w:rsidRPr="00DD47DF" w:rsidRDefault="00CF739D" w:rsidP="007B391E">
            <w:pPr>
              <w:pStyle w:val="Tabulka"/>
              <w:keepNext/>
              <w:keepLines/>
              <w:rPr>
                <w:rFonts w:cs="Calibri"/>
                <w:b/>
                <w:bCs/>
              </w:rPr>
            </w:pPr>
            <w:r w:rsidRPr="00DD47DF">
              <w:rPr>
                <w:rFonts w:cs="Calibri"/>
                <w:b/>
                <w:bCs/>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818E8A6" w14:textId="77777777" w:rsidR="00CF739D" w:rsidRPr="00DD47DF" w:rsidRDefault="004B0854" w:rsidP="007B391E">
            <w:pPr>
              <w:pStyle w:val="Tabulka"/>
              <w:keepNext/>
              <w:keepLines/>
              <w:rPr>
                <w:rFonts w:cs="Calibri"/>
                <w:b/>
                <w:bCs/>
              </w:rPr>
            </w:pPr>
            <w:r w:rsidRPr="00DD47DF">
              <w:rPr>
                <w:rFonts w:cs="Calibri"/>
                <w:b/>
                <w:bCs/>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EA1D975" w14:textId="77777777" w:rsidR="00CF739D" w:rsidRPr="00DD47DF" w:rsidRDefault="004B0854" w:rsidP="007B391E">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2203D56" w14:textId="77777777" w:rsidR="00CF739D" w:rsidRPr="00DD47DF" w:rsidRDefault="00CF739D" w:rsidP="007B391E">
            <w:pPr>
              <w:pStyle w:val="Tabulka"/>
              <w:keepNext/>
              <w:keepLines/>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9DDF24C" w14:textId="77777777" w:rsidR="00CF739D" w:rsidRPr="00DD47DF" w:rsidRDefault="00CF739D" w:rsidP="007B391E">
            <w:pPr>
              <w:pStyle w:val="Tabulka"/>
              <w:keepNext/>
              <w:keepLines/>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2A51039" w14:textId="77777777" w:rsidR="00CF739D" w:rsidRPr="00DD47DF" w:rsidRDefault="00CF739D" w:rsidP="007B391E">
            <w:pPr>
              <w:pStyle w:val="Tabulka"/>
              <w:keepNext/>
              <w:keepLines/>
              <w:rPr>
                <w:rFonts w:cs="Calibri"/>
                <w:b/>
                <w:bCs/>
              </w:rPr>
            </w:pPr>
            <w:r w:rsidRPr="00DD47DF">
              <w:rPr>
                <w:rFonts w:cs="Calibri"/>
                <w:b/>
                <w:bCs/>
              </w:rPr>
              <w:t>Četnost podávání zpráv</w:t>
            </w:r>
          </w:p>
        </w:tc>
      </w:tr>
      <w:tr w:rsidR="00EB13D9" w:rsidRPr="00DD47DF" w14:paraId="378CA7C6" w14:textId="77777777">
        <w:trPr>
          <w:trHeight w:hRule="exact" w:val="916"/>
        </w:trPr>
        <w:tc>
          <w:tcPr>
            <w:tcW w:w="0" w:type="auto"/>
            <w:tcBorders>
              <w:top w:val="single" w:sz="4" w:space="0" w:color="000000"/>
              <w:left w:val="single" w:sz="4" w:space="0" w:color="000000"/>
              <w:bottom w:val="single" w:sz="4" w:space="0" w:color="000000"/>
              <w:right w:val="single" w:sz="4" w:space="0" w:color="000000"/>
            </w:tcBorders>
            <w:vAlign w:val="center"/>
          </w:tcPr>
          <w:p w14:paraId="1C293310" w14:textId="77777777" w:rsidR="00EB13D9" w:rsidRPr="00DD47DF" w:rsidRDefault="00D6006C" w:rsidP="00EB13D9">
            <w:pPr>
              <w:pStyle w:val="Tabulka"/>
              <w:rPr>
                <w:rFonts w:cs="Calibri"/>
              </w:rPr>
            </w:pPr>
            <w:r w:rsidRPr="00DD47DF">
              <w:rPr>
                <w:rFonts w:cs="Calibri"/>
              </w:rPr>
              <w:t>10601</w:t>
            </w:r>
          </w:p>
        </w:tc>
        <w:tc>
          <w:tcPr>
            <w:tcW w:w="0" w:type="auto"/>
            <w:tcBorders>
              <w:top w:val="single" w:sz="4" w:space="0" w:color="000000"/>
              <w:left w:val="single" w:sz="4" w:space="0" w:color="000000"/>
              <w:bottom w:val="single" w:sz="4" w:space="0" w:color="000000"/>
              <w:right w:val="single" w:sz="4" w:space="0" w:color="000000"/>
            </w:tcBorders>
            <w:vAlign w:val="center"/>
          </w:tcPr>
          <w:p w14:paraId="7398B9FC" w14:textId="77777777" w:rsidR="00EB13D9" w:rsidRPr="00DD47DF" w:rsidRDefault="00AA6101" w:rsidP="00DC58DF">
            <w:pPr>
              <w:pStyle w:val="Tabulka"/>
              <w:jc w:val="left"/>
              <w:rPr>
                <w:rFonts w:cs="Calibri"/>
              </w:rPr>
            </w:pPr>
            <w:r w:rsidRPr="00DD47DF">
              <w:rPr>
                <w:rFonts w:cs="Calibri"/>
              </w:rPr>
              <w:t>Podíl exportu MSP/celkovým výkonům MSP</w:t>
            </w:r>
          </w:p>
        </w:tc>
        <w:tc>
          <w:tcPr>
            <w:tcW w:w="0" w:type="auto"/>
            <w:tcBorders>
              <w:top w:val="single" w:sz="4" w:space="0" w:color="000000"/>
              <w:left w:val="single" w:sz="4" w:space="0" w:color="000000"/>
              <w:bottom w:val="single" w:sz="4" w:space="0" w:color="000000"/>
              <w:right w:val="single" w:sz="4" w:space="0" w:color="000000"/>
            </w:tcBorders>
            <w:vAlign w:val="center"/>
          </w:tcPr>
          <w:p w14:paraId="4523FC32" w14:textId="77777777" w:rsidR="00EB13D9" w:rsidRPr="00DD47DF" w:rsidRDefault="00AA6101" w:rsidP="00EB13D9">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08EE98D" w14:textId="77777777" w:rsidR="00EB13D9" w:rsidRPr="00DD47DF" w:rsidRDefault="00AA6101" w:rsidP="00EB13D9">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5A28277" w14:textId="1C4BDD29" w:rsidR="00EB13D9" w:rsidRPr="00DD47DF" w:rsidRDefault="009760C4" w:rsidP="00EB13D9">
            <w:pPr>
              <w:pStyle w:val="Tabulka"/>
              <w:rPr>
                <w:rFonts w:cs="Calibri"/>
              </w:rPr>
            </w:pPr>
            <w:r>
              <w:rPr>
                <w:rFonts w:cs="Calibri"/>
              </w:rPr>
              <w:t>21,2</w:t>
            </w:r>
          </w:p>
        </w:tc>
        <w:tc>
          <w:tcPr>
            <w:tcW w:w="0" w:type="auto"/>
            <w:tcBorders>
              <w:top w:val="single" w:sz="4" w:space="0" w:color="000000"/>
              <w:left w:val="single" w:sz="4" w:space="0" w:color="000000"/>
              <w:bottom w:val="single" w:sz="4" w:space="0" w:color="000000"/>
              <w:right w:val="single" w:sz="4" w:space="0" w:color="000000"/>
            </w:tcBorders>
            <w:vAlign w:val="center"/>
          </w:tcPr>
          <w:p w14:paraId="5673EA91" w14:textId="257037B3" w:rsidR="00EB13D9" w:rsidRPr="00DD47DF" w:rsidRDefault="009760C4" w:rsidP="00EB13D9">
            <w:pPr>
              <w:pStyle w:val="Tabulka"/>
              <w:rPr>
                <w:rFonts w:cs="Calibri"/>
              </w:rPr>
            </w:pPr>
            <w:r>
              <w:rPr>
                <w:rFonts w:cs="Calibri"/>
              </w:rPr>
              <w:t>2013</w:t>
            </w:r>
          </w:p>
        </w:tc>
        <w:tc>
          <w:tcPr>
            <w:tcW w:w="0" w:type="auto"/>
            <w:tcBorders>
              <w:top w:val="single" w:sz="4" w:space="0" w:color="000000"/>
              <w:left w:val="single" w:sz="4" w:space="0" w:color="000000"/>
              <w:bottom w:val="single" w:sz="4" w:space="0" w:color="000000"/>
              <w:right w:val="single" w:sz="4" w:space="0" w:color="000000"/>
            </w:tcBorders>
            <w:vAlign w:val="center"/>
          </w:tcPr>
          <w:p w14:paraId="37FAA6A0" w14:textId="225A26E2" w:rsidR="00EB13D9" w:rsidRPr="00DD47DF" w:rsidRDefault="009760C4" w:rsidP="009760C4">
            <w:pPr>
              <w:pStyle w:val="Tabulka"/>
              <w:rPr>
                <w:rFonts w:cs="Calibri"/>
              </w:rPr>
            </w:pPr>
            <w:r>
              <w:rPr>
                <w:rFonts w:cs="Calibri"/>
              </w:rPr>
              <w:t>22,3</w:t>
            </w:r>
            <w:r w:rsidR="006A2A56" w:rsidRPr="00DD47DF">
              <w:rPr>
                <w:rFonts w:cs="Calibri"/>
              </w:rPr>
              <w:t xml:space="preserve"> – </w:t>
            </w:r>
            <w:r>
              <w:rPr>
                <w:rFonts w:cs="Calibri"/>
              </w:rPr>
              <w:t>23,8</w:t>
            </w:r>
            <w:r w:rsidR="00E82B5E" w:rsidRPr="00DD47DF">
              <w:rPr>
                <w:rStyle w:val="Znakapoznpodarou"/>
                <w:rFonts w:cs="Calibri"/>
              </w:rPr>
              <w:footnoteReference w:id="53"/>
            </w:r>
          </w:p>
        </w:tc>
        <w:tc>
          <w:tcPr>
            <w:tcW w:w="0" w:type="auto"/>
            <w:tcBorders>
              <w:top w:val="single" w:sz="4" w:space="0" w:color="000000"/>
              <w:left w:val="single" w:sz="4" w:space="0" w:color="000000"/>
              <w:bottom w:val="single" w:sz="4" w:space="0" w:color="000000"/>
              <w:right w:val="single" w:sz="4" w:space="0" w:color="000000"/>
            </w:tcBorders>
            <w:vAlign w:val="center"/>
          </w:tcPr>
          <w:p w14:paraId="25D71BD2" w14:textId="77777777" w:rsidR="00EB13D9" w:rsidRPr="00DD47DF" w:rsidRDefault="00CD39F7" w:rsidP="00D55F1B">
            <w:pPr>
              <w:pStyle w:val="Tabulka"/>
              <w:rPr>
                <w:rFonts w:cs="Calibri"/>
              </w:rPr>
            </w:pPr>
            <w:r>
              <w:rPr>
                <w:rFonts w:cs="Calibri"/>
              </w:rPr>
              <w:t>MPO</w:t>
            </w:r>
          </w:p>
        </w:tc>
        <w:tc>
          <w:tcPr>
            <w:tcW w:w="0" w:type="auto"/>
            <w:tcBorders>
              <w:top w:val="single" w:sz="4" w:space="0" w:color="000000"/>
              <w:left w:val="single" w:sz="4" w:space="0" w:color="000000"/>
              <w:bottom w:val="single" w:sz="4" w:space="0" w:color="000000"/>
              <w:right w:val="single" w:sz="4" w:space="0" w:color="000000"/>
            </w:tcBorders>
            <w:vAlign w:val="center"/>
          </w:tcPr>
          <w:p w14:paraId="48531D02" w14:textId="77777777" w:rsidR="00EB13D9" w:rsidRPr="00DD47DF" w:rsidRDefault="00AA6101" w:rsidP="00EB13D9">
            <w:pPr>
              <w:pStyle w:val="Tabulka"/>
              <w:rPr>
                <w:rFonts w:cs="Calibri"/>
              </w:rPr>
            </w:pPr>
            <w:r w:rsidRPr="00DD47DF">
              <w:rPr>
                <w:rFonts w:cs="Calibri"/>
              </w:rPr>
              <w:t>ročně</w:t>
            </w:r>
          </w:p>
        </w:tc>
      </w:tr>
    </w:tbl>
    <w:p w14:paraId="2A0D2CCD" w14:textId="77777777" w:rsidR="00955F90" w:rsidRPr="00DD47DF" w:rsidRDefault="001B2E5C" w:rsidP="00D927A2">
      <w:pPr>
        <w:pStyle w:val="kapitola2A0"/>
        <w:numPr>
          <w:ilvl w:val="2"/>
          <w:numId w:val="64"/>
        </w:numPr>
      </w:pPr>
      <w:bookmarkStart w:id="48" w:name="_Toc506884997"/>
      <w:r w:rsidRPr="00DD47DF">
        <w:t>Opatření, jež má být podpořeno v rámci investiční priority</w:t>
      </w:r>
      <w:bookmarkEnd w:id="48"/>
    </w:p>
    <w:p w14:paraId="567C6E17" w14:textId="77777777" w:rsidR="00955F90" w:rsidRPr="00DD47DF" w:rsidRDefault="00D479AF" w:rsidP="005F43DF">
      <w:pPr>
        <w:pStyle w:val="Nadpis5"/>
        <w:numPr>
          <w:ilvl w:val="4"/>
          <w:numId w:val="19"/>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7E985C57" w14:textId="77777777" w:rsidR="00955F90" w:rsidRPr="00DD47DF" w:rsidRDefault="000A2EB4" w:rsidP="00DF4F92">
      <w:pPr>
        <w:pStyle w:val="Standardntext"/>
        <w:rPr>
          <w:b/>
        </w:rPr>
      </w:pPr>
      <w:r w:rsidRPr="00DD47DF">
        <w:rPr>
          <w:b/>
        </w:rPr>
        <w:t>Aktivity pro tento specifický cíl:</w:t>
      </w:r>
    </w:p>
    <w:p w14:paraId="361B7CB4" w14:textId="77777777" w:rsidR="00955F90" w:rsidRPr="00DD47DF" w:rsidRDefault="004A326E" w:rsidP="00D927A2">
      <w:pPr>
        <w:pStyle w:val="Standardntext"/>
        <w:numPr>
          <w:ilvl w:val="0"/>
          <w:numId w:val="45"/>
        </w:numPr>
      </w:pPr>
      <w:r w:rsidRPr="00DD47DF">
        <w:t>Služby pro MSP zaměřené na mezinárodní konkurenceschopnost usnadňující vstup na zahraniční trhy (účast na zahraničních výstavách a veletrzích, včetně organizace seminářů/akcí se zaměřením na konkrétní problematiku týkající se mezinárodní konkurenceschopnosti, např. právní aspekty daného teritoria aj.)</w:t>
      </w:r>
      <w:r w:rsidR="00955F90" w:rsidRPr="00DD47DF">
        <w:t>,</w:t>
      </w:r>
    </w:p>
    <w:p w14:paraId="578BCC0C" w14:textId="77777777" w:rsidR="00955F90" w:rsidRPr="00DD47DF" w:rsidRDefault="00AF1B5E" w:rsidP="00D927A2">
      <w:pPr>
        <w:pStyle w:val="Standardntext"/>
        <w:numPr>
          <w:ilvl w:val="0"/>
          <w:numId w:val="45"/>
        </w:numPr>
      </w:pPr>
      <w:r w:rsidRPr="00DD47DF">
        <w:t xml:space="preserve">sofistikované </w:t>
      </w:r>
      <w:r w:rsidR="00FA534B" w:rsidRPr="00DD47DF">
        <w:t>p</w:t>
      </w:r>
      <w:r w:rsidR="004A326E" w:rsidRPr="00DD47DF">
        <w:t>oradenské služby expertů se znalostí mezinárodního prostředí (se specifickou teritoriální znalostí) a poradenské služby pro strategické řízení a management inovací (mentoring, koučin</w:t>
      </w:r>
      <w:r w:rsidR="001F0603" w:rsidRPr="00DD47DF">
        <w:t>g</w:t>
      </w:r>
      <w:r w:rsidR="004A326E" w:rsidRPr="00DD47DF">
        <w:t>, foresight ad.)</w:t>
      </w:r>
      <w:r w:rsidR="00955F90" w:rsidRPr="00DD47DF">
        <w:t xml:space="preserve">, </w:t>
      </w:r>
    </w:p>
    <w:p w14:paraId="291FCD37" w14:textId="77777777" w:rsidR="00955F90" w:rsidRPr="00DD47DF" w:rsidRDefault="00FA534B" w:rsidP="00D927A2">
      <w:pPr>
        <w:pStyle w:val="Standardntext"/>
        <w:numPr>
          <w:ilvl w:val="0"/>
          <w:numId w:val="45"/>
        </w:numPr>
      </w:pPr>
      <w:r w:rsidRPr="00DD47DF">
        <w:lastRenderedPageBreak/>
        <w:t>s</w:t>
      </w:r>
      <w:r w:rsidR="00666B70" w:rsidRPr="00DD47DF">
        <w:t xml:space="preserve">lužby </w:t>
      </w:r>
      <w:r w:rsidR="00D659E9" w:rsidRPr="00DD47DF">
        <w:t xml:space="preserve">zaměřené na podporu internacionalizace zapojováním MSP do </w:t>
      </w:r>
      <w:r w:rsidR="00E211BC" w:rsidRPr="00DD47DF">
        <w:t xml:space="preserve">mezinárodních programů, jako např. v oblasti </w:t>
      </w:r>
      <w:r w:rsidR="00D659E9" w:rsidRPr="00DD47DF">
        <w:t>výzkumné spolupráce</w:t>
      </w:r>
      <w:r w:rsidR="00666B70" w:rsidRPr="00DD47DF">
        <w:t xml:space="preserve"> (</w:t>
      </w:r>
      <w:r w:rsidR="0087102E" w:rsidRPr="00DD47DF">
        <w:t>Horizont 2020</w:t>
      </w:r>
      <w:r w:rsidR="005D4217" w:rsidRPr="00DD47DF">
        <w:t>, COSME</w:t>
      </w:r>
      <w:r w:rsidR="00666B70" w:rsidRPr="00DD47DF">
        <w:t>)</w:t>
      </w:r>
      <w:r w:rsidR="00D659E9" w:rsidRPr="00DD47DF">
        <w:t>.</w:t>
      </w:r>
    </w:p>
    <w:p w14:paraId="44107D30" w14:textId="77777777" w:rsidR="005368EE" w:rsidRPr="00DD47DF" w:rsidRDefault="005368EE" w:rsidP="0027274C">
      <w:pPr>
        <w:pStyle w:val="Standardntext"/>
      </w:pPr>
      <w:r w:rsidRPr="00DD47DF">
        <w:t xml:space="preserve">Aktivity SC 2.2 zaměřené na zvyšování mezinárodní konkurenceschopnosti MSP vycházejí ze zkušeností z realizovaných podpor v programech </w:t>
      </w:r>
      <w:r w:rsidR="00AB0F33" w:rsidRPr="00DD47DF">
        <w:t xml:space="preserve">podpory </w:t>
      </w:r>
      <w:r w:rsidRPr="00DD47DF">
        <w:t xml:space="preserve">OPPI </w:t>
      </w:r>
      <w:r w:rsidRPr="00DD47DF">
        <w:rPr>
          <w:i/>
        </w:rPr>
        <w:t>Poradenství</w:t>
      </w:r>
      <w:r w:rsidRPr="00DD47DF">
        <w:t xml:space="preserve"> a </w:t>
      </w:r>
      <w:r w:rsidRPr="00DD47DF">
        <w:rPr>
          <w:i/>
        </w:rPr>
        <w:t>Marketing</w:t>
      </w:r>
      <w:r w:rsidRPr="00DD47DF">
        <w:t xml:space="preserve"> a specializují se na podpory individuálních a společných účastí MSP na zahraničních výstavách a veletrzích, na poradenské služby se znalostí mezinárodního prostředí a služby na podporu internacionalizace MSP. Dosavadní poznatky z realizace těchto služeb pro MSP, z organizace a přínosů veletržních účastí, </w:t>
      </w:r>
      <w:r w:rsidR="00AB0F33" w:rsidRPr="00DD47DF">
        <w:t xml:space="preserve">interních </w:t>
      </w:r>
      <w:r w:rsidRPr="00DD47DF">
        <w:t xml:space="preserve">projektů </w:t>
      </w:r>
      <w:r w:rsidRPr="00DD47DF">
        <w:rPr>
          <w:i/>
        </w:rPr>
        <w:t>CzechAccelerator</w:t>
      </w:r>
      <w:r w:rsidRPr="00DD47DF">
        <w:t xml:space="preserve">, </w:t>
      </w:r>
      <w:r w:rsidRPr="00DD47DF">
        <w:rPr>
          <w:i/>
        </w:rPr>
        <w:t>CzechEkoSystem</w:t>
      </w:r>
      <w:r w:rsidRPr="00DD47DF">
        <w:t xml:space="preserve">, </w:t>
      </w:r>
      <w:r w:rsidRPr="00DD47DF">
        <w:rPr>
          <w:i/>
        </w:rPr>
        <w:t>Design</w:t>
      </w:r>
      <w:r w:rsidR="00AF1B5E" w:rsidRPr="00DD47DF">
        <w:rPr>
          <w:i/>
        </w:rPr>
        <w:t xml:space="preserve"> pro konkurenceschopnost 2013-2014</w:t>
      </w:r>
      <w:r w:rsidRPr="00DD47DF">
        <w:t xml:space="preserve"> a </w:t>
      </w:r>
      <w:r w:rsidR="00AF1B5E" w:rsidRPr="00DD47DF">
        <w:rPr>
          <w:i/>
        </w:rPr>
        <w:t>Posílení mezinárodní konkurenceschopnosti českých podniků v oblasti kosmických technologií</w:t>
      </w:r>
      <w:r w:rsidR="009D1769" w:rsidRPr="00DD47DF">
        <w:t xml:space="preserve"> jsou využívány v přípravě systému podpory v navržených oblastech SC 2.2 v programovacím období 2014 – 2020. </w:t>
      </w:r>
      <w:r w:rsidR="00023054" w:rsidRPr="00DD47DF">
        <w:t xml:space="preserve">Zohledňovány budou zejména </w:t>
      </w:r>
      <w:r w:rsidR="009D1769" w:rsidRPr="00DD47DF">
        <w:t xml:space="preserve">zkušenosti </w:t>
      </w:r>
      <w:r w:rsidR="00023054" w:rsidRPr="00DD47DF">
        <w:t>a reakce</w:t>
      </w:r>
      <w:r w:rsidR="009D1769" w:rsidRPr="00DD47DF">
        <w:t xml:space="preserve"> MSP na poskytované služby a výši podpory, zkušenosti s výběrem dodavatelů, nastavením výběrových kritérií, hodnocením projektů externími hodnotiteli a také s administrací projektů. </w:t>
      </w:r>
      <w:r w:rsidRPr="00DD47DF">
        <w:t xml:space="preserve">Poznatky z pilotního ověření realizace </w:t>
      </w:r>
      <w:r w:rsidR="00F229AC" w:rsidRPr="00DD47DF">
        <w:t xml:space="preserve">takovýchto </w:t>
      </w:r>
      <w:r w:rsidRPr="00DD47DF">
        <w:t>projektů poskytujících služby MSP j</w:t>
      </w:r>
      <w:r w:rsidR="009D1769" w:rsidRPr="00DD47DF">
        <w:t>sou</w:t>
      </w:r>
      <w:r w:rsidRPr="00DD47DF">
        <w:t xml:space="preserve"> dalším potenciálem využitelným v přípravě programů a projektů z této oblasti pro období 2014 – 2020.</w:t>
      </w:r>
    </w:p>
    <w:p w14:paraId="479F7BD8" w14:textId="77777777" w:rsidR="009D1769" w:rsidRPr="00DD47DF" w:rsidRDefault="0027274C" w:rsidP="009D1769">
      <w:pPr>
        <w:pStyle w:val="Standardntext"/>
      </w:pPr>
      <w:r w:rsidRPr="00DD47DF">
        <w:t>Typový projekt v o</w:t>
      </w:r>
      <w:r w:rsidR="00840AC4" w:rsidRPr="00DD47DF">
        <w:t xml:space="preserve">blasti služeb pro MSP </w:t>
      </w:r>
      <w:r w:rsidR="00AF1B5E" w:rsidRPr="00DD47DF">
        <w:t>na</w:t>
      </w:r>
      <w:r w:rsidR="00AB7642" w:rsidRPr="00DD47DF">
        <w:t xml:space="preserve"> podporu</w:t>
      </w:r>
      <w:r w:rsidRPr="00DD47DF">
        <w:t xml:space="preserve"> mezinárodní konkurenceschopnost</w:t>
      </w:r>
      <w:r w:rsidR="00AB7642" w:rsidRPr="00DD47DF">
        <w:t>i</w:t>
      </w:r>
      <w:r w:rsidRPr="00DD47DF">
        <w:t xml:space="preserve"> usnadňující vstup na zahraniční trhy</w:t>
      </w:r>
      <w:r w:rsidR="00840AC4" w:rsidRPr="00DD47DF">
        <w:t xml:space="preserve"> bude podporovat</w:t>
      </w:r>
      <w:r w:rsidR="00AB7642" w:rsidRPr="00DD47DF">
        <w:t xml:space="preserve"> specializované asistenční služby, rozvíjející internacionalizační know-how podpořených MSP, např. služby zaměřené na tvorbu nových exportních strategií MSP, jako jsou služby související se vzděláváním exportujících MSP (teritoriální semináře), </w:t>
      </w:r>
      <w:r w:rsidR="00781B41" w:rsidRPr="00DD47DF">
        <w:t xml:space="preserve">tvorba a úprava podnikatelských plánů pro zahraniční trh, </w:t>
      </w:r>
      <w:r w:rsidR="00AB7642" w:rsidRPr="00DD47DF">
        <w:t>analýzy k plánování a designu nových produktů včetně posouzení jejich tržního potenciálu, vyhledávání cílových skupin v daném teritoriu, asistenční služby spojené s legislativními požadavky vstupu na konkrétní zahraniční trh (např. technické normy a certifikáty) nebo pobyt MSP v zahraničních výzkumných inkubátorech ve vybraných destinacích s možností networkingu</w:t>
      </w:r>
      <w:r w:rsidR="00781B41" w:rsidRPr="00DD47DF">
        <w:t xml:space="preserve"> (s potenciálními obchodními partnery, investory atd.), čerpání poradenských služeb, mentoringu, couchingu usnadňují vstup na zahraniční trh (viz. výše). Podpora účasti MSP na prezentacích před investory (business angels, Venture capital), účasti v akceleračních programech a účasti na významných mezinárodních start</w:t>
      </w:r>
      <w:r w:rsidR="00634DCF" w:rsidRPr="00DD47DF">
        <w:t>-</w:t>
      </w:r>
      <w:r w:rsidR="00781B41" w:rsidRPr="00DD47DF">
        <w:t xml:space="preserve">upových akcích (festivalech, konferencích atd.). Tyto služby přispějí rovněž k vytváření ucelených marketingových a obchodních strategií u konkrétních MSP, které jim umožní vstoupit na jiné trhy. Tvorba obchodní strategie v sobě zahrnuje vedle identifikace obchodních příležitostí i koncepci komunikace s cílovými skupinami. </w:t>
      </w:r>
      <w:r w:rsidR="00AB7642" w:rsidRPr="00DD47DF">
        <w:t>Dále bude podpořena účast MSP na zahraničních veletrzích, zahrnující</w:t>
      </w:r>
      <w:r w:rsidRPr="00DD47DF">
        <w:t xml:space="preserve"> pronájem výstavních ploch, technické </w:t>
      </w:r>
      <w:r w:rsidR="00781B41" w:rsidRPr="00DD47DF">
        <w:t xml:space="preserve">a architektonické </w:t>
      </w:r>
      <w:r w:rsidRPr="00DD47DF">
        <w:t>návrhy, pronájem a montáž výstavní expozice včetně nezbytného zařízení</w:t>
      </w:r>
      <w:r w:rsidR="00AB0F33" w:rsidRPr="00DD47DF">
        <w:t xml:space="preserve">, </w:t>
      </w:r>
      <w:r w:rsidRPr="00DD47DF">
        <w:t>základní služby související s provozem výstavní expozice</w:t>
      </w:r>
      <w:r w:rsidR="00AB0F33" w:rsidRPr="00DD47DF">
        <w:t xml:space="preserve">, </w:t>
      </w:r>
      <w:r w:rsidRPr="00DD47DF">
        <w:t>propagaci</w:t>
      </w:r>
      <w:r w:rsidR="00781B41" w:rsidRPr="00DD47DF">
        <w:t>, doprovodný program</w:t>
      </w:r>
      <w:r w:rsidRPr="00DD47DF">
        <w:t xml:space="preserve"> a dopravu.</w:t>
      </w:r>
      <w:r w:rsidR="005A40EE" w:rsidRPr="00DD47DF">
        <w:t xml:space="preserve"> </w:t>
      </w:r>
      <w:r w:rsidR="00803C8E" w:rsidRPr="00DD47DF">
        <w:t xml:space="preserve">Na rozdíl od SC 2.1 se </w:t>
      </w:r>
      <w:r w:rsidR="00320279" w:rsidRPr="00DD47DF">
        <w:t xml:space="preserve">v SC 2.2 </w:t>
      </w:r>
      <w:r w:rsidR="00803C8E" w:rsidRPr="00DD47DF">
        <w:t>bude jednat o sofistikované poradenské služby z oblasti mezinárodního prostředí a strategického řízení a managementu inovací</w:t>
      </w:r>
      <w:r w:rsidR="00004CEF" w:rsidRPr="00DD47DF">
        <w:t xml:space="preserve"> (mentoring, koučin</w:t>
      </w:r>
      <w:r w:rsidR="001F0603" w:rsidRPr="00DD47DF">
        <w:t>g</w:t>
      </w:r>
      <w:r w:rsidR="00004CEF" w:rsidRPr="00DD47DF">
        <w:t>, foresight ad.)</w:t>
      </w:r>
      <w:r w:rsidR="00803C8E" w:rsidRPr="00DD47DF">
        <w:t xml:space="preserve">. </w:t>
      </w:r>
      <w:r w:rsidR="005A40EE" w:rsidRPr="00DD47DF">
        <w:t>Výs</w:t>
      </w:r>
      <w:r w:rsidR="00231B6C" w:rsidRPr="00DD47DF">
        <w:t>tupem těchto aktivit budou realizované podnikatelské záměry v oblasti služeb</w:t>
      </w:r>
      <w:r w:rsidR="005A40EE" w:rsidRPr="00DD47DF">
        <w:t xml:space="preserve">, jejichž výsledky se promítnou ve střednědobém horizontu </w:t>
      </w:r>
      <w:r w:rsidR="009D1769" w:rsidRPr="00DD47DF">
        <w:t>do vyššího podílu exportu na celkových výkonech podniku</w:t>
      </w:r>
      <w:r w:rsidR="00F34564" w:rsidRPr="00DD47DF">
        <w:t xml:space="preserve"> v sektoru MSP</w:t>
      </w:r>
      <w:r w:rsidR="009D1769" w:rsidRPr="00DD47DF">
        <w:t>.</w:t>
      </w:r>
    </w:p>
    <w:p w14:paraId="4C5EEC67" w14:textId="77777777" w:rsidR="005B495A" w:rsidRPr="00DD47DF" w:rsidRDefault="00F01494" w:rsidP="005B495A">
      <w:pPr>
        <w:pStyle w:val="Standardntext"/>
      </w:pPr>
      <w:r w:rsidRPr="00DD47DF">
        <w:t xml:space="preserve">Aktivity SC 2.2 </w:t>
      </w:r>
      <w:r w:rsidR="006E14F6" w:rsidRPr="00DD47DF">
        <w:t xml:space="preserve">vychází z potřeb zohledněných v Národní RIS3 strategii a </w:t>
      </w:r>
      <w:r w:rsidRPr="00DD47DF">
        <w:t xml:space="preserve">mají přímou vazbu na tyto strategické cíle Národní </w:t>
      </w:r>
      <w:r w:rsidR="002B0AB0" w:rsidRPr="00DD47DF">
        <w:t>RI</w:t>
      </w:r>
      <w:r w:rsidRPr="00DD47DF">
        <w:t>S3 strategie: „</w:t>
      </w:r>
      <w:r w:rsidR="00D6559B" w:rsidRPr="00DD47DF">
        <w:t>Zvýšit inovační poptávku ve firmách (i ve veřejném sektoru)</w:t>
      </w:r>
      <w:r w:rsidRPr="00DD47DF">
        <w:t>“ a „Zvýšit internacionalizaci MSP“.</w:t>
      </w:r>
      <w:r w:rsidR="005B495A" w:rsidRPr="00DD47DF">
        <w:t xml:space="preserve"> Jde především o vzájemnou provázanost s typovými aktivitami/projekty/operacemi specifických cílů A1.2 „Zlepšit strategické řízení v MSP“, A3.1 „Zvýšení dostupnosti strategických informací o cílových trzích místních MSP“ a A3.3 „Snížení nákladů a rizik MSP spojených se vstupem na zahraniční trhy“ Národní </w:t>
      </w:r>
      <w:r w:rsidR="002B0AB0" w:rsidRPr="00DD47DF">
        <w:t>RI</w:t>
      </w:r>
      <w:r w:rsidR="005B495A" w:rsidRPr="00DD47DF">
        <w:t>S3 strategie.</w:t>
      </w:r>
    </w:p>
    <w:p w14:paraId="70A00A93" w14:textId="77777777" w:rsidR="00955F90" w:rsidRPr="00DD47DF" w:rsidRDefault="00955F90" w:rsidP="00757916">
      <w:pPr>
        <w:pStyle w:val="Standardntext"/>
      </w:pPr>
      <w:r w:rsidRPr="00DD47DF">
        <w:rPr>
          <w:b/>
        </w:rPr>
        <w:lastRenderedPageBreak/>
        <w:t xml:space="preserve">Hlavní cílová skupina: </w:t>
      </w:r>
      <w:r w:rsidRPr="00DD47DF">
        <w:t>Podnikatelské subjekty (malé a střední podniky).</w:t>
      </w:r>
    </w:p>
    <w:p w14:paraId="46C29D77" w14:textId="77777777" w:rsidR="00955F90" w:rsidRPr="00DD47DF" w:rsidRDefault="00955F90" w:rsidP="00757916">
      <w:pPr>
        <w:pStyle w:val="Standardntext"/>
      </w:pPr>
      <w:r w:rsidRPr="00DD47DF">
        <w:rPr>
          <w:b/>
        </w:rPr>
        <w:t xml:space="preserve">Cílové území: </w:t>
      </w:r>
      <w:r w:rsidRPr="00DD47DF">
        <w:t>Území České repu</w:t>
      </w:r>
      <w:r w:rsidR="002B15A3" w:rsidRPr="00DD47DF">
        <w:t>bliky, mimo území hl. m. Prah</w:t>
      </w:r>
      <w:r w:rsidR="00835369" w:rsidRPr="00DD47DF">
        <w:t>y.</w:t>
      </w:r>
      <w:r w:rsidR="00A46CD6" w:rsidRPr="00DD47DF">
        <w:t xml:space="preserve"> Předpokládá se plošné směrování intervencí bez vymezení územní dimenze</w:t>
      </w:r>
      <w:r w:rsidR="00015039" w:rsidRPr="00DD47DF">
        <w:t>.</w:t>
      </w:r>
    </w:p>
    <w:p w14:paraId="331FC602" w14:textId="779276E0" w:rsidR="00955F90" w:rsidRPr="00DD47DF" w:rsidRDefault="00955F90" w:rsidP="00757916">
      <w:pPr>
        <w:pStyle w:val="Standardntext"/>
      </w:pPr>
      <w:r w:rsidRPr="00DD47DF">
        <w:rPr>
          <w:b/>
        </w:rPr>
        <w:t xml:space="preserve">Typy příjemců: </w:t>
      </w:r>
      <w:r w:rsidRPr="00DD47DF">
        <w:t xml:space="preserve">Podnikatelské subjekty (malé a střední podniky), </w:t>
      </w:r>
      <w:r w:rsidR="00101D0A">
        <w:t>Agentura pro podporu podnikání a investic CzechInvest</w:t>
      </w:r>
      <w:r w:rsidR="00F229AC" w:rsidRPr="00DD47DF">
        <w:t xml:space="preserve">, </w:t>
      </w:r>
      <w:r w:rsidR="00271197" w:rsidRPr="00DD47DF">
        <w:t xml:space="preserve">Česká agentura na podporu </w:t>
      </w:r>
      <w:r w:rsidR="00816871" w:rsidRPr="00DD47DF">
        <w:t xml:space="preserve">exportu </w:t>
      </w:r>
      <w:r w:rsidR="00271197" w:rsidRPr="00DD47DF">
        <w:t>CzechTrade</w:t>
      </w:r>
      <w:r w:rsidRPr="00DD47DF">
        <w:t>.</w:t>
      </w:r>
      <w:r w:rsidR="00112C3A" w:rsidRPr="00DD47DF">
        <w:t xml:space="preserve"> V rámci tohoto specifického cíle budou podporováni nezemědělští podnikatelé s výstupem projektu mimo položky</w:t>
      </w:r>
      <w:r w:rsidR="004038F0" w:rsidRPr="00DD47DF">
        <w:t xml:space="preserve"> obsažené v dodatku Smlouvy (o EU)</w:t>
      </w:r>
      <w:r w:rsidR="00112C3A" w:rsidRPr="00DD47DF">
        <w:t>, v případě zemědělských podnikatelů budou podporovány projekty zaměřené na podnikatelské poradenství (nikoliv poradenství do zemědělské činnosti) související s internacionalizací těchto podniků.</w:t>
      </w:r>
    </w:p>
    <w:p w14:paraId="64FC0428" w14:textId="77777777" w:rsidR="00DE124D" w:rsidRPr="00DD47DF" w:rsidRDefault="00BA6461" w:rsidP="005F43DF">
      <w:pPr>
        <w:pStyle w:val="Nadpis5"/>
        <w:numPr>
          <w:ilvl w:val="4"/>
          <w:numId w:val="19"/>
        </w:numPr>
      </w:pPr>
      <w:r w:rsidRPr="00DD47DF">
        <w:t>Hlavní zásady pro výběr operací</w:t>
      </w:r>
    </w:p>
    <w:p w14:paraId="33384CAC" w14:textId="77777777" w:rsidR="00FE3385" w:rsidRPr="00DD47DF" w:rsidRDefault="00FE3385" w:rsidP="005E45B6">
      <w:pPr>
        <w:pStyle w:val="Standardntext"/>
      </w:pPr>
      <w:r w:rsidRPr="00DD47DF">
        <w:t>Společné obecné zásady pro výběr operací pro všechny investiční priority celého OP PIK jsou uvedeny v prioritní ose 1 v oddíle 2.A.6.2.</w:t>
      </w:r>
    </w:p>
    <w:p w14:paraId="11E229AB" w14:textId="77777777" w:rsidR="00A438A6" w:rsidRPr="00DD47DF" w:rsidRDefault="00EB56AF" w:rsidP="00A438A6">
      <w:pPr>
        <w:pStyle w:val="Standardntext"/>
      </w:pPr>
      <w:r w:rsidRPr="00DD47DF">
        <w:t xml:space="preserve"> </w:t>
      </w:r>
      <w:r w:rsidR="00A438A6" w:rsidRPr="00DD47DF">
        <w:t>V rámci výběru a hodnocení projektů budou posuzována především následující kritéria:</w:t>
      </w:r>
    </w:p>
    <w:p w14:paraId="2C654E07" w14:textId="77777777" w:rsidR="00A438A6" w:rsidRPr="00DD47DF" w:rsidRDefault="00A438A6" w:rsidP="00D927A2">
      <w:pPr>
        <w:pStyle w:val="Standardntext"/>
        <w:numPr>
          <w:ilvl w:val="0"/>
          <w:numId w:val="43"/>
        </w:numPr>
      </w:pPr>
      <w:r w:rsidRPr="00DD47DF">
        <w:t xml:space="preserve">Kvalita a potřebnost projektu s ohledem na zpracovanou obchodní strategii. </w:t>
      </w:r>
      <w:r w:rsidR="009D1769" w:rsidRPr="00DD47DF">
        <w:t>U tzv. interních projektů se</w:t>
      </w:r>
      <w:r w:rsidRPr="00DD47DF">
        <w:t xml:space="preserve"> bude přihlížet zejména na jejich úspěšnou realizaci v oblastech specializovaných poradenských služeb a internacionalizace.</w:t>
      </w:r>
    </w:p>
    <w:p w14:paraId="456F3244" w14:textId="77777777" w:rsidR="00A438A6" w:rsidRPr="00DD47DF" w:rsidRDefault="009D1769" w:rsidP="00D927A2">
      <w:pPr>
        <w:pStyle w:val="Standardntext"/>
        <w:numPr>
          <w:ilvl w:val="0"/>
          <w:numId w:val="43"/>
        </w:numPr>
      </w:pPr>
      <w:r w:rsidRPr="00DD47DF">
        <w:t>Interní projekty nabízející</w:t>
      </w:r>
      <w:r w:rsidR="00A438A6" w:rsidRPr="00DD47DF">
        <w:t xml:space="preserve"> MSP specializované poradenské služby a služby v oblasti internacionalizace budou posuzovány a hodnoceny v rámci specifického režimu hodnocení schváleného monitorovacím výborem, včetně výběrových kritérií. Transparentnost tohoto režimu bude zajištěna a o realizaci takovýchto projektů bude referováno ve Výročních zprávách OP PIK.</w:t>
      </w:r>
    </w:p>
    <w:p w14:paraId="55E83EBB" w14:textId="77777777" w:rsidR="00FE3385" w:rsidRPr="00DD47DF" w:rsidRDefault="00FE3385" w:rsidP="00D927A2">
      <w:pPr>
        <w:pStyle w:val="Standardntext"/>
        <w:numPr>
          <w:ilvl w:val="0"/>
          <w:numId w:val="43"/>
        </w:numPr>
      </w:pPr>
      <w:r w:rsidRPr="00DD47DF">
        <w:t>Shoda relevantních projektů s Národní RIS3 strategií bude ověřena v rámci hodnocení projektu, a to z hlediska naplňování výběrových kritérií definovaných v příslušných výzvách.</w:t>
      </w:r>
    </w:p>
    <w:p w14:paraId="49BB7894" w14:textId="77777777" w:rsidR="00A438A6" w:rsidRPr="00DD47DF" w:rsidRDefault="00A438A6"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380DAE24" w14:textId="77777777" w:rsidR="00A438A6" w:rsidRPr="00DD47DF" w:rsidRDefault="00637CF8"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7FDE75E3" w14:textId="77777777" w:rsidR="00955F90" w:rsidRPr="00DD47DF" w:rsidRDefault="00BA6461" w:rsidP="005F43DF">
      <w:pPr>
        <w:pStyle w:val="Nadpis5"/>
        <w:numPr>
          <w:ilvl w:val="4"/>
          <w:numId w:val="19"/>
        </w:numPr>
        <w:rPr>
          <w:rFonts w:cs="Calibri"/>
        </w:rPr>
      </w:pPr>
      <w:r w:rsidRPr="00DD47DF">
        <w:t>Plánované využití finančních nástrojů (použije-li se)</w:t>
      </w:r>
    </w:p>
    <w:p w14:paraId="145D8B5D" w14:textId="77777777" w:rsidR="00955F90" w:rsidRPr="00DD47DF" w:rsidRDefault="00CB19AE" w:rsidP="002A4D1D">
      <w:pPr>
        <w:pStyle w:val="Standardntext"/>
      </w:pPr>
      <w:r w:rsidRPr="00DD47DF">
        <w:t xml:space="preserve">Řídící orgán nepředpokládá využití finančních nástrojů v této investiční prioritě. </w:t>
      </w:r>
      <w:r w:rsidR="006F58B4" w:rsidRPr="00DD47DF">
        <w:t>Detaily</w:t>
      </w:r>
      <w:r w:rsidRPr="00DD47DF">
        <w:t xml:space="preserve"> stanoví konečná verze předběžného posouzení finančních nástrojů OP PIK dle čl. 37 odst. 2 obecného nařízení, které provede ŘO OP PIK, případně jeho revize podle čl. 37 odst. 2 písm. g) obecného nařízení.</w:t>
      </w:r>
    </w:p>
    <w:p w14:paraId="63B8390A" w14:textId="77777777" w:rsidR="00DE124D" w:rsidRPr="00DD47DF" w:rsidRDefault="00BA6461" w:rsidP="005F43DF">
      <w:pPr>
        <w:pStyle w:val="Nadpis5"/>
        <w:numPr>
          <w:ilvl w:val="4"/>
          <w:numId w:val="19"/>
        </w:numPr>
      </w:pPr>
      <w:r w:rsidRPr="00DD47DF">
        <w:t>Plánované využití velkých projektů (použije-li se)</w:t>
      </w:r>
    </w:p>
    <w:p w14:paraId="2D710EB3" w14:textId="77777777" w:rsidR="002A4D1D" w:rsidRPr="00DD47DF" w:rsidRDefault="002A4D1D" w:rsidP="002A4D1D">
      <w:pPr>
        <w:pStyle w:val="Standardntext"/>
      </w:pPr>
      <w:r w:rsidRPr="00DD47DF">
        <w:t xml:space="preserve">Velké projekty ve smyslu čl. </w:t>
      </w:r>
      <w:r w:rsidR="00C17C7C" w:rsidRPr="00DD47DF">
        <w:t>10</w:t>
      </w:r>
      <w:r w:rsidRPr="00DD47DF">
        <w:t>0 obecného nařízení nejsou plánovány.</w:t>
      </w:r>
    </w:p>
    <w:p w14:paraId="654DA93D" w14:textId="77777777" w:rsidR="00DE124D" w:rsidRPr="00DD47DF" w:rsidRDefault="00BA6461" w:rsidP="005F43DF">
      <w:pPr>
        <w:pStyle w:val="Nadpis5"/>
        <w:numPr>
          <w:ilvl w:val="4"/>
          <w:numId w:val="19"/>
        </w:numPr>
      </w:pPr>
      <w:r w:rsidRPr="00DD47DF">
        <w:lastRenderedPageBreak/>
        <w:t>Ukazatele výstupů podle investiční priority a případně podle kategorie regionů</w:t>
      </w:r>
    </w:p>
    <w:p w14:paraId="6F627C8C" w14:textId="77777777" w:rsidR="00DE124D" w:rsidRPr="00DD47DF" w:rsidRDefault="00DE124D" w:rsidP="00DE124D">
      <w:pPr>
        <w:pStyle w:val="Titulek"/>
        <w:keepNext/>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81"/>
        <w:gridCol w:w="2276"/>
        <w:gridCol w:w="1098"/>
        <w:gridCol w:w="665"/>
        <w:gridCol w:w="1227"/>
        <w:gridCol w:w="1237"/>
        <w:gridCol w:w="1057"/>
        <w:gridCol w:w="1285"/>
      </w:tblGrid>
      <w:tr w:rsidR="001B2E5C" w:rsidRPr="00DD47DF" w14:paraId="7A0E209A" w14:textId="77777777">
        <w:trPr>
          <w:trHeight w:hRule="exact" w:val="107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050FC93" w14:textId="77777777" w:rsidR="001B2E5C" w:rsidRPr="00DD47DF" w:rsidRDefault="001B2E5C" w:rsidP="001B2E5C">
            <w:pPr>
              <w:pStyle w:val="Tabulka"/>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DF654AB" w14:textId="77777777" w:rsidR="001B2E5C" w:rsidRPr="00DD47DF" w:rsidRDefault="001B2E5C" w:rsidP="001B2E5C">
            <w:pPr>
              <w:pStyle w:val="Tabulka"/>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E1ADF9D" w14:textId="77777777" w:rsidR="001B2E5C" w:rsidRPr="00DD47DF" w:rsidRDefault="001B2E5C" w:rsidP="001B2E5C">
            <w:pPr>
              <w:pStyle w:val="Tabulka"/>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8016C6A" w14:textId="77777777" w:rsidR="001B2E5C" w:rsidRPr="00DD47DF" w:rsidRDefault="001B2E5C" w:rsidP="001B2E5C">
            <w:pPr>
              <w:pStyle w:val="Tabulka"/>
              <w:rPr>
                <w:rFonts w:cs="Calibri"/>
                <w:b/>
              </w:rPr>
            </w:pPr>
            <w:r w:rsidRPr="00DD47DF">
              <w:rPr>
                <w:rFonts w:cs="Calibri"/>
                <w:b/>
              </w:rPr>
              <w:t>Fond</w:t>
            </w:r>
          </w:p>
        </w:tc>
        <w:tc>
          <w:tcPr>
            <w:tcW w:w="122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9A90B4D" w14:textId="77777777" w:rsidR="001B2E5C" w:rsidRPr="00DD47DF" w:rsidRDefault="001B2E5C" w:rsidP="001B2E5C">
            <w:pPr>
              <w:pStyle w:val="Tabulka"/>
              <w:rPr>
                <w:rFonts w:cs="Calibri"/>
                <w:b/>
              </w:rPr>
            </w:pPr>
            <w:r w:rsidRPr="00DD47DF">
              <w:rPr>
                <w:rFonts w:cs="Calibri"/>
                <w:b/>
              </w:rPr>
              <w:t>Kategorie regionu</w:t>
            </w:r>
          </w:p>
        </w:tc>
        <w:tc>
          <w:tcPr>
            <w:tcW w:w="123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5237F48" w14:textId="77777777" w:rsidR="001B2E5C" w:rsidRPr="00DD47DF" w:rsidRDefault="001B2E5C" w:rsidP="002153F2">
            <w:pPr>
              <w:pStyle w:val="Tabulka"/>
              <w:rPr>
                <w:rFonts w:cs="Calibri"/>
                <w:b/>
              </w:rPr>
            </w:pPr>
            <w:r w:rsidRPr="00DD47DF">
              <w:rPr>
                <w:rFonts w:cs="Calibri"/>
                <w:b/>
              </w:rPr>
              <w:t>Cílová hodnota</w:t>
            </w:r>
            <w:r w:rsidR="002153F2" w:rsidRPr="00DD47DF">
              <w:rPr>
                <w:rFonts w:cs="Calibri"/>
                <w:b/>
              </w:rPr>
              <w:t xml:space="preserve"> </w:t>
            </w: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DD6E62B" w14:textId="77777777" w:rsidR="001B2E5C" w:rsidRPr="00DD47DF" w:rsidRDefault="001B2E5C" w:rsidP="001B2E5C">
            <w:pPr>
              <w:pStyle w:val="Tabulka"/>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848C082" w14:textId="77777777" w:rsidR="001B2E5C" w:rsidRPr="00DD47DF" w:rsidRDefault="001B2E5C" w:rsidP="001B2E5C">
            <w:pPr>
              <w:pStyle w:val="Tabulka"/>
              <w:rPr>
                <w:rFonts w:cs="Calibri"/>
                <w:b/>
              </w:rPr>
            </w:pPr>
            <w:r w:rsidRPr="00DD47DF">
              <w:rPr>
                <w:rFonts w:cs="Calibri"/>
                <w:b/>
              </w:rPr>
              <w:t>Četnost podávání zpráv</w:t>
            </w:r>
          </w:p>
        </w:tc>
      </w:tr>
      <w:tr w:rsidR="009974DF" w:rsidRPr="00DD47DF" w14:paraId="44013D01"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0B05AAEF" w14:textId="2CC440AC" w:rsidR="009974DF" w:rsidRPr="00DD47DF" w:rsidRDefault="00C75691" w:rsidP="005A765B">
            <w:pPr>
              <w:pStyle w:val="Tabulka"/>
              <w:rPr>
                <w:rFonts w:cs="Calibri"/>
              </w:rPr>
            </w:pPr>
            <w:r w:rsidRPr="00DD47DF">
              <w:rPr>
                <w:rFonts w:cs="Calibri"/>
              </w:rPr>
              <w:t xml:space="preserve">CO </w:t>
            </w:r>
            <w:r w:rsidR="00927ADD" w:rsidRPr="00DD47DF">
              <w:rPr>
                <w:rFonts w:cs="Calibri"/>
              </w:rPr>
              <w:t>0</w:t>
            </w:r>
            <w:r w:rsidR="009974DF"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737B5761" w14:textId="77777777" w:rsidR="009974DF" w:rsidRPr="00DD47DF" w:rsidRDefault="007D6298" w:rsidP="00DE124D">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5DD42C28" w14:textId="77777777" w:rsidR="009974DF" w:rsidRPr="00DD47DF" w:rsidRDefault="009974DF" w:rsidP="00DE124D">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FAEE78E" w14:textId="77777777" w:rsidR="009974DF" w:rsidRPr="00DD47DF" w:rsidRDefault="002B3F69" w:rsidP="00DE124D">
            <w:pPr>
              <w:pStyle w:val="Tabulka"/>
              <w:rPr>
                <w:rFonts w:cs="Calibri"/>
              </w:rPr>
            </w:pPr>
            <w:r w:rsidRPr="00DD47DF">
              <w:rPr>
                <w:rFonts w:cs="Calibri"/>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14:paraId="63F5F113" w14:textId="77777777" w:rsidR="009974DF" w:rsidRPr="00DD47DF" w:rsidRDefault="009974DF" w:rsidP="00DE124D">
            <w:pPr>
              <w:pStyle w:val="Tabulka"/>
              <w:rPr>
                <w:rFonts w:cs="Calibri"/>
              </w:rPr>
            </w:pPr>
            <w:r w:rsidRPr="00DD47DF">
              <w:rPr>
                <w:rFonts w:cs="Calibri"/>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14:paraId="6D2E5279" w14:textId="77777777" w:rsidR="009974DF" w:rsidRPr="00DD47DF" w:rsidRDefault="00457AB8" w:rsidP="00DE124D">
            <w:pPr>
              <w:pStyle w:val="Tabulka"/>
              <w:rPr>
                <w:rFonts w:cs="Calibri"/>
              </w:rPr>
            </w:pPr>
            <w:r w:rsidRPr="00DD47DF">
              <w:rPr>
                <w:rFonts w:cs="Calibri"/>
              </w:rPr>
              <w:t>4 6</w:t>
            </w:r>
            <w:r w:rsidR="00A82244" w:rsidRPr="00DD47DF">
              <w:rPr>
                <w:rFonts w:cs="Calibri"/>
              </w:rPr>
              <w:t>00</w:t>
            </w:r>
          </w:p>
        </w:tc>
        <w:tc>
          <w:tcPr>
            <w:tcW w:w="0" w:type="auto"/>
            <w:tcBorders>
              <w:top w:val="single" w:sz="4" w:space="0" w:color="000000"/>
              <w:left w:val="single" w:sz="4" w:space="0" w:color="000000"/>
              <w:bottom w:val="single" w:sz="4" w:space="0" w:color="000000"/>
              <w:right w:val="single" w:sz="4" w:space="0" w:color="000000"/>
            </w:tcBorders>
            <w:vAlign w:val="center"/>
          </w:tcPr>
          <w:p w14:paraId="251ECD5E" w14:textId="77777777" w:rsidR="009974DF" w:rsidRPr="00DD47DF" w:rsidRDefault="00FC7054" w:rsidP="00DE124D">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29B947B9" w14:textId="77777777" w:rsidR="009974DF" w:rsidRPr="00DD47DF" w:rsidRDefault="00FC7054" w:rsidP="009974DF">
            <w:pPr>
              <w:pStyle w:val="Tabulka"/>
              <w:rPr>
                <w:rFonts w:cs="Calibri"/>
              </w:rPr>
            </w:pPr>
            <w:r>
              <w:rPr>
                <w:rFonts w:cs="Calibri"/>
              </w:rPr>
              <w:t>průběžně</w:t>
            </w:r>
          </w:p>
        </w:tc>
      </w:tr>
      <w:tr w:rsidR="006D1774" w:rsidRPr="00DD47DF" w14:paraId="2C812308"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E8E1D0F" w14:textId="7FF1C4BF" w:rsidR="006D1774" w:rsidRPr="00DD47DF" w:rsidRDefault="00C75691" w:rsidP="005A765B">
            <w:pPr>
              <w:pStyle w:val="Tabulka"/>
              <w:rPr>
                <w:rFonts w:cs="Calibri"/>
              </w:rPr>
            </w:pPr>
            <w:r w:rsidRPr="00DD47DF">
              <w:rPr>
                <w:rFonts w:cs="Calibri"/>
              </w:rPr>
              <w:t xml:space="preserve">CO </w:t>
            </w:r>
            <w:r w:rsidR="00927ADD" w:rsidRPr="00DD47DF">
              <w:rPr>
                <w:rFonts w:cs="Calibri"/>
              </w:rPr>
              <w:t>0</w:t>
            </w:r>
            <w:r w:rsidR="006D1774"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2CFDD684" w14:textId="77777777" w:rsidR="006D1774" w:rsidRPr="00DD47DF" w:rsidRDefault="006D1774" w:rsidP="00DE124D">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211B486B" w14:textId="77777777" w:rsidR="006D1774" w:rsidRPr="00DD47DF" w:rsidRDefault="006D1774" w:rsidP="00DE124D">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EB5E8C5" w14:textId="77777777" w:rsidR="006D1774" w:rsidRPr="00DD47DF" w:rsidRDefault="002B3F69" w:rsidP="002A46AD">
            <w:pPr>
              <w:pStyle w:val="Tabulka"/>
              <w:rPr>
                <w:rFonts w:cs="Calibri"/>
              </w:rPr>
            </w:pPr>
            <w:r w:rsidRPr="00DD47DF">
              <w:rPr>
                <w:rFonts w:cs="Calibri"/>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14:paraId="13AF9460" w14:textId="77777777" w:rsidR="006D1774" w:rsidRPr="00DD47DF" w:rsidRDefault="006D1774" w:rsidP="00DE124D">
            <w:pPr>
              <w:pStyle w:val="Tabulka"/>
              <w:rPr>
                <w:rFonts w:cs="Calibri"/>
              </w:rPr>
            </w:pPr>
            <w:r w:rsidRPr="00DD47DF">
              <w:rPr>
                <w:rFonts w:cs="Calibri"/>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14:paraId="51DBF34D" w14:textId="77777777" w:rsidR="006D1774" w:rsidRPr="00DD47DF" w:rsidRDefault="00084ED8" w:rsidP="00DE124D">
            <w:pPr>
              <w:pStyle w:val="Tabulka"/>
              <w:rPr>
                <w:rFonts w:cs="Calibri"/>
              </w:rPr>
            </w:pPr>
            <w:r w:rsidRPr="00DD47DF">
              <w:rPr>
                <w:rFonts w:cs="Calibri"/>
              </w:rPr>
              <w:t>2</w:t>
            </w:r>
            <w:r w:rsidR="00457AB8" w:rsidRPr="00DD47DF">
              <w:rPr>
                <w:rFonts w:cs="Calibri"/>
              </w:rPr>
              <w:t xml:space="preserve"> 1</w:t>
            </w:r>
            <w:r w:rsidR="006D1774" w:rsidRPr="00DD47DF">
              <w:rPr>
                <w:rFonts w:cs="Calibri"/>
              </w:rPr>
              <w:t>00</w:t>
            </w:r>
          </w:p>
        </w:tc>
        <w:tc>
          <w:tcPr>
            <w:tcW w:w="0" w:type="auto"/>
            <w:tcBorders>
              <w:top w:val="single" w:sz="4" w:space="0" w:color="000000"/>
              <w:left w:val="single" w:sz="4" w:space="0" w:color="000000"/>
              <w:bottom w:val="single" w:sz="4" w:space="0" w:color="000000"/>
              <w:right w:val="single" w:sz="4" w:space="0" w:color="000000"/>
            </w:tcBorders>
            <w:vAlign w:val="center"/>
          </w:tcPr>
          <w:p w14:paraId="7E11B54C" w14:textId="77777777" w:rsidR="006D1774" w:rsidRPr="00DD47DF" w:rsidRDefault="00FC7054" w:rsidP="006D177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8652D22" w14:textId="77777777" w:rsidR="006D1774" w:rsidRPr="00DD47DF" w:rsidRDefault="00FC7054" w:rsidP="009974DF">
            <w:pPr>
              <w:pStyle w:val="Tabulka"/>
              <w:rPr>
                <w:rFonts w:cs="Calibri"/>
              </w:rPr>
            </w:pPr>
            <w:r>
              <w:rPr>
                <w:rFonts w:cs="Calibri"/>
              </w:rPr>
              <w:t>průběžně</w:t>
            </w:r>
          </w:p>
        </w:tc>
      </w:tr>
      <w:tr w:rsidR="002A46AD" w:rsidRPr="00DD47DF" w14:paraId="1DA3A4CF"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129ADCA" w14:textId="7915D16A" w:rsidR="002A46AD" w:rsidRPr="00DD47DF" w:rsidRDefault="00C75691" w:rsidP="005A765B">
            <w:pPr>
              <w:pStyle w:val="Tabulka"/>
              <w:rPr>
                <w:rFonts w:cs="Calibri"/>
              </w:rPr>
            </w:pPr>
            <w:r w:rsidRPr="00DD47DF">
              <w:rPr>
                <w:rFonts w:cs="Calibri"/>
              </w:rPr>
              <w:t xml:space="preserve">CO </w:t>
            </w:r>
            <w:r w:rsidR="00927ADD" w:rsidRPr="00DD47DF">
              <w:rPr>
                <w:rFonts w:cs="Calibri"/>
              </w:rPr>
              <w:t>0</w:t>
            </w:r>
            <w:r w:rsidR="002A46AD" w:rsidRPr="00DD47DF">
              <w:rPr>
                <w:rFonts w:cs="Calibri"/>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66FD0DF3" w14:textId="77777777" w:rsidR="002A46AD" w:rsidRPr="00DD47DF" w:rsidRDefault="00FE1B8C" w:rsidP="00DE124D">
            <w:pPr>
              <w:pStyle w:val="Tabulka"/>
              <w:jc w:val="left"/>
              <w:rPr>
                <w:rFonts w:cs="Calibri"/>
              </w:rPr>
            </w:pPr>
            <w:r w:rsidRPr="00DD47DF">
              <w:rPr>
                <w:rFonts w:cs="Calibri"/>
              </w:rPr>
              <w:t>Počet podniků pobírajících nefinanční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150D0EF4" w14:textId="77777777" w:rsidR="002A46AD" w:rsidRPr="00DD47DF" w:rsidRDefault="002A46AD" w:rsidP="00DE124D">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31035ACB" w14:textId="77777777" w:rsidR="002A46AD" w:rsidRPr="00DD47DF" w:rsidRDefault="002B3F69" w:rsidP="002A46AD">
            <w:pPr>
              <w:pStyle w:val="Tabulka"/>
              <w:rPr>
                <w:rFonts w:cs="Calibri"/>
              </w:rPr>
            </w:pPr>
            <w:r w:rsidRPr="00DD47DF">
              <w:rPr>
                <w:rFonts w:cs="Calibri"/>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14:paraId="68BEE167" w14:textId="77777777" w:rsidR="002A46AD" w:rsidRPr="00DD47DF" w:rsidRDefault="002A46AD" w:rsidP="00DE124D">
            <w:pPr>
              <w:pStyle w:val="Tabulka"/>
              <w:rPr>
                <w:rFonts w:cs="Calibri"/>
              </w:rPr>
            </w:pPr>
            <w:r w:rsidRPr="00DD47DF">
              <w:rPr>
                <w:rFonts w:cs="Calibri"/>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14:paraId="7DDA2D71" w14:textId="77777777" w:rsidR="002A46AD" w:rsidRPr="00DD47DF" w:rsidRDefault="00084ED8" w:rsidP="00DE124D">
            <w:pPr>
              <w:pStyle w:val="Tabulka"/>
              <w:rPr>
                <w:rFonts w:cs="Calibri"/>
              </w:rPr>
            </w:pPr>
            <w:r w:rsidRPr="00DD47DF">
              <w:rPr>
                <w:rFonts w:cs="Calibri"/>
              </w:rPr>
              <w:t>3 000</w:t>
            </w:r>
          </w:p>
        </w:tc>
        <w:tc>
          <w:tcPr>
            <w:tcW w:w="0" w:type="auto"/>
            <w:tcBorders>
              <w:top w:val="single" w:sz="4" w:space="0" w:color="000000"/>
              <w:left w:val="single" w:sz="4" w:space="0" w:color="000000"/>
              <w:bottom w:val="single" w:sz="4" w:space="0" w:color="000000"/>
              <w:right w:val="single" w:sz="4" w:space="0" w:color="000000"/>
            </w:tcBorders>
            <w:vAlign w:val="center"/>
          </w:tcPr>
          <w:p w14:paraId="360E4003" w14:textId="77777777" w:rsidR="002A46AD" w:rsidRPr="00DD47DF" w:rsidRDefault="00800418" w:rsidP="006D1774">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5BBA8596" w14:textId="77777777" w:rsidR="002A46AD" w:rsidRPr="00DD47DF" w:rsidRDefault="00800418" w:rsidP="009974DF">
            <w:pPr>
              <w:pStyle w:val="Tabulka"/>
              <w:rPr>
                <w:rFonts w:cs="Calibri"/>
              </w:rPr>
            </w:pPr>
            <w:r>
              <w:rPr>
                <w:rFonts w:cs="Calibri"/>
              </w:rPr>
              <w:t>průběžně</w:t>
            </w:r>
          </w:p>
        </w:tc>
      </w:tr>
      <w:tr w:rsidR="006D1774" w:rsidRPr="00DD47DF" w14:paraId="2C9C0A47"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9F66075" w14:textId="550FBD6D" w:rsidR="006D1774" w:rsidRPr="00DD47DF" w:rsidRDefault="00C75691" w:rsidP="005A765B">
            <w:pPr>
              <w:pStyle w:val="Tabulka"/>
              <w:rPr>
                <w:rFonts w:cs="Calibri"/>
              </w:rPr>
            </w:pPr>
            <w:r w:rsidRPr="00DD47DF">
              <w:rPr>
                <w:rFonts w:cs="Calibri"/>
              </w:rPr>
              <w:t xml:space="preserve">CO </w:t>
            </w:r>
            <w:r w:rsidR="00927ADD" w:rsidRPr="00DD47DF">
              <w:rPr>
                <w:rFonts w:cs="Calibri"/>
              </w:rPr>
              <w:t>0</w:t>
            </w:r>
            <w:r w:rsidR="006D1774"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6BDF3860" w14:textId="77777777" w:rsidR="006D1774" w:rsidRPr="00DD47DF" w:rsidRDefault="00892451" w:rsidP="00B5004C">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6D82ACD7" w14:textId="77777777" w:rsidR="006D1774" w:rsidRPr="00DD47DF" w:rsidRDefault="006D1774" w:rsidP="00DE124D">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492D9896" w14:textId="77777777" w:rsidR="006D1774" w:rsidRPr="00DD47DF" w:rsidRDefault="002B3F69" w:rsidP="002A46AD">
            <w:pPr>
              <w:pStyle w:val="Tabulka"/>
              <w:rPr>
                <w:rFonts w:cs="Calibri"/>
              </w:rPr>
            </w:pPr>
            <w:r w:rsidRPr="00DD47DF">
              <w:rPr>
                <w:rFonts w:cs="Calibri"/>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14:paraId="75437C4B" w14:textId="77777777" w:rsidR="006D1774" w:rsidRPr="00DD47DF" w:rsidRDefault="006D1774" w:rsidP="00DE124D">
            <w:pPr>
              <w:pStyle w:val="Tabulka"/>
              <w:rPr>
                <w:rFonts w:cs="Calibri"/>
              </w:rPr>
            </w:pPr>
            <w:r w:rsidRPr="00DD47DF">
              <w:rPr>
                <w:rFonts w:cs="Calibri"/>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14:paraId="3904463A" w14:textId="77777777" w:rsidR="006D1774" w:rsidRPr="00DD47DF" w:rsidRDefault="00457AB8" w:rsidP="00DE124D">
            <w:pPr>
              <w:pStyle w:val="Tabulka"/>
              <w:rPr>
                <w:rFonts w:cs="Calibri"/>
              </w:rPr>
            </w:pPr>
            <w:r w:rsidRPr="00DD47DF">
              <w:rPr>
                <w:rFonts w:cs="Calibri"/>
              </w:rPr>
              <w:t>84 0</w:t>
            </w:r>
            <w:r w:rsidR="00084ED8" w:rsidRPr="00DD47DF">
              <w:rPr>
                <w:rFonts w:cs="Calibri"/>
              </w:rPr>
              <w:t>00 000</w:t>
            </w:r>
          </w:p>
        </w:tc>
        <w:tc>
          <w:tcPr>
            <w:tcW w:w="0" w:type="auto"/>
            <w:tcBorders>
              <w:top w:val="single" w:sz="4" w:space="0" w:color="000000"/>
              <w:left w:val="single" w:sz="4" w:space="0" w:color="000000"/>
              <w:bottom w:val="single" w:sz="4" w:space="0" w:color="000000"/>
              <w:right w:val="single" w:sz="4" w:space="0" w:color="000000"/>
            </w:tcBorders>
            <w:vAlign w:val="center"/>
          </w:tcPr>
          <w:p w14:paraId="7406F802" w14:textId="77777777" w:rsidR="006D1774" w:rsidRPr="00DD47DF" w:rsidRDefault="00800418" w:rsidP="006D177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4A6555DE" w14:textId="77777777" w:rsidR="006D1774" w:rsidRPr="00DD47DF" w:rsidRDefault="00934A97" w:rsidP="009974DF">
            <w:pPr>
              <w:pStyle w:val="Tabulka"/>
              <w:rPr>
                <w:rFonts w:cs="Calibri"/>
              </w:rPr>
            </w:pPr>
            <w:r>
              <w:rPr>
                <w:rFonts w:cs="Calibri"/>
              </w:rPr>
              <w:t>průběžně</w:t>
            </w:r>
          </w:p>
        </w:tc>
      </w:tr>
    </w:tbl>
    <w:p w14:paraId="79431D75" w14:textId="77777777" w:rsidR="00786F1A" w:rsidRPr="00DD47DF" w:rsidRDefault="008C7D72" w:rsidP="00DA3512">
      <w:pPr>
        <w:pStyle w:val="kapitola2A0"/>
        <w:numPr>
          <w:ilvl w:val="2"/>
          <w:numId w:val="63"/>
        </w:numPr>
      </w:pPr>
      <w:bookmarkStart w:id="49" w:name="_Toc506884998"/>
      <w:r w:rsidRPr="00DD47DF">
        <w:t>INVESTIČNÍ PRIORITA</w:t>
      </w:r>
      <w:r w:rsidR="00AA66A2" w:rsidRPr="00DD47DF">
        <w:t xml:space="preserve"> 3 prioritní osy 2</w:t>
      </w:r>
      <w:r w:rsidRPr="00DD47DF">
        <w:t xml:space="preserve">: </w:t>
      </w:r>
      <w:r w:rsidR="002641C7" w:rsidRPr="00DD47DF">
        <w:t>Podpora vytváření a rozšiřování vyspělých</w:t>
      </w:r>
      <w:r w:rsidRPr="00DD47DF">
        <w:t xml:space="preserve"> kapacit pro rozvoj produktů a služeb</w:t>
      </w:r>
      <w:bookmarkEnd w:id="49"/>
    </w:p>
    <w:p w14:paraId="1ECDFF47" w14:textId="77777777" w:rsidR="00EB13D9" w:rsidRPr="00DD47DF" w:rsidRDefault="008C7D72" w:rsidP="00DA3512">
      <w:pPr>
        <w:pStyle w:val="kapitola2A0"/>
        <w:numPr>
          <w:ilvl w:val="2"/>
          <w:numId w:val="63"/>
        </w:numPr>
      </w:pPr>
      <w:bookmarkStart w:id="50" w:name="_Toc506884999"/>
      <w:r w:rsidRPr="00DD47DF">
        <w:t>Specifické cíle odpovídající investiční prioritě a očekávané výsledky</w:t>
      </w:r>
      <w:bookmarkEnd w:id="50"/>
    </w:p>
    <w:p w14:paraId="5FC6FE50" w14:textId="77777777" w:rsidR="00EB13D9" w:rsidRPr="00DD47DF" w:rsidRDefault="00EB13D9" w:rsidP="00396141">
      <w:pPr>
        <w:pStyle w:val="Modrnadpis"/>
      </w:pPr>
      <w:r w:rsidRPr="00DD47DF">
        <w:t xml:space="preserve">SPECIFICKÝ CÍL </w:t>
      </w:r>
      <w:r w:rsidR="00C71E6F" w:rsidRPr="00DD47DF">
        <w:t>2.</w:t>
      </w:r>
      <w:r w:rsidRPr="00DD47DF">
        <w:t xml:space="preserve">3: </w:t>
      </w:r>
      <w:r w:rsidR="00C76EE3" w:rsidRPr="00DD47DF">
        <w:t>Zvýš</w:t>
      </w:r>
      <w:r w:rsidR="00771951" w:rsidRPr="00DD47DF">
        <w:t xml:space="preserve">it </w:t>
      </w:r>
      <w:r w:rsidR="00C76EE3" w:rsidRPr="00DD47DF">
        <w:t>využitelnost infrastruktury pro podnikání</w:t>
      </w:r>
    </w:p>
    <w:p w14:paraId="701733C1" w14:textId="77777777" w:rsidR="00781B41" w:rsidRPr="00DD47DF" w:rsidRDefault="00781B41" w:rsidP="005E45B6">
      <w:pPr>
        <w:pStyle w:val="Standardntext"/>
      </w:pPr>
      <w:r w:rsidRPr="00DD47DF">
        <w:t>Rozvoj nových a inovativních podnikatelských aktivit MSP je limitován nevhodnými parametry zastaralé podnikatelské infrastruktury jejíž provoz navíc vyžaduje vysoké režijní náklady. V regionech ČR se zároveň vyskytuje řada lokalit typu brownfield, které by bylo možné regenerovat a opětovně využít pro ekonomické aktivity MSP. Specifickým cílem je proto zlepšit kvalitu a zvýšit využitelnost podnikatelské infrastruktury</w:t>
      </w:r>
      <w:r w:rsidR="00906ED2" w:rsidRPr="00DD47DF">
        <w:t xml:space="preserve"> typu</w:t>
      </w:r>
      <w:r w:rsidRPr="00DD47DF">
        <w:t xml:space="preserve"> brownfield, a umožnit tak MSP realizovat své rozvojové podnikatelské záměry, které mohou vést nejen k rozšiřování výroby, ale také k posunu podniků směrem výše v rámci hodnotového řetězce.</w:t>
      </w:r>
    </w:p>
    <w:p w14:paraId="45295425" w14:textId="77777777" w:rsidR="001A5C2A" w:rsidRPr="00DD47DF" w:rsidRDefault="003508A9" w:rsidP="001A5C2A">
      <w:pPr>
        <w:pStyle w:val="Modrnadpis"/>
      </w:pPr>
      <w:r w:rsidRPr="00DD47DF">
        <w:t>Výsledky, kterých chce ČR dosáhnout s podporou Unie</w:t>
      </w:r>
    </w:p>
    <w:p w14:paraId="5D8DF1F8" w14:textId="788BDD87" w:rsidR="001A5C2A" w:rsidRPr="00DD47DF" w:rsidRDefault="008E3478" w:rsidP="00D927A2">
      <w:pPr>
        <w:pStyle w:val="Standardntext"/>
        <w:numPr>
          <w:ilvl w:val="0"/>
          <w:numId w:val="55"/>
        </w:numPr>
      </w:pPr>
      <w:r w:rsidRPr="00700E39">
        <w:t>Prostorově a ekonomicky vyhovující podnikatelské infrastruktury, včetně regenerovaných lokalit typu brownfield, umožní MSP přechod od běžné výroby a služeb na výrobu či služby s vyšší technickou a technologickou úrovní zajišťující konkurenceschopnost, snížení provozních nákladů, vysokou přidanou hodnotu s potenciálem lepšího uplatnění na zahraničních trzích.</w:t>
      </w:r>
    </w:p>
    <w:p w14:paraId="2988B1D4" w14:textId="77777777" w:rsidR="00EB13D9" w:rsidRPr="00DD47DF" w:rsidRDefault="00EB13D9" w:rsidP="00EB13D9">
      <w:pPr>
        <w:pStyle w:val="Titulek"/>
        <w:keepNext/>
        <w:rPr>
          <w:rFonts w:cs="Calibri"/>
        </w:rPr>
      </w:pPr>
      <w:r w:rsidRPr="00DD47DF">
        <w:rPr>
          <w:rFonts w:cs="Calibri"/>
        </w:rPr>
        <w:lastRenderedPageBreak/>
        <w:t xml:space="preserve">Tabulka </w:t>
      </w:r>
      <w:r w:rsidR="002756E7" w:rsidRPr="00DD47DF">
        <w:rPr>
          <w:rFonts w:cs="Calibri"/>
        </w:rPr>
        <w:fldChar w:fldCharType="begin"/>
      </w:r>
      <w:r w:rsidR="00955F90"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00955F90" w:rsidRPr="00DD47DF">
        <w:rPr>
          <w:rFonts w:cs="Calibri"/>
        </w:rPr>
        <w:t>a</w:t>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Layout w:type="fixed"/>
        <w:tblCellMar>
          <w:left w:w="57" w:type="dxa"/>
          <w:right w:w="57" w:type="dxa"/>
        </w:tblCellMar>
        <w:tblLook w:val="01E0" w:firstRow="1" w:lastRow="1" w:firstColumn="1" w:lastColumn="1" w:noHBand="0" w:noVBand="0"/>
      </w:tblPr>
      <w:tblGrid>
        <w:gridCol w:w="766"/>
        <w:gridCol w:w="1559"/>
        <w:gridCol w:w="998"/>
        <w:gridCol w:w="1117"/>
        <w:gridCol w:w="862"/>
        <w:gridCol w:w="851"/>
        <w:gridCol w:w="1134"/>
        <w:gridCol w:w="994"/>
        <w:gridCol w:w="1045"/>
      </w:tblGrid>
      <w:tr w:rsidR="006103E6" w:rsidRPr="00DD47DF" w14:paraId="42220E72" w14:textId="77777777" w:rsidTr="004E589F">
        <w:trPr>
          <w:trHeight w:hRule="exact" w:val="1262"/>
        </w:trPr>
        <w:tc>
          <w:tcPr>
            <w:tcW w:w="41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C1AD9B8" w14:textId="77777777" w:rsidR="00CF739D" w:rsidRPr="00DD47DF" w:rsidRDefault="00CF739D" w:rsidP="001B2E5C">
            <w:pPr>
              <w:pStyle w:val="Tabulka"/>
              <w:rPr>
                <w:rFonts w:cs="Calibri"/>
                <w:b/>
                <w:bCs/>
                <w:sz w:val="20"/>
              </w:rPr>
            </w:pPr>
            <w:r w:rsidRPr="00DD47DF">
              <w:rPr>
                <w:rFonts w:cs="Calibri"/>
                <w:b/>
                <w:bCs/>
                <w:sz w:val="20"/>
              </w:rPr>
              <w:t>ID</w:t>
            </w:r>
          </w:p>
        </w:tc>
        <w:tc>
          <w:tcPr>
            <w:tcW w:w="83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D1F6187" w14:textId="77777777" w:rsidR="00CF739D" w:rsidRPr="00DD47DF" w:rsidRDefault="00CF739D" w:rsidP="001B2E5C">
            <w:pPr>
              <w:pStyle w:val="Tabulka"/>
              <w:rPr>
                <w:rFonts w:cs="Calibri"/>
                <w:b/>
                <w:bCs/>
                <w:sz w:val="20"/>
              </w:rPr>
            </w:pPr>
            <w:r w:rsidRPr="00DD47DF">
              <w:rPr>
                <w:rFonts w:cs="Calibri"/>
                <w:b/>
                <w:bCs/>
                <w:sz w:val="20"/>
              </w:rPr>
              <w:t>Ukazatel</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7ED5149" w14:textId="77777777" w:rsidR="00CF739D" w:rsidRPr="00DD47DF" w:rsidRDefault="00CF739D" w:rsidP="001B2E5C">
            <w:pPr>
              <w:pStyle w:val="Tabulka"/>
              <w:rPr>
                <w:rFonts w:cs="Calibri"/>
                <w:b/>
                <w:bCs/>
                <w:sz w:val="20"/>
              </w:rPr>
            </w:pPr>
            <w:r w:rsidRPr="00DD47DF">
              <w:rPr>
                <w:rFonts w:cs="Calibri"/>
                <w:b/>
                <w:bCs/>
                <w:sz w:val="20"/>
              </w:rPr>
              <w:t>Měrná</w:t>
            </w:r>
          </w:p>
          <w:p w14:paraId="56541DCF" w14:textId="77777777" w:rsidR="00CF739D" w:rsidRPr="00DD47DF" w:rsidRDefault="00CF739D" w:rsidP="001B2E5C">
            <w:pPr>
              <w:pStyle w:val="Tabulka"/>
              <w:rPr>
                <w:rFonts w:cs="Calibri"/>
                <w:b/>
                <w:bCs/>
                <w:sz w:val="20"/>
              </w:rPr>
            </w:pPr>
            <w:r w:rsidRPr="00DD47DF">
              <w:rPr>
                <w:rFonts w:cs="Calibri"/>
                <w:b/>
                <w:bCs/>
                <w:sz w:val="20"/>
              </w:rPr>
              <w:t>jednotka</w:t>
            </w:r>
          </w:p>
        </w:tc>
        <w:tc>
          <w:tcPr>
            <w:tcW w:w="59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4086231" w14:textId="77777777" w:rsidR="00CF739D" w:rsidRPr="00DD47DF" w:rsidRDefault="00CF739D" w:rsidP="001B2E5C">
            <w:pPr>
              <w:pStyle w:val="Tabulka"/>
              <w:rPr>
                <w:rFonts w:cs="Calibri"/>
                <w:b/>
                <w:bCs/>
                <w:sz w:val="20"/>
              </w:rPr>
            </w:pPr>
            <w:r w:rsidRPr="00DD47DF">
              <w:rPr>
                <w:rFonts w:cs="Calibri"/>
                <w:b/>
                <w:bCs/>
                <w:sz w:val="20"/>
              </w:rPr>
              <w:t>Kategorie regionů (je-li relevantní)</w:t>
            </w:r>
          </w:p>
        </w:tc>
        <w:tc>
          <w:tcPr>
            <w:tcW w:w="46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0ABE365" w14:textId="77777777" w:rsidR="00CF739D" w:rsidRPr="00DD47DF" w:rsidRDefault="004B0854" w:rsidP="001B2E5C">
            <w:pPr>
              <w:pStyle w:val="Tabulka"/>
              <w:rPr>
                <w:rFonts w:cs="Calibri"/>
                <w:b/>
                <w:bCs/>
                <w:sz w:val="20"/>
              </w:rPr>
            </w:pPr>
            <w:r w:rsidRPr="00DD47DF">
              <w:rPr>
                <w:rFonts w:cs="Calibri"/>
                <w:b/>
                <w:bCs/>
                <w:sz w:val="20"/>
              </w:rPr>
              <w:t>Výchozí hodnota</w:t>
            </w:r>
          </w:p>
        </w:tc>
        <w:tc>
          <w:tcPr>
            <w:tcW w:w="45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D3F5B41" w14:textId="77777777" w:rsidR="00CF739D" w:rsidRPr="00DD47DF" w:rsidRDefault="004B0854" w:rsidP="004B0854">
            <w:pPr>
              <w:pStyle w:val="Tabulka"/>
              <w:rPr>
                <w:rFonts w:cs="Calibri"/>
                <w:b/>
                <w:bCs/>
                <w:sz w:val="20"/>
              </w:rPr>
            </w:pPr>
            <w:r w:rsidRPr="00DD47DF">
              <w:rPr>
                <w:rFonts w:cs="Calibri"/>
                <w:b/>
                <w:bCs/>
                <w:sz w:val="20"/>
              </w:rPr>
              <w:t xml:space="preserve">Výchozí </w:t>
            </w:r>
            <w:r w:rsidR="00CF739D" w:rsidRPr="00DD47DF">
              <w:rPr>
                <w:rFonts w:cs="Calibri"/>
                <w:b/>
                <w:bCs/>
                <w:sz w:val="20"/>
              </w:rPr>
              <w:t>rok</w:t>
            </w:r>
          </w:p>
        </w:tc>
        <w:tc>
          <w:tcPr>
            <w:tcW w:w="60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29CA3FB" w14:textId="77777777" w:rsidR="00CF739D" w:rsidRPr="00DD47DF" w:rsidRDefault="00CF739D" w:rsidP="001B2E5C">
            <w:pPr>
              <w:pStyle w:val="Tabulka"/>
              <w:rPr>
                <w:rFonts w:cs="Calibri"/>
                <w:b/>
                <w:bCs/>
                <w:sz w:val="20"/>
              </w:rPr>
            </w:pPr>
            <w:r w:rsidRPr="00DD47DF">
              <w:rPr>
                <w:rFonts w:cs="Calibri"/>
                <w:b/>
                <w:bCs/>
                <w:sz w:val="20"/>
              </w:rPr>
              <w:t>Cílová hodnota (2023)</w:t>
            </w:r>
          </w:p>
        </w:tc>
        <w:tc>
          <w:tcPr>
            <w:tcW w:w="53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E4BB18C" w14:textId="77777777" w:rsidR="00CF739D" w:rsidRPr="00DD47DF" w:rsidRDefault="00CF739D" w:rsidP="001B2E5C">
            <w:pPr>
              <w:pStyle w:val="Tabulka"/>
              <w:rPr>
                <w:rFonts w:cs="Calibri"/>
                <w:b/>
                <w:bCs/>
                <w:sz w:val="20"/>
              </w:rPr>
            </w:pPr>
            <w:r w:rsidRPr="00DD47DF">
              <w:rPr>
                <w:rFonts w:cs="Calibri"/>
                <w:b/>
                <w:bCs/>
                <w:sz w:val="20"/>
              </w:rPr>
              <w:t>Zdroj údajů</w:t>
            </w:r>
          </w:p>
        </w:tc>
        <w:tc>
          <w:tcPr>
            <w:tcW w:w="560"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8E707C6" w14:textId="77777777" w:rsidR="00CF739D" w:rsidRPr="00DD47DF" w:rsidRDefault="00CF739D" w:rsidP="001B2E5C">
            <w:pPr>
              <w:pStyle w:val="Tabulka"/>
              <w:rPr>
                <w:rFonts w:cs="Calibri"/>
                <w:b/>
                <w:bCs/>
                <w:sz w:val="20"/>
              </w:rPr>
            </w:pPr>
            <w:r w:rsidRPr="00DD47DF">
              <w:rPr>
                <w:rFonts w:cs="Calibri"/>
                <w:b/>
                <w:bCs/>
                <w:sz w:val="20"/>
              </w:rPr>
              <w:t>Četnost podávání zpráv</w:t>
            </w:r>
          </w:p>
        </w:tc>
      </w:tr>
      <w:tr w:rsidR="009A45DC" w:rsidRPr="00DD47DF" w14:paraId="252538E5" w14:textId="77777777" w:rsidTr="001D58DB">
        <w:trPr>
          <w:trHeight w:hRule="exact" w:val="2377"/>
        </w:trPr>
        <w:tc>
          <w:tcPr>
            <w:tcW w:w="411" w:type="pct"/>
            <w:tcBorders>
              <w:top w:val="single" w:sz="4" w:space="0" w:color="000000"/>
              <w:left w:val="single" w:sz="4" w:space="0" w:color="000000"/>
              <w:bottom w:val="single" w:sz="4" w:space="0" w:color="000000"/>
              <w:right w:val="single" w:sz="4" w:space="0" w:color="000000"/>
            </w:tcBorders>
            <w:vAlign w:val="center"/>
          </w:tcPr>
          <w:p w14:paraId="2F910B40" w14:textId="77777777" w:rsidR="009A45DC" w:rsidRPr="00DD47DF" w:rsidDel="009A45DC" w:rsidRDefault="00922197" w:rsidP="00EB13D9">
            <w:pPr>
              <w:pStyle w:val="Tabulka"/>
              <w:rPr>
                <w:rFonts w:cs="Calibri"/>
              </w:rPr>
            </w:pPr>
            <w:r w:rsidRPr="00DD47DF">
              <w:rPr>
                <w:rFonts w:cs="Calibri"/>
              </w:rPr>
              <w:t>2</w:t>
            </w:r>
            <w:r w:rsidR="00831F28" w:rsidRPr="00DD47DF">
              <w:rPr>
                <w:rFonts w:cs="Calibri"/>
              </w:rPr>
              <w:t>3300</w:t>
            </w:r>
          </w:p>
        </w:tc>
        <w:tc>
          <w:tcPr>
            <w:tcW w:w="836" w:type="pct"/>
            <w:tcBorders>
              <w:top w:val="single" w:sz="4" w:space="0" w:color="000000"/>
              <w:left w:val="single" w:sz="4" w:space="0" w:color="000000"/>
              <w:bottom w:val="single" w:sz="4" w:space="0" w:color="000000"/>
              <w:right w:val="single" w:sz="4" w:space="0" w:color="000000"/>
            </w:tcBorders>
            <w:vAlign w:val="center"/>
          </w:tcPr>
          <w:p w14:paraId="6A6955F0" w14:textId="77777777" w:rsidR="009A45DC" w:rsidRPr="00DD47DF" w:rsidDel="009A45DC" w:rsidRDefault="00831F28" w:rsidP="00AF574A">
            <w:pPr>
              <w:pStyle w:val="Tabulka"/>
              <w:jc w:val="left"/>
              <w:rPr>
                <w:rFonts w:cs="Calibri"/>
              </w:rPr>
            </w:pPr>
            <w:r w:rsidRPr="00DD47DF">
              <w:rPr>
                <w:rFonts w:cs="Calibri"/>
              </w:rPr>
              <w:t>Celková rozloha regenerovaných lokalit v Národní databázi brownfieldů pro ekonomické využití MSP</w:t>
            </w:r>
          </w:p>
        </w:tc>
        <w:tc>
          <w:tcPr>
            <w:tcW w:w="535" w:type="pct"/>
            <w:tcBorders>
              <w:top w:val="single" w:sz="4" w:space="0" w:color="000000"/>
              <w:left w:val="single" w:sz="4" w:space="0" w:color="000000"/>
              <w:bottom w:val="single" w:sz="4" w:space="0" w:color="000000"/>
              <w:right w:val="single" w:sz="4" w:space="0" w:color="000000"/>
            </w:tcBorders>
            <w:vAlign w:val="center"/>
          </w:tcPr>
          <w:p w14:paraId="6612C129" w14:textId="77777777" w:rsidR="009A45DC" w:rsidRPr="00DD47DF" w:rsidDel="009A45DC" w:rsidRDefault="009A45DC" w:rsidP="00EB13D9">
            <w:pPr>
              <w:pStyle w:val="Tabulka"/>
              <w:rPr>
                <w:rFonts w:cs="Calibri"/>
              </w:rPr>
            </w:pPr>
            <w:r w:rsidRPr="00DD47DF">
              <w:rPr>
                <w:rFonts w:cs="Calibri"/>
                <w:bCs/>
              </w:rPr>
              <w:t>m</w:t>
            </w:r>
            <w:r w:rsidRPr="00DD47DF">
              <w:rPr>
                <w:rFonts w:cs="Calibri"/>
                <w:bCs/>
                <w:vertAlign w:val="superscript"/>
              </w:rPr>
              <w:t>2</w:t>
            </w:r>
          </w:p>
        </w:tc>
        <w:tc>
          <w:tcPr>
            <w:tcW w:w="599" w:type="pct"/>
            <w:tcBorders>
              <w:top w:val="single" w:sz="4" w:space="0" w:color="000000"/>
              <w:left w:val="single" w:sz="4" w:space="0" w:color="000000"/>
              <w:bottom w:val="single" w:sz="4" w:space="0" w:color="000000"/>
              <w:right w:val="single" w:sz="4" w:space="0" w:color="000000"/>
            </w:tcBorders>
            <w:vAlign w:val="center"/>
          </w:tcPr>
          <w:p w14:paraId="78892E16" w14:textId="77777777" w:rsidR="009A45DC" w:rsidRPr="00DD47DF" w:rsidDel="009A45DC" w:rsidRDefault="009A45DC" w:rsidP="00EB13D9">
            <w:pPr>
              <w:pStyle w:val="Tabulka"/>
              <w:rPr>
                <w:rFonts w:cs="Calibri"/>
              </w:rPr>
            </w:pPr>
            <w:r w:rsidRPr="00DD47DF">
              <w:rPr>
                <w:rFonts w:cs="Calibri"/>
              </w:rPr>
              <w:t>Méně rozvinuté regiony</w:t>
            </w:r>
          </w:p>
        </w:tc>
        <w:tc>
          <w:tcPr>
            <w:tcW w:w="462" w:type="pct"/>
            <w:tcBorders>
              <w:top w:val="single" w:sz="4" w:space="0" w:color="000000"/>
              <w:left w:val="single" w:sz="4" w:space="0" w:color="000000"/>
              <w:bottom w:val="single" w:sz="4" w:space="0" w:color="000000"/>
              <w:right w:val="single" w:sz="4" w:space="0" w:color="000000"/>
            </w:tcBorders>
            <w:vAlign w:val="center"/>
          </w:tcPr>
          <w:p w14:paraId="41BA0D49" w14:textId="77777777" w:rsidR="009A45DC" w:rsidRPr="00DD47DF" w:rsidDel="009A45DC" w:rsidRDefault="00831F28" w:rsidP="00EB13D9">
            <w:pPr>
              <w:pStyle w:val="Tabulka"/>
              <w:rPr>
                <w:rFonts w:cs="Calibri"/>
              </w:rPr>
            </w:pPr>
            <w:r w:rsidRPr="00DD47DF">
              <w:rPr>
                <w:rFonts w:cs="Calibri"/>
              </w:rPr>
              <w:t>258 756 977</w:t>
            </w:r>
          </w:p>
        </w:tc>
        <w:tc>
          <w:tcPr>
            <w:tcW w:w="456" w:type="pct"/>
            <w:tcBorders>
              <w:top w:val="single" w:sz="4" w:space="0" w:color="000000"/>
              <w:left w:val="single" w:sz="4" w:space="0" w:color="000000"/>
              <w:bottom w:val="single" w:sz="4" w:space="0" w:color="000000"/>
              <w:right w:val="single" w:sz="4" w:space="0" w:color="000000"/>
            </w:tcBorders>
            <w:vAlign w:val="center"/>
          </w:tcPr>
          <w:p w14:paraId="199C76C6" w14:textId="77777777" w:rsidR="009A45DC" w:rsidRPr="00DD47DF" w:rsidDel="009A45DC" w:rsidRDefault="009A45DC" w:rsidP="00EB13D9">
            <w:pPr>
              <w:pStyle w:val="Tabulka"/>
              <w:rPr>
                <w:rFonts w:cs="Calibri"/>
              </w:rPr>
            </w:pPr>
            <w:r w:rsidRPr="00DD47DF">
              <w:rPr>
                <w:rFonts w:cs="Calibri"/>
              </w:rPr>
              <w:t>2014</w:t>
            </w:r>
          </w:p>
        </w:tc>
        <w:tc>
          <w:tcPr>
            <w:tcW w:w="608" w:type="pct"/>
            <w:tcBorders>
              <w:top w:val="single" w:sz="4" w:space="0" w:color="000000"/>
              <w:left w:val="single" w:sz="4" w:space="0" w:color="000000"/>
              <w:bottom w:val="single" w:sz="4" w:space="0" w:color="000000"/>
              <w:right w:val="single" w:sz="4" w:space="0" w:color="000000"/>
            </w:tcBorders>
            <w:vAlign w:val="center"/>
          </w:tcPr>
          <w:p w14:paraId="228547D3" w14:textId="77777777" w:rsidR="009A45DC" w:rsidRPr="00DD47DF" w:rsidDel="009A45DC" w:rsidRDefault="00831F28" w:rsidP="00EB13D9">
            <w:pPr>
              <w:pStyle w:val="Tabulka"/>
              <w:rPr>
                <w:rFonts w:cs="Calibri"/>
                <w:sz w:val="20"/>
              </w:rPr>
            </w:pPr>
            <w:r w:rsidRPr="00DD47DF">
              <w:rPr>
                <w:rFonts w:cs="Calibri"/>
              </w:rPr>
              <w:t>259 000 000 – 260 500 000</w:t>
            </w:r>
            <w:r w:rsidRPr="00DD47DF">
              <w:rPr>
                <w:rStyle w:val="Znakapoznpodarou"/>
                <w:rFonts w:cs="Calibri"/>
              </w:rPr>
              <w:footnoteReference w:id="54"/>
            </w:r>
          </w:p>
        </w:tc>
        <w:tc>
          <w:tcPr>
            <w:tcW w:w="533" w:type="pct"/>
            <w:tcBorders>
              <w:top w:val="single" w:sz="4" w:space="0" w:color="000000"/>
              <w:left w:val="single" w:sz="4" w:space="0" w:color="000000"/>
              <w:bottom w:val="single" w:sz="4" w:space="0" w:color="000000"/>
              <w:right w:val="single" w:sz="4" w:space="0" w:color="000000"/>
            </w:tcBorders>
            <w:vAlign w:val="center"/>
          </w:tcPr>
          <w:p w14:paraId="6E211E79" w14:textId="77777777" w:rsidR="00F229AC" w:rsidRPr="00DD47DF" w:rsidRDefault="00CA3ED8" w:rsidP="00F229AC">
            <w:pPr>
              <w:pStyle w:val="Tabulka"/>
              <w:rPr>
                <w:rFonts w:cs="Calibri"/>
              </w:rPr>
            </w:pPr>
            <w:r>
              <w:rPr>
                <w:rFonts w:cs="Calibri"/>
              </w:rPr>
              <w:t>ŘO</w:t>
            </w:r>
          </w:p>
          <w:p w14:paraId="079B0A56" w14:textId="77777777" w:rsidR="009A45DC" w:rsidRPr="00DD47DF" w:rsidDel="009A45DC" w:rsidRDefault="009A45DC" w:rsidP="00F229AC">
            <w:pPr>
              <w:pStyle w:val="Tabulka"/>
              <w:rPr>
                <w:rFonts w:cs="Calibri"/>
              </w:rPr>
            </w:pPr>
          </w:p>
        </w:tc>
        <w:tc>
          <w:tcPr>
            <w:tcW w:w="560" w:type="pct"/>
            <w:tcBorders>
              <w:top w:val="single" w:sz="4" w:space="0" w:color="000000"/>
              <w:left w:val="single" w:sz="4" w:space="0" w:color="000000"/>
              <w:bottom w:val="single" w:sz="4" w:space="0" w:color="000000"/>
              <w:right w:val="single" w:sz="4" w:space="0" w:color="000000"/>
            </w:tcBorders>
            <w:vAlign w:val="center"/>
          </w:tcPr>
          <w:p w14:paraId="61E83AD0" w14:textId="77777777" w:rsidR="009A45DC" w:rsidRPr="00DD47DF" w:rsidDel="009A45DC" w:rsidRDefault="009A45DC" w:rsidP="00EB13D9">
            <w:pPr>
              <w:pStyle w:val="Tabulka"/>
              <w:rPr>
                <w:rFonts w:cs="Calibri"/>
              </w:rPr>
            </w:pPr>
            <w:r w:rsidRPr="00DD47DF">
              <w:rPr>
                <w:rFonts w:cs="Calibri"/>
              </w:rPr>
              <w:t>ročně</w:t>
            </w:r>
          </w:p>
        </w:tc>
      </w:tr>
    </w:tbl>
    <w:p w14:paraId="20048249" w14:textId="77777777" w:rsidR="00F262C8" w:rsidRPr="00DD47DF" w:rsidRDefault="001B2E5C" w:rsidP="00DA3512">
      <w:pPr>
        <w:pStyle w:val="kapitola2A0"/>
        <w:numPr>
          <w:ilvl w:val="2"/>
          <w:numId w:val="63"/>
        </w:numPr>
      </w:pPr>
      <w:bookmarkStart w:id="51" w:name="_Toc506885000"/>
      <w:r w:rsidRPr="00DD47DF">
        <w:t>Opatření, jež má být podpořeno v rámci investiční priority</w:t>
      </w:r>
      <w:bookmarkEnd w:id="51"/>
    </w:p>
    <w:p w14:paraId="6806DCDF" w14:textId="77777777" w:rsidR="00F262C8" w:rsidRPr="00DD47DF" w:rsidRDefault="00D479AF" w:rsidP="00EA7151">
      <w:pPr>
        <w:pStyle w:val="Nadpis5"/>
        <w:numPr>
          <w:ilvl w:val="4"/>
          <w:numId w:val="20"/>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6A54333F" w14:textId="77777777" w:rsidR="00F262C8" w:rsidRPr="00DD47DF" w:rsidRDefault="00F262C8" w:rsidP="00EA7151">
      <w:pPr>
        <w:pStyle w:val="Modrnadpis"/>
      </w:pPr>
      <w:r w:rsidRPr="00DD47DF">
        <w:t xml:space="preserve">SPECIFICKÝ CÍL </w:t>
      </w:r>
      <w:r w:rsidR="00C71E6F" w:rsidRPr="00DD47DF">
        <w:t>2.</w:t>
      </w:r>
      <w:r w:rsidRPr="00DD47DF">
        <w:t>3:</w:t>
      </w:r>
      <w:r w:rsidR="00C76EE3" w:rsidRPr="00DD47DF">
        <w:t xml:space="preserve"> Zvýš</w:t>
      </w:r>
      <w:r w:rsidR="00771951" w:rsidRPr="00DD47DF">
        <w:t xml:space="preserve">it </w:t>
      </w:r>
      <w:r w:rsidR="00C76EE3" w:rsidRPr="00DD47DF">
        <w:t>využitelnost infrastruktury pro podnikání</w:t>
      </w:r>
      <w:r w:rsidRPr="00DD47DF">
        <w:t xml:space="preserve"> </w:t>
      </w:r>
    </w:p>
    <w:p w14:paraId="3B3EE8BB" w14:textId="77777777" w:rsidR="00F262C8" w:rsidRPr="00DD47DF" w:rsidRDefault="000A2EB4" w:rsidP="00EA7151">
      <w:pPr>
        <w:pStyle w:val="Standardntext"/>
        <w:keepNext/>
        <w:keepLines/>
        <w:rPr>
          <w:b/>
        </w:rPr>
      </w:pPr>
      <w:r w:rsidRPr="00DD47DF">
        <w:rPr>
          <w:b/>
        </w:rPr>
        <w:t>Aktivity pro tento specifický cíl:</w:t>
      </w:r>
    </w:p>
    <w:p w14:paraId="77731689" w14:textId="77777777" w:rsidR="00F262C8" w:rsidRPr="00DD47DF" w:rsidRDefault="007C0A99" w:rsidP="00D927A2">
      <w:pPr>
        <w:pStyle w:val="Standardntext"/>
        <w:keepNext/>
        <w:keepLines/>
        <w:numPr>
          <w:ilvl w:val="0"/>
          <w:numId w:val="44"/>
        </w:numPr>
      </w:pPr>
      <w:r w:rsidRPr="00DD47DF">
        <w:t>Technické a stavební rekonstrukce brownfieldů (bez výdajů na odstranění ekologických zátěží) a jejich přeměna na moderní podnikatelské objekty a vznik nově zrekonstruovatelných podnikatelských ploch</w:t>
      </w:r>
      <w:r w:rsidR="00F262C8" w:rsidRPr="00DD47DF">
        <w:t>,</w:t>
      </w:r>
    </w:p>
    <w:p w14:paraId="15348659" w14:textId="77777777" w:rsidR="00F262C8" w:rsidRPr="00DD47DF" w:rsidRDefault="007C0A99" w:rsidP="00D927A2">
      <w:pPr>
        <w:pStyle w:val="Standardntext"/>
        <w:numPr>
          <w:ilvl w:val="0"/>
          <w:numId w:val="44"/>
        </w:numPr>
      </w:pPr>
      <w:r w:rsidRPr="00DD47DF">
        <w:t>realizace komplexních stavebně-technických opatření vedoucích k rekonstrukcím technicky nevyhovující podnikatelské nemovitostí nebo brownfieldů na podnikatelský objekt a vzniku nově zrekonstruovaných podnikatelských ploch</w:t>
      </w:r>
      <w:r w:rsidR="005D4217" w:rsidRPr="00DD47DF">
        <w:t>.</w:t>
      </w:r>
    </w:p>
    <w:p w14:paraId="1B12D27C" w14:textId="77777777" w:rsidR="005368EE" w:rsidRPr="00DD47DF" w:rsidRDefault="005368EE" w:rsidP="00226516">
      <w:pPr>
        <w:pStyle w:val="Standardntext"/>
      </w:pPr>
      <w:r w:rsidRPr="00DD47DF">
        <w:t>Aktivity SC 2.3 jsou orientovány na zvýšení využitelnosti infrastruktury pro podnikání, na modernizaci stávající infrastruktury v oblasti výroby a služeb a na rekonstrukci brownfield</w:t>
      </w:r>
      <w:r w:rsidR="00BF7E1C" w:rsidRPr="00DD47DF">
        <w:t>ů</w:t>
      </w:r>
      <w:r w:rsidRPr="00DD47DF">
        <w:t xml:space="preserve">. SC 2.3 navazuje na </w:t>
      </w:r>
      <w:r w:rsidR="00292B8D" w:rsidRPr="00DD47DF">
        <w:t xml:space="preserve">program </w:t>
      </w:r>
      <w:r w:rsidRPr="00DD47DF">
        <w:t xml:space="preserve">podpory OPPI </w:t>
      </w:r>
      <w:r w:rsidR="00292B8D" w:rsidRPr="00DD47DF">
        <w:rPr>
          <w:i/>
        </w:rPr>
        <w:t xml:space="preserve">Nemovitosti, </w:t>
      </w:r>
      <w:r w:rsidR="00292B8D" w:rsidRPr="00DD47DF">
        <w:t>který byl v letech 2007 - 2013 zaměřen na budování a rozvoj i</w:t>
      </w:r>
      <w:r w:rsidRPr="00DD47DF">
        <w:t>nfrastruktur</w:t>
      </w:r>
      <w:r w:rsidR="00292B8D" w:rsidRPr="00DD47DF">
        <w:t>y</w:t>
      </w:r>
      <w:r w:rsidRPr="00DD47DF">
        <w:t xml:space="preserve"> pro podnikání</w:t>
      </w:r>
      <w:r w:rsidR="00292B8D" w:rsidRPr="00DD47DF">
        <w:t xml:space="preserve"> a který </w:t>
      </w:r>
      <w:r w:rsidRPr="00DD47DF">
        <w:t>přispěl k částečnému zlepšení nevyhovující podnikatelské infrastruktury</w:t>
      </w:r>
      <w:r w:rsidR="00DD19A9" w:rsidRPr="00DD47DF">
        <w:t>. N</w:t>
      </w:r>
      <w:r w:rsidRPr="00DD47DF">
        <w:t xml:space="preserve">avrhované aktivity SC 2.3 umožní pokračovat v tomto procesu ve prospěch MSP, a to především </w:t>
      </w:r>
      <w:r w:rsidR="007C0A99" w:rsidRPr="00DD47DF">
        <w:t xml:space="preserve">komplexní stavební </w:t>
      </w:r>
      <w:r w:rsidRPr="00DD47DF">
        <w:t xml:space="preserve">rekonstrukcí </w:t>
      </w:r>
      <w:r w:rsidR="00803C8E" w:rsidRPr="00DD47DF">
        <w:t>stávajících objektů</w:t>
      </w:r>
      <w:r w:rsidR="00803C8E" w:rsidRPr="00DD47DF" w:rsidDel="00803C8E">
        <w:t xml:space="preserve"> </w:t>
      </w:r>
      <w:r w:rsidRPr="00DD47DF">
        <w:t>pro rozvoj výrobních činností a služeb s přínosem pro zaměstnanost, ekonomiku a životní prostředí</w:t>
      </w:r>
      <w:r w:rsidR="007C0A99" w:rsidRPr="00DD47DF">
        <w:t>, to vše při povinnosti zajistit jejich maximální energetickou efektivitu</w:t>
      </w:r>
      <w:r w:rsidRPr="00DD47DF">
        <w:t xml:space="preserve">. Zkušenosti z dosavadní realizace programu </w:t>
      </w:r>
      <w:r w:rsidR="00292B8D" w:rsidRPr="00DD47DF">
        <w:t xml:space="preserve">podpory OPPI </w:t>
      </w:r>
      <w:r w:rsidRPr="00DD47DF">
        <w:rPr>
          <w:i/>
        </w:rPr>
        <w:t xml:space="preserve">Nemovitosti </w:t>
      </w:r>
      <w:r w:rsidRPr="00DD47DF">
        <w:t xml:space="preserve">především v nastavení programových podmínek, struktury projektu a příloh, výběrových kritérií, externího hodnocení projektů a administrace </w:t>
      </w:r>
      <w:r w:rsidR="009D1769" w:rsidRPr="00DD47DF">
        <w:t>projektů jsou využívány pro</w:t>
      </w:r>
      <w:r w:rsidRPr="00DD47DF">
        <w:t xml:space="preserve"> přípravu programů </w:t>
      </w:r>
      <w:r w:rsidR="00292B8D" w:rsidRPr="00DD47DF">
        <w:t xml:space="preserve">pro období 2014 – 2020 </w:t>
      </w:r>
      <w:r w:rsidRPr="00DD47DF">
        <w:t>v rámci aktivit SC 2.3.</w:t>
      </w:r>
    </w:p>
    <w:p w14:paraId="3C21A3D5" w14:textId="73488025" w:rsidR="009D1769" w:rsidRDefault="008A41A4" w:rsidP="009D1769">
      <w:pPr>
        <w:pStyle w:val="Standardntext"/>
      </w:pPr>
      <w:r w:rsidRPr="00DD47DF">
        <w:lastRenderedPageBreak/>
        <w:t>Typovým projektem bude modernizace zastaralých, prostorově a technicky nevyhovujících objektů, budov a areálů</w:t>
      </w:r>
      <w:r w:rsidR="00835369" w:rsidRPr="00DD47DF">
        <w:t>,</w:t>
      </w:r>
      <w:r w:rsidR="00803C8E" w:rsidRPr="00DD47DF">
        <w:t xml:space="preserve"> které bude možné znovu využít pro rozvoj výrobních činností a služeb</w:t>
      </w:r>
      <w:r w:rsidR="00781B41" w:rsidRPr="00DD47DF">
        <w:t xml:space="preserve"> MSP</w:t>
      </w:r>
      <w:r w:rsidR="00711B4C" w:rsidRPr="00DD47DF">
        <w:t xml:space="preserve">. </w:t>
      </w:r>
      <w:r w:rsidR="00803C8E" w:rsidRPr="00DD47DF">
        <w:t>Rekonstrukce stávajících objektů není v případě SC 2.3 spojena s pořízením nových technologií.</w:t>
      </w:r>
      <w:r w:rsidRPr="00DD47DF">
        <w:t xml:space="preserve"> </w:t>
      </w:r>
      <w:r w:rsidR="00711B4C" w:rsidRPr="00DD47DF">
        <w:t>Příjemcem podpory v tomto specifickém cíli budou malé a střední podniky a také municipality</w:t>
      </w:r>
      <w:r w:rsidR="006C1F43" w:rsidRPr="00DD47DF">
        <w:t xml:space="preserve">. </w:t>
      </w:r>
      <w:r w:rsidR="005368EE" w:rsidRPr="00DD47DF">
        <w:t xml:space="preserve">Podporovány nebudou </w:t>
      </w:r>
      <w:r w:rsidR="006C1F43" w:rsidRPr="00DD47DF">
        <w:t xml:space="preserve">developerské </w:t>
      </w:r>
      <w:r w:rsidR="00292B8D" w:rsidRPr="00DD47DF">
        <w:t>projekty</w:t>
      </w:r>
      <w:r w:rsidR="006C1F43" w:rsidRPr="00DD47DF">
        <w:t xml:space="preserve">, ani </w:t>
      </w:r>
      <w:r w:rsidR="00E25F1B" w:rsidRPr="00DD47DF">
        <w:t xml:space="preserve">výstavba na „zelené louce“ vyžadující zábor zemědělského půdního fondu. </w:t>
      </w:r>
      <w:r w:rsidR="00231B6C" w:rsidRPr="00DD47DF">
        <w:t xml:space="preserve">Výstupem </w:t>
      </w:r>
      <w:r w:rsidR="006C1F43" w:rsidRPr="00DD47DF">
        <w:t xml:space="preserve">projektů v rámci tohoto specifického cíle </w:t>
      </w:r>
      <w:r w:rsidR="00231B6C" w:rsidRPr="00DD47DF">
        <w:t>bude nově zrekonstruovaná podnikatelská infrastruktura</w:t>
      </w:r>
      <w:r w:rsidR="006C1F43" w:rsidRPr="00DD47DF">
        <w:t xml:space="preserve">, </w:t>
      </w:r>
      <w:r w:rsidR="00A45A2E" w:rsidRPr="00DD47DF">
        <w:t>výsled</w:t>
      </w:r>
      <w:r w:rsidR="008F3B30" w:rsidRPr="00DD47DF">
        <w:t>k</w:t>
      </w:r>
      <w:r w:rsidR="00A45A2E" w:rsidRPr="00DD47DF">
        <w:t>em</w:t>
      </w:r>
      <w:r w:rsidR="008F3B30" w:rsidRPr="00DD47DF">
        <w:t xml:space="preserve"> </w:t>
      </w:r>
      <w:r w:rsidR="006C1F43" w:rsidRPr="00DD47DF">
        <w:t xml:space="preserve">aktivit specifického cíle </w:t>
      </w:r>
      <w:r w:rsidR="00A45A2E" w:rsidRPr="00DD47DF">
        <w:t xml:space="preserve">bude </w:t>
      </w:r>
      <w:r w:rsidR="002171D3" w:rsidRPr="00DD47DF">
        <w:t xml:space="preserve">růst celkové rozlohy </w:t>
      </w:r>
      <w:r w:rsidR="009D1769" w:rsidRPr="00DD47DF">
        <w:t>regenerovaných lokalit</w:t>
      </w:r>
      <w:r w:rsidR="00F86517" w:rsidRPr="00DD47DF">
        <w:t xml:space="preserve"> využitelných pro podnikatelské aktivity</w:t>
      </w:r>
      <w:r w:rsidR="00781B41" w:rsidRPr="00DD47DF">
        <w:t xml:space="preserve"> MSP</w:t>
      </w:r>
      <w:r w:rsidR="009D1769" w:rsidRPr="00DD47DF">
        <w:t>.</w:t>
      </w:r>
    </w:p>
    <w:p w14:paraId="7973AB6E" w14:textId="07D942BA" w:rsidR="00683E91" w:rsidRPr="00DD47DF" w:rsidRDefault="00683E91" w:rsidP="009D1769">
      <w:pPr>
        <w:pStyle w:val="Standardntext"/>
      </w:pPr>
      <w:r w:rsidRPr="00700E39">
        <w:t xml:space="preserve">Typovým projektem v rámci </w:t>
      </w:r>
      <w:r w:rsidRPr="00700E39">
        <w:rPr>
          <w:b/>
        </w:rPr>
        <w:t>režimu regionální podpory zaměřeného na cestovní ruch v podporovaných specifických oblastech</w:t>
      </w:r>
      <w:r w:rsidRPr="00700E39">
        <w:t xml:space="preserve"> bude modernizace zastaralých, prostorově a technicky nevyhovujících objektů, budov a areálů, které bude možné znovu využít pro rozvoj podnikatelských činností a služeb MSP v cestovním ruchu. Rekonstrukce stávajících objektů může být v rámci dobudování multifunkční infrastruktury spojena s pořízením nových technologií do maximální výše 30% způsobilých výdajů. Příjemcem podpory v tomto specifickém cíli budou malé a střední podniky. V rámci tohoto typu projektů </w:t>
      </w:r>
      <w:r w:rsidRPr="00700E39">
        <w:rPr>
          <w:b/>
        </w:rPr>
        <w:t>nebudou podpořeny aktivity směřující k vybudování nebo revitalizaci golfových hřišť a areálů a samostatných veřejných aquaparků či koupališť</w:t>
      </w:r>
      <w:r w:rsidRPr="00700E39">
        <w:t xml:space="preserve">. Podporovány nebudou developerské projekty, ani nová výstavba na „zelené louce“ vyžadující zábor zemědělského půdního fondu. V případě přístaveb a dostaveb </w:t>
      </w:r>
      <w:r w:rsidRPr="00700E39">
        <w:rPr>
          <w:b/>
        </w:rPr>
        <w:t>stávajících objektů,</w:t>
      </w:r>
      <w:r w:rsidRPr="00700E39">
        <w:t xml:space="preserve"> které vyžadují zábor zemědělského půdního fondu, bude podpora poskytnuta jen při vyloučení negativních enviromentálních vlivů a v souladu s udržitelnou výstavbou budov – </w:t>
      </w:r>
      <w:r w:rsidRPr="00700E39">
        <w:rPr>
          <w:b/>
        </w:rPr>
        <w:t>závazek úspěšné certifikace dle BREEAM nebo LEED</w:t>
      </w:r>
      <w:r w:rsidRPr="00700E39">
        <w:t>. Výstupem projektů v rámci tohoto specifického cíle bude nově zrekonstruovaná a vybudovaná podnikatelská multifunkční infrastruktura cestovního ruchu, výsledkem aktivit specifického cíle bude růst celkové rozlohy regenerovaných lokalit využitelných pro podnikatelské aktivity MSP a v tomto typu projektu doprovodně i vytvoření nových pracovních míst.</w:t>
      </w:r>
    </w:p>
    <w:p w14:paraId="7196F279" w14:textId="77777777" w:rsidR="00896EDF" w:rsidRPr="00DD47DF" w:rsidRDefault="00F262C8" w:rsidP="00757916">
      <w:pPr>
        <w:pStyle w:val="Standardntext"/>
      </w:pPr>
      <w:r w:rsidRPr="00DD47DF">
        <w:rPr>
          <w:b/>
        </w:rPr>
        <w:t xml:space="preserve">Hlavní cílová skupina: </w:t>
      </w:r>
      <w:r w:rsidRPr="00DD47DF">
        <w:t xml:space="preserve">Podnikatelské </w:t>
      </w:r>
      <w:r w:rsidR="00835369" w:rsidRPr="00DD47DF">
        <w:t>subjekty (malé a střední podniky)</w:t>
      </w:r>
    </w:p>
    <w:p w14:paraId="46E112D4" w14:textId="020045B9" w:rsidR="00F262C8" w:rsidRPr="00DD47DF" w:rsidRDefault="00F262C8" w:rsidP="00757916">
      <w:pPr>
        <w:pStyle w:val="Standardntext"/>
      </w:pPr>
      <w:r w:rsidRPr="00DD47DF">
        <w:rPr>
          <w:b/>
        </w:rPr>
        <w:t xml:space="preserve">Cílové území: </w:t>
      </w:r>
      <w:r w:rsidR="009E0DDE" w:rsidRPr="00700E39">
        <w:t xml:space="preserve">Území České republiky, mimo území hl. m. Prahy. Z hlediska územní dimenze bude tento specifický cíl zaměřen na urbánní území, kde se předpokládá zapojení do integrovaného nástroje ITI. V rámci </w:t>
      </w:r>
      <w:r w:rsidR="009E0DDE" w:rsidRPr="00700E39">
        <w:rPr>
          <w:b/>
        </w:rPr>
        <w:t>režimu regionální podpory zaměřeného na cestovní ruch v podporovaných specifických oblastech</w:t>
      </w:r>
      <w:r w:rsidR="009E0DDE" w:rsidRPr="00700E39">
        <w:t xml:space="preserve"> jsou tyto oblasti definovány jako malé venkovské obce (do 3.000 obyvatel) s výjimečným potenciálem přírodního subsystému cestovního ruchu (100 a více bodů), který je definován studií – výzkumným úkolem – „Hodnocení potenciálu cestovního ruchu na území ČR“ zpracovanou ÚÚR. Seznam těchto obcí – podporovaných specifických oblastí, a teritoriální vymezení režimu regionální podpory zaměřeného na cestovní ruch jsou uvedeny v Nepovinné příloze č. 6.</w:t>
      </w:r>
    </w:p>
    <w:p w14:paraId="439C270E" w14:textId="77777777" w:rsidR="00F262C8" w:rsidRPr="00DD47DF" w:rsidRDefault="00F262C8" w:rsidP="00757916">
      <w:pPr>
        <w:pStyle w:val="Standardntext"/>
      </w:pPr>
      <w:r w:rsidRPr="00DD47DF">
        <w:rPr>
          <w:b/>
        </w:rPr>
        <w:t xml:space="preserve">Typy příjemců: </w:t>
      </w:r>
      <w:r w:rsidRPr="00DD47DF">
        <w:t>Podnikatelské subjekty (malé a střední podniky)</w:t>
      </w:r>
      <w:r w:rsidR="00B93322" w:rsidRPr="00DD47DF">
        <w:t>, municipality.</w:t>
      </w:r>
    </w:p>
    <w:p w14:paraId="58932E55" w14:textId="77777777" w:rsidR="00A25CBC" w:rsidRPr="00DD47DF" w:rsidRDefault="00A25CBC" w:rsidP="00AC36CB">
      <w:pPr>
        <w:pStyle w:val="kapitola2A0"/>
        <w:numPr>
          <w:ilvl w:val="2"/>
          <w:numId w:val="130"/>
        </w:numPr>
      </w:pPr>
      <w:bookmarkStart w:id="52" w:name="_Toc506885001"/>
      <w:r w:rsidRPr="00DD47DF">
        <w:t>Specifické cíle odpovídající investiční prioritě a očekávané výsledky</w:t>
      </w:r>
      <w:bookmarkEnd w:id="52"/>
    </w:p>
    <w:p w14:paraId="21656273" w14:textId="77777777" w:rsidR="00A25CBC" w:rsidRPr="00DD47DF" w:rsidRDefault="00A25CBC" w:rsidP="00A25CBC">
      <w:pPr>
        <w:pStyle w:val="Modrnadpis"/>
        <w:ind w:left="0" w:firstLine="0"/>
      </w:pPr>
      <w:r w:rsidRPr="00DD47DF">
        <w:t>SPECIFICKÝ CÍL 2.4: Zvýšit kapacitu pro odborné vzdělávání v MSP</w:t>
      </w:r>
    </w:p>
    <w:p w14:paraId="497E9B03" w14:textId="77777777" w:rsidR="00A25CBC" w:rsidRPr="00DD47DF" w:rsidRDefault="00A25CBC" w:rsidP="00A25CBC">
      <w:pPr>
        <w:pStyle w:val="Standardntext"/>
      </w:pPr>
      <w:r w:rsidRPr="00DD47DF">
        <w:t xml:space="preserve">MSP se potýkají s nedostatkem kvalifikované pracovní síly v podnikání, zejména v případě inovačních procesů vyžadujících dostatečnou úroveň odborných znalostí a dovedností. Nezbytným faktorem konkurenceschopnosti MSP je udržet krok s dynamickým technologickým rozvojem, což s sebou přináší nutnost kontinuálního rozvoje lidských zdrojů </w:t>
      </w:r>
      <w:r w:rsidRPr="00DD47DF">
        <w:lastRenderedPageBreak/>
        <w:t>v podnicích, zejména zvyšování odbornosti a kvalifikace zaměstnanců i zaměstnavatelů. Tomu často brání nedostatek kapacit pro odborné vzdělávání v MSP. Specifickým cílem je proto rozvoj nové a lepší využití stávající infrastruktury pro odborné vzdělávání a zvyšování kvalifikace pracovníků v sektoru MSP.</w:t>
      </w:r>
    </w:p>
    <w:p w14:paraId="190D95A3" w14:textId="77777777" w:rsidR="00A25CBC" w:rsidRPr="00DD47DF" w:rsidRDefault="00A25CBC" w:rsidP="00A25CBC">
      <w:pPr>
        <w:pStyle w:val="Modrnadpis"/>
      </w:pPr>
      <w:r w:rsidRPr="00DD47DF">
        <w:t>Výsledky, kterých chce ČR dosáhnout s podporou Unie</w:t>
      </w:r>
    </w:p>
    <w:p w14:paraId="393255FF" w14:textId="77777777" w:rsidR="00A25CBC" w:rsidRPr="00DD47DF" w:rsidRDefault="00A25CBC" w:rsidP="00A25CBC">
      <w:pPr>
        <w:pStyle w:val="Standardntext"/>
        <w:numPr>
          <w:ilvl w:val="0"/>
          <w:numId w:val="56"/>
        </w:numPr>
      </w:pPr>
      <w:r w:rsidRPr="00DD47DF">
        <w:t xml:space="preserve">Odpovídající zajištění materiálních (moderní stroje a další vybavení či lokace využitelné pro zaškolování) kapacit MSP pro zajištění činností souvisejících s odborným </w:t>
      </w:r>
      <w:r w:rsidRPr="00DD47DF">
        <w:rPr>
          <w:color w:val="000000"/>
        </w:rPr>
        <w:t xml:space="preserve">vzděláváním </w:t>
      </w:r>
      <w:r w:rsidR="00954E0C" w:rsidRPr="00DD47DF">
        <w:rPr>
          <w:color w:val="000000"/>
        </w:rPr>
        <w:t xml:space="preserve">a zvyšováním kvalifikace pracovníků MSP.  </w:t>
      </w:r>
    </w:p>
    <w:p w14:paraId="5B19F1ED" w14:textId="77777777" w:rsidR="00A25CBC" w:rsidRPr="00DD47DF" w:rsidRDefault="00A25CBC" w:rsidP="00A25CBC">
      <w:pPr>
        <w:pStyle w:val="Textkomente"/>
        <w:numPr>
          <w:ilvl w:val="0"/>
          <w:numId w:val="76"/>
        </w:numPr>
        <w:rPr>
          <w:rFonts w:ascii="Times New Roman" w:hAnsi="Times New Roman"/>
          <w:sz w:val="24"/>
          <w:szCs w:val="24"/>
        </w:rPr>
      </w:pPr>
      <w:r w:rsidRPr="00DD47DF">
        <w:rPr>
          <w:rFonts w:ascii="Times New Roman" w:hAnsi="Times New Roman"/>
          <w:sz w:val="24"/>
          <w:szCs w:val="24"/>
        </w:rPr>
        <w:t>Zvýšení produktivity práce v sektoru MSP, mj. i v důsledku vyšší odbornosti a kvalifikace zaměstnanců a zaměstnavatelů.</w:t>
      </w:r>
    </w:p>
    <w:p w14:paraId="0D62E638" w14:textId="77777777" w:rsidR="00A25CBC" w:rsidRPr="00DD47DF" w:rsidRDefault="00A25CBC" w:rsidP="00A25CBC">
      <w:pPr>
        <w:pStyle w:val="Textkomente"/>
        <w:numPr>
          <w:ilvl w:val="0"/>
          <w:numId w:val="76"/>
        </w:numPr>
        <w:rPr>
          <w:rFonts w:ascii="Times New Roman" w:hAnsi="Times New Roman"/>
          <w:sz w:val="24"/>
          <w:szCs w:val="24"/>
        </w:rPr>
      </w:pPr>
      <w:r w:rsidRPr="00DD47DF">
        <w:rPr>
          <w:rFonts w:ascii="Times New Roman" w:hAnsi="Times New Roman"/>
          <w:sz w:val="24"/>
          <w:szCs w:val="24"/>
        </w:rPr>
        <w:t xml:space="preserve">Zvýšení podílů osob v produktivním věku účastnících se dalšího </w:t>
      </w:r>
      <w:r w:rsidR="00954E0C" w:rsidRPr="00DD47DF">
        <w:rPr>
          <w:rFonts w:ascii="Times New Roman" w:hAnsi="Times New Roman"/>
          <w:sz w:val="24"/>
          <w:szCs w:val="24"/>
        </w:rPr>
        <w:t xml:space="preserve">odborného </w:t>
      </w:r>
      <w:r w:rsidRPr="00DD47DF">
        <w:rPr>
          <w:rFonts w:ascii="Times New Roman" w:hAnsi="Times New Roman"/>
          <w:sz w:val="24"/>
          <w:szCs w:val="24"/>
        </w:rPr>
        <w:t>vzdělávání</w:t>
      </w:r>
      <w:r w:rsidR="00954E0C" w:rsidRPr="00DD47DF">
        <w:rPr>
          <w:rFonts w:ascii="Times New Roman" w:hAnsi="Times New Roman"/>
          <w:sz w:val="24"/>
          <w:szCs w:val="24"/>
        </w:rPr>
        <w:t xml:space="preserve"> v podnicích.</w:t>
      </w:r>
    </w:p>
    <w:p w14:paraId="2626B302" w14:textId="77777777" w:rsidR="00A25CBC" w:rsidRPr="00DD47DF" w:rsidRDefault="00A25CBC" w:rsidP="00A25CBC">
      <w:pPr>
        <w:pStyle w:val="Standardntext"/>
        <w:numPr>
          <w:ilvl w:val="0"/>
          <w:numId w:val="56"/>
        </w:numPr>
      </w:pPr>
      <w:r w:rsidRPr="00DD47DF">
        <w:t>Zvýšení inovačních aktivit MSP v důsledku lepší dostupnosti kvalifikovaných lidských zdrojů</w:t>
      </w:r>
    </w:p>
    <w:p w14:paraId="35AE2433" w14:textId="77777777" w:rsidR="00A25CBC" w:rsidRPr="00DD47DF" w:rsidRDefault="00A25CBC" w:rsidP="00A25CBC">
      <w:pPr>
        <w:pStyle w:val="Titulek"/>
        <w:keepNext/>
        <w:keepLines/>
        <w:rPr>
          <w:rFonts w:cs="Calibri"/>
        </w:rPr>
      </w:pPr>
      <w:r w:rsidRPr="00DD47DF">
        <w:rPr>
          <w:rFonts w:cs="Calibri"/>
        </w:rPr>
        <w:t xml:space="preserve">Tabulka </w:t>
      </w:r>
      <w:r w:rsidRPr="00DD47DF">
        <w:rPr>
          <w:rFonts w:cs="Calibri"/>
        </w:rPr>
        <w:fldChar w:fldCharType="begin"/>
      </w:r>
      <w:r w:rsidRPr="00DD47DF">
        <w:rPr>
          <w:rFonts w:cs="Calibri"/>
        </w:rPr>
        <w:instrText xml:space="preserve"> SEQ Tabulka \* ARABIC \r3 </w:instrText>
      </w:r>
      <w:r w:rsidRPr="00DD47DF">
        <w:rPr>
          <w:rFonts w:cs="Calibri"/>
        </w:rPr>
        <w:fldChar w:fldCharType="separate"/>
      </w:r>
      <w:r w:rsidR="00117847">
        <w:rPr>
          <w:rFonts w:cs="Calibri"/>
          <w:noProof/>
        </w:rPr>
        <w:t>3</w:t>
      </w:r>
      <w:r w:rsidRPr="00DD47DF">
        <w:rPr>
          <w:rFonts w:cs="Calibri"/>
        </w:rPr>
        <w:fldChar w:fldCharType="end"/>
      </w:r>
      <w:r w:rsidRPr="00DD47DF">
        <w:rPr>
          <w:rFonts w:cs="Calibri"/>
        </w:rPr>
        <w:t>b: 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908"/>
        <w:gridCol w:w="1470"/>
        <w:gridCol w:w="946"/>
        <w:gridCol w:w="1183"/>
        <w:gridCol w:w="885"/>
        <w:gridCol w:w="873"/>
        <w:gridCol w:w="1022"/>
        <w:gridCol w:w="1002"/>
        <w:gridCol w:w="1037"/>
      </w:tblGrid>
      <w:tr w:rsidR="00A25CBC" w:rsidRPr="00DD47DF" w14:paraId="68D227A6" w14:textId="77777777" w:rsidTr="00335A15">
        <w:trPr>
          <w:trHeight w:hRule="exact" w:val="1221"/>
        </w:trPr>
        <w:tc>
          <w:tcPr>
            <w:tcW w:w="48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4AF9583" w14:textId="77777777" w:rsidR="00A25CBC" w:rsidRPr="00DD47DF" w:rsidRDefault="00A25CBC" w:rsidP="00335A15">
            <w:pPr>
              <w:pStyle w:val="Tabulka"/>
              <w:keepNext/>
              <w:keepLines/>
              <w:rPr>
                <w:rFonts w:cs="Calibri"/>
                <w:b/>
                <w:bCs/>
              </w:rPr>
            </w:pPr>
            <w:r w:rsidRPr="00DD47DF">
              <w:rPr>
                <w:rFonts w:cs="Calibri"/>
                <w:b/>
                <w:bCs/>
              </w:rPr>
              <w:t>ID</w:t>
            </w:r>
          </w:p>
        </w:tc>
        <w:tc>
          <w:tcPr>
            <w:tcW w:w="78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F07AC64" w14:textId="77777777" w:rsidR="00A25CBC" w:rsidRPr="00DD47DF" w:rsidRDefault="00A25CBC" w:rsidP="00335A15">
            <w:pPr>
              <w:pStyle w:val="Tabulka"/>
              <w:keepNext/>
              <w:keepLines/>
              <w:rPr>
                <w:rFonts w:cs="Calibri"/>
                <w:b/>
                <w:bCs/>
              </w:rPr>
            </w:pPr>
            <w:r w:rsidRPr="00DD47DF">
              <w:rPr>
                <w:rFonts w:cs="Calibri"/>
                <w:b/>
                <w:bCs/>
              </w:rPr>
              <w:t>Ukazatel</w:t>
            </w:r>
          </w:p>
        </w:tc>
        <w:tc>
          <w:tcPr>
            <w:tcW w:w="50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46D3E16" w14:textId="77777777" w:rsidR="00A25CBC" w:rsidRPr="00DD47DF" w:rsidRDefault="00A25CBC" w:rsidP="00335A15">
            <w:pPr>
              <w:pStyle w:val="Tabulka"/>
              <w:keepNext/>
              <w:keepLines/>
              <w:rPr>
                <w:rFonts w:cs="Calibri"/>
                <w:b/>
                <w:bCs/>
              </w:rPr>
            </w:pPr>
            <w:r w:rsidRPr="00DD47DF">
              <w:rPr>
                <w:rFonts w:cs="Calibri"/>
                <w:b/>
                <w:bCs/>
              </w:rPr>
              <w:t>Měrná</w:t>
            </w:r>
          </w:p>
          <w:p w14:paraId="5DF3AFF3" w14:textId="77777777" w:rsidR="00A25CBC" w:rsidRPr="00DD47DF" w:rsidRDefault="00A25CBC" w:rsidP="00335A15">
            <w:pPr>
              <w:pStyle w:val="Tabulka"/>
              <w:keepNext/>
              <w:keepLines/>
              <w:rPr>
                <w:rFonts w:cs="Calibri"/>
                <w:b/>
                <w:bCs/>
              </w:rPr>
            </w:pPr>
            <w:r w:rsidRPr="00DD47DF">
              <w:rPr>
                <w:rFonts w:cs="Calibri"/>
                <w:b/>
                <w:bCs/>
              </w:rPr>
              <w:t>jednotka</w:t>
            </w:r>
          </w:p>
        </w:tc>
        <w:tc>
          <w:tcPr>
            <w:tcW w:w="63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8B1F4F0" w14:textId="77777777" w:rsidR="00A25CBC" w:rsidRPr="00DD47DF" w:rsidRDefault="00A25CBC" w:rsidP="00335A15">
            <w:pPr>
              <w:pStyle w:val="Tabulka"/>
              <w:keepNext/>
              <w:keepLines/>
              <w:rPr>
                <w:rFonts w:cs="Calibri"/>
                <w:b/>
                <w:bCs/>
              </w:rPr>
            </w:pPr>
            <w:r w:rsidRPr="00DD47DF">
              <w:rPr>
                <w:rFonts w:cs="Calibri"/>
                <w:b/>
                <w:bCs/>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E0E781A" w14:textId="77777777" w:rsidR="00A25CBC" w:rsidRPr="00DD47DF" w:rsidRDefault="00A25CBC" w:rsidP="00335A15">
            <w:pPr>
              <w:pStyle w:val="Tabulka"/>
              <w:keepNext/>
              <w:keepLines/>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C2239E9" w14:textId="77777777" w:rsidR="00A25CBC" w:rsidRPr="00DD47DF" w:rsidRDefault="00A25CBC" w:rsidP="00335A15">
            <w:pPr>
              <w:pStyle w:val="Tabulka"/>
              <w:keepNext/>
              <w:keepLines/>
              <w:rPr>
                <w:rFonts w:cs="Calibri"/>
                <w:b/>
                <w:bCs/>
              </w:rPr>
            </w:pPr>
            <w:r w:rsidRPr="00DD47DF">
              <w:rPr>
                <w:rFonts w:cs="Calibri"/>
                <w:b/>
                <w:bCs/>
              </w:rPr>
              <w:t>Výchozí rok</w:t>
            </w:r>
          </w:p>
        </w:tc>
        <w:tc>
          <w:tcPr>
            <w:tcW w:w="54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8148FE4" w14:textId="77777777" w:rsidR="00A25CBC" w:rsidRPr="00DD47DF" w:rsidRDefault="00A25CBC" w:rsidP="00335A15">
            <w:pPr>
              <w:pStyle w:val="Tabulka"/>
              <w:keepNext/>
              <w:keepLines/>
              <w:rPr>
                <w:rFonts w:cs="Calibri"/>
                <w:b/>
                <w:bCs/>
              </w:rPr>
            </w:pPr>
            <w:r w:rsidRPr="00DD47DF">
              <w:rPr>
                <w:rFonts w:cs="Calibri"/>
                <w:b/>
                <w:bCs/>
              </w:rPr>
              <w:t>Cílová hodnota (2023)</w:t>
            </w:r>
          </w:p>
        </w:tc>
        <w:tc>
          <w:tcPr>
            <w:tcW w:w="53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7E0D50D" w14:textId="77777777" w:rsidR="00A25CBC" w:rsidRPr="00DD47DF" w:rsidRDefault="00A25CBC" w:rsidP="00335A15">
            <w:pPr>
              <w:pStyle w:val="Tabulka"/>
              <w:keepNext/>
              <w:keepLines/>
              <w:rPr>
                <w:rFonts w:cs="Calibri"/>
                <w:b/>
                <w:bCs/>
              </w:rPr>
            </w:pPr>
            <w:r w:rsidRPr="00DD47DF">
              <w:rPr>
                <w:rFonts w:cs="Calibri"/>
                <w:b/>
                <w:bCs/>
              </w:rPr>
              <w:t>Zdroj údajů</w:t>
            </w:r>
          </w:p>
        </w:tc>
        <w:tc>
          <w:tcPr>
            <w:tcW w:w="55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75A288B" w14:textId="77777777" w:rsidR="00A25CBC" w:rsidRPr="00DD47DF" w:rsidRDefault="00A25CBC" w:rsidP="00335A15">
            <w:pPr>
              <w:pStyle w:val="Tabulka"/>
              <w:keepNext/>
              <w:keepLines/>
              <w:rPr>
                <w:rFonts w:cs="Calibri"/>
                <w:b/>
                <w:bCs/>
              </w:rPr>
            </w:pPr>
            <w:r w:rsidRPr="00DD47DF">
              <w:rPr>
                <w:rFonts w:cs="Calibri"/>
                <w:b/>
                <w:bCs/>
              </w:rPr>
              <w:t>Četnost podávání zpráv</w:t>
            </w:r>
          </w:p>
        </w:tc>
      </w:tr>
      <w:tr w:rsidR="00A25CBC" w:rsidRPr="00DD47DF" w:rsidDel="00580FCF" w14:paraId="1E2F10E9" w14:textId="77777777" w:rsidTr="00335A15">
        <w:trPr>
          <w:trHeight w:hRule="exact" w:val="2636"/>
        </w:trPr>
        <w:tc>
          <w:tcPr>
            <w:tcW w:w="487" w:type="pct"/>
            <w:tcBorders>
              <w:top w:val="single" w:sz="4" w:space="0" w:color="000000"/>
              <w:left w:val="single" w:sz="4" w:space="0" w:color="000000"/>
              <w:bottom w:val="single" w:sz="4" w:space="0" w:color="000000"/>
              <w:right w:val="single" w:sz="4" w:space="0" w:color="000000"/>
            </w:tcBorders>
            <w:vAlign w:val="center"/>
          </w:tcPr>
          <w:p w14:paraId="6147EC43" w14:textId="77777777" w:rsidR="00A25CBC" w:rsidRPr="00DD47DF" w:rsidDel="00580FCF" w:rsidRDefault="00A25CBC" w:rsidP="00335A15">
            <w:pPr>
              <w:pStyle w:val="Tabulka"/>
              <w:rPr>
                <w:rFonts w:cs="Calibri"/>
              </w:rPr>
            </w:pPr>
            <w:r w:rsidRPr="00DD47DF">
              <w:rPr>
                <w:rFonts w:cs="Calibri"/>
              </w:rPr>
              <w:t>66810</w:t>
            </w:r>
          </w:p>
        </w:tc>
        <w:tc>
          <w:tcPr>
            <w:tcW w:w="788" w:type="pct"/>
            <w:tcBorders>
              <w:top w:val="single" w:sz="4" w:space="0" w:color="000000"/>
              <w:left w:val="single" w:sz="4" w:space="0" w:color="000000"/>
              <w:bottom w:val="single" w:sz="4" w:space="0" w:color="000000"/>
              <w:right w:val="single" w:sz="4" w:space="0" w:color="000000"/>
            </w:tcBorders>
            <w:vAlign w:val="center"/>
          </w:tcPr>
          <w:p w14:paraId="1F3FA1D4" w14:textId="77777777" w:rsidR="00A25CBC" w:rsidRPr="00DD47DF" w:rsidDel="00580FCF" w:rsidRDefault="00A25CBC" w:rsidP="00335A15">
            <w:pPr>
              <w:pStyle w:val="Tabulka"/>
              <w:rPr>
                <w:rFonts w:cs="Calibri"/>
              </w:rPr>
            </w:pPr>
            <w:r w:rsidRPr="00DD47DF">
              <w:rPr>
                <w:rFonts w:cs="Calibri"/>
              </w:rPr>
              <w:t>Podíl účastníků kurzů dalšího odborného vzdělávání na celkovém počtu zaměstnaných osob u malých podniků</w:t>
            </w:r>
          </w:p>
        </w:tc>
        <w:tc>
          <w:tcPr>
            <w:tcW w:w="507" w:type="pct"/>
            <w:tcBorders>
              <w:top w:val="single" w:sz="4" w:space="0" w:color="000000"/>
              <w:left w:val="single" w:sz="4" w:space="0" w:color="000000"/>
              <w:bottom w:val="single" w:sz="4" w:space="0" w:color="000000"/>
              <w:right w:val="single" w:sz="4" w:space="0" w:color="000000"/>
            </w:tcBorders>
            <w:vAlign w:val="center"/>
          </w:tcPr>
          <w:p w14:paraId="67301389" w14:textId="77777777" w:rsidR="00A25CBC" w:rsidRPr="00DD47DF" w:rsidDel="00580FCF" w:rsidRDefault="00A25CBC" w:rsidP="00335A15">
            <w:pPr>
              <w:pStyle w:val="Tabulka"/>
              <w:rPr>
                <w:rFonts w:cs="Calibri"/>
              </w:rPr>
            </w:pPr>
            <w:r w:rsidRPr="00DD47DF">
              <w:rPr>
                <w:rFonts w:cs="Calibri"/>
              </w:rPr>
              <w:t>%</w:t>
            </w:r>
          </w:p>
        </w:tc>
        <w:tc>
          <w:tcPr>
            <w:tcW w:w="634" w:type="pct"/>
            <w:tcBorders>
              <w:top w:val="single" w:sz="4" w:space="0" w:color="000000"/>
              <w:left w:val="single" w:sz="4" w:space="0" w:color="000000"/>
              <w:bottom w:val="single" w:sz="4" w:space="0" w:color="000000"/>
              <w:right w:val="single" w:sz="4" w:space="0" w:color="000000"/>
            </w:tcBorders>
            <w:vAlign w:val="center"/>
          </w:tcPr>
          <w:p w14:paraId="3A6A6096" w14:textId="77777777" w:rsidR="00A25CBC" w:rsidRPr="00DD47DF" w:rsidDel="00580FCF" w:rsidRDefault="00A25CBC" w:rsidP="00335A15">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1E0830F6" w14:textId="77777777" w:rsidR="00A25CBC" w:rsidRPr="00DD47DF" w:rsidDel="00580FCF" w:rsidRDefault="00A25CBC" w:rsidP="00335A15">
            <w:pPr>
              <w:pStyle w:val="Tabulka"/>
              <w:rPr>
                <w:rFonts w:cs="Calibri"/>
              </w:rPr>
            </w:pPr>
            <w:r w:rsidRPr="00DD47DF">
              <w:rPr>
                <w:rFonts w:cs="Calibri"/>
              </w:rPr>
              <w:t>46,5</w:t>
            </w:r>
          </w:p>
        </w:tc>
        <w:tc>
          <w:tcPr>
            <w:tcW w:w="468" w:type="pct"/>
            <w:tcBorders>
              <w:top w:val="single" w:sz="4" w:space="0" w:color="000000"/>
              <w:left w:val="single" w:sz="4" w:space="0" w:color="000000"/>
              <w:bottom w:val="single" w:sz="4" w:space="0" w:color="000000"/>
              <w:right w:val="single" w:sz="4" w:space="0" w:color="000000"/>
            </w:tcBorders>
            <w:vAlign w:val="center"/>
          </w:tcPr>
          <w:p w14:paraId="3B4B185F" w14:textId="3A0548BD" w:rsidR="00A25CBC" w:rsidRPr="00DD47DF" w:rsidDel="00580FCF" w:rsidRDefault="005742CF" w:rsidP="005742CF">
            <w:pPr>
              <w:pStyle w:val="Tabulka"/>
              <w:rPr>
                <w:rFonts w:cs="Calibri"/>
              </w:rPr>
            </w:pPr>
            <w:r w:rsidRPr="00DD47DF">
              <w:rPr>
                <w:rFonts w:cs="Calibri"/>
              </w:rPr>
              <w:t>201</w:t>
            </w:r>
            <w:r>
              <w:rPr>
                <w:rFonts w:cs="Calibri"/>
              </w:rPr>
              <w:t>0</w:t>
            </w:r>
          </w:p>
        </w:tc>
        <w:tc>
          <w:tcPr>
            <w:tcW w:w="548" w:type="pct"/>
            <w:tcBorders>
              <w:top w:val="single" w:sz="4" w:space="0" w:color="000000"/>
              <w:left w:val="single" w:sz="4" w:space="0" w:color="000000"/>
              <w:bottom w:val="single" w:sz="4" w:space="0" w:color="000000"/>
              <w:right w:val="single" w:sz="4" w:space="0" w:color="000000"/>
            </w:tcBorders>
            <w:vAlign w:val="center"/>
          </w:tcPr>
          <w:p w14:paraId="4AF2C788" w14:textId="77C4558C" w:rsidR="00A25CBC" w:rsidRPr="00DD47DF" w:rsidDel="00580FCF" w:rsidRDefault="00650A04" w:rsidP="00335A15">
            <w:pPr>
              <w:pStyle w:val="Tabulka"/>
              <w:rPr>
                <w:rFonts w:cs="Calibri"/>
              </w:rPr>
            </w:pPr>
            <w:r>
              <w:rPr>
                <w:rFonts w:cs="Calibri"/>
              </w:rPr>
              <w:t>81</w:t>
            </w:r>
          </w:p>
        </w:tc>
        <w:tc>
          <w:tcPr>
            <w:tcW w:w="537" w:type="pct"/>
            <w:tcBorders>
              <w:top w:val="single" w:sz="4" w:space="0" w:color="000000"/>
              <w:left w:val="single" w:sz="4" w:space="0" w:color="000000"/>
              <w:bottom w:val="single" w:sz="4" w:space="0" w:color="000000"/>
              <w:right w:val="single" w:sz="4" w:space="0" w:color="000000"/>
            </w:tcBorders>
            <w:vAlign w:val="center"/>
          </w:tcPr>
          <w:p w14:paraId="5EDD9022" w14:textId="77777777" w:rsidR="00A25CBC" w:rsidRPr="00DD47DF" w:rsidDel="00580FCF" w:rsidRDefault="00A25CBC" w:rsidP="00335A15">
            <w:pPr>
              <w:pStyle w:val="Tabulka"/>
              <w:rPr>
                <w:rFonts w:cs="Calibri"/>
              </w:rPr>
            </w:pPr>
            <w:r w:rsidRPr="00DD47DF">
              <w:rPr>
                <w:rFonts w:cs="Calibri"/>
              </w:rPr>
              <w:t>ČSÚ, Eurostat</w:t>
            </w:r>
          </w:p>
        </w:tc>
        <w:tc>
          <w:tcPr>
            <w:tcW w:w="556" w:type="pct"/>
            <w:tcBorders>
              <w:top w:val="single" w:sz="4" w:space="0" w:color="000000"/>
              <w:left w:val="single" w:sz="4" w:space="0" w:color="000000"/>
              <w:bottom w:val="single" w:sz="4" w:space="0" w:color="000000"/>
              <w:right w:val="single" w:sz="4" w:space="0" w:color="000000"/>
            </w:tcBorders>
            <w:vAlign w:val="center"/>
          </w:tcPr>
          <w:p w14:paraId="74EF5F7C" w14:textId="77777777" w:rsidR="00A25CBC" w:rsidRPr="00DD47DF" w:rsidDel="00580FCF" w:rsidRDefault="00A25CBC" w:rsidP="00335A15">
            <w:pPr>
              <w:pStyle w:val="Tabulka"/>
              <w:rPr>
                <w:rFonts w:cs="Calibri"/>
              </w:rPr>
            </w:pPr>
            <w:r w:rsidRPr="00DD47DF">
              <w:rPr>
                <w:rFonts w:cs="Calibri"/>
              </w:rPr>
              <w:t>5 let</w:t>
            </w:r>
          </w:p>
        </w:tc>
      </w:tr>
      <w:tr w:rsidR="00A25CBC" w:rsidRPr="00DD47DF" w:rsidDel="00580FCF" w14:paraId="388DC751" w14:textId="77777777" w:rsidTr="00335A15">
        <w:trPr>
          <w:trHeight w:hRule="exact" w:val="2972"/>
        </w:trPr>
        <w:tc>
          <w:tcPr>
            <w:tcW w:w="487" w:type="pct"/>
            <w:tcBorders>
              <w:top w:val="single" w:sz="4" w:space="0" w:color="000000"/>
              <w:left w:val="single" w:sz="4" w:space="0" w:color="000000"/>
              <w:bottom w:val="single" w:sz="4" w:space="0" w:color="000000"/>
              <w:right w:val="single" w:sz="4" w:space="0" w:color="000000"/>
            </w:tcBorders>
            <w:vAlign w:val="center"/>
          </w:tcPr>
          <w:p w14:paraId="0EA86DAD" w14:textId="77777777" w:rsidR="00A25CBC" w:rsidRPr="00DD47DF" w:rsidDel="00580FCF" w:rsidRDefault="00A25CBC" w:rsidP="00335A15">
            <w:pPr>
              <w:pStyle w:val="Tabulka"/>
              <w:rPr>
                <w:rFonts w:cs="Calibri"/>
              </w:rPr>
            </w:pPr>
            <w:r w:rsidRPr="00DD47DF">
              <w:rPr>
                <w:rFonts w:cs="Calibri"/>
              </w:rPr>
              <w:t>66820</w:t>
            </w:r>
          </w:p>
        </w:tc>
        <w:tc>
          <w:tcPr>
            <w:tcW w:w="788" w:type="pct"/>
            <w:tcBorders>
              <w:top w:val="single" w:sz="4" w:space="0" w:color="000000"/>
              <w:left w:val="single" w:sz="4" w:space="0" w:color="000000"/>
              <w:bottom w:val="single" w:sz="4" w:space="0" w:color="000000"/>
              <w:right w:val="single" w:sz="4" w:space="0" w:color="000000"/>
            </w:tcBorders>
            <w:vAlign w:val="center"/>
          </w:tcPr>
          <w:p w14:paraId="6E842DB5" w14:textId="77777777" w:rsidR="00A25CBC" w:rsidRPr="00DD47DF" w:rsidDel="00580FCF" w:rsidRDefault="00A25CBC" w:rsidP="00335A15">
            <w:pPr>
              <w:pStyle w:val="Tabulka"/>
              <w:rPr>
                <w:rFonts w:cs="Calibri"/>
              </w:rPr>
            </w:pPr>
            <w:r w:rsidRPr="00DD47DF">
              <w:rPr>
                <w:rFonts w:cs="Calibri"/>
              </w:rPr>
              <w:t>Podíl účastníků kurzů dalšího odborného vzdělávání na celkovém počtu zaměstnaných osob u středních podniků</w:t>
            </w:r>
          </w:p>
        </w:tc>
        <w:tc>
          <w:tcPr>
            <w:tcW w:w="507" w:type="pct"/>
            <w:tcBorders>
              <w:top w:val="single" w:sz="4" w:space="0" w:color="000000"/>
              <w:left w:val="single" w:sz="4" w:space="0" w:color="000000"/>
              <w:bottom w:val="single" w:sz="4" w:space="0" w:color="000000"/>
              <w:right w:val="single" w:sz="4" w:space="0" w:color="000000"/>
            </w:tcBorders>
            <w:vAlign w:val="center"/>
          </w:tcPr>
          <w:p w14:paraId="5FDA6ADE" w14:textId="77777777" w:rsidR="00A25CBC" w:rsidRPr="00DD47DF" w:rsidDel="00580FCF" w:rsidRDefault="00A25CBC" w:rsidP="00335A15">
            <w:pPr>
              <w:pStyle w:val="Tabulka"/>
              <w:rPr>
                <w:rFonts w:cs="Calibri"/>
              </w:rPr>
            </w:pPr>
            <w:r w:rsidRPr="00DD47DF">
              <w:rPr>
                <w:rFonts w:cs="Calibri"/>
              </w:rPr>
              <w:t>%</w:t>
            </w:r>
          </w:p>
        </w:tc>
        <w:tc>
          <w:tcPr>
            <w:tcW w:w="634" w:type="pct"/>
            <w:tcBorders>
              <w:top w:val="single" w:sz="4" w:space="0" w:color="000000"/>
              <w:left w:val="single" w:sz="4" w:space="0" w:color="000000"/>
              <w:bottom w:val="single" w:sz="4" w:space="0" w:color="000000"/>
              <w:right w:val="single" w:sz="4" w:space="0" w:color="000000"/>
            </w:tcBorders>
            <w:vAlign w:val="center"/>
          </w:tcPr>
          <w:p w14:paraId="5942B910" w14:textId="77777777" w:rsidR="00A25CBC" w:rsidRPr="00DD47DF" w:rsidDel="00580FCF" w:rsidRDefault="00A25CBC" w:rsidP="00335A15">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6FC282A9" w14:textId="77777777" w:rsidR="00A25CBC" w:rsidRPr="00DD47DF" w:rsidDel="00580FCF" w:rsidRDefault="00A25CBC" w:rsidP="00335A15">
            <w:pPr>
              <w:pStyle w:val="Tabulka"/>
              <w:rPr>
                <w:rFonts w:cs="Calibri"/>
              </w:rPr>
            </w:pPr>
            <w:r w:rsidRPr="00DD47DF">
              <w:rPr>
                <w:rFonts w:cs="Calibri"/>
              </w:rPr>
              <w:t>60,1</w:t>
            </w:r>
          </w:p>
        </w:tc>
        <w:tc>
          <w:tcPr>
            <w:tcW w:w="468" w:type="pct"/>
            <w:tcBorders>
              <w:top w:val="single" w:sz="4" w:space="0" w:color="000000"/>
              <w:left w:val="single" w:sz="4" w:space="0" w:color="000000"/>
              <w:bottom w:val="single" w:sz="4" w:space="0" w:color="000000"/>
              <w:right w:val="single" w:sz="4" w:space="0" w:color="000000"/>
            </w:tcBorders>
            <w:vAlign w:val="center"/>
          </w:tcPr>
          <w:p w14:paraId="141B8429" w14:textId="64B72FD7" w:rsidR="00A25CBC" w:rsidRPr="00DD47DF" w:rsidDel="00580FCF" w:rsidRDefault="005742CF" w:rsidP="005742CF">
            <w:pPr>
              <w:pStyle w:val="Tabulka"/>
              <w:rPr>
                <w:rFonts w:cs="Calibri"/>
              </w:rPr>
            </w:pPr>
            <w:r w:rsidRPr="00DD47DF">
              <w:rPr>
                <w:rFonts w:cs="Calibri"/>
              </w:rPr>
              <w:t>201</w:t>
            </w:r>
            <w:r>
              <w:rPr>
                <w:rFonts w:cs="Calibri"/>
              </w:rPr>
              <w:t>0</w:t>
            </w:r>
          </w:p>
        </w:tc>
        <w:tc>
          <w:tcPr>
            <w:tcW w:w="548" w:type="pct"/>
            <w:tcBorders>
              <w:top w:val="single" w:sz="4" w:space="0" w:color="000000"/>
              <w:left w:val="single" w:sz="4" w:space="0" w:color="000000"/>
              <w:bottom w:val="single" w:sz="4" w:space="0" w:color="000000"/>
              <w:right w:val="single" w:sz="4" w:space="0" w:color="000000"/>
            </w:tcBorders>
            <w:vAlign w:val="center"/>
          </w:tcPr>
          <w:p w14:paraId="7EA9C89F" w14:textId="62B344F0" w:rsidR="00A25CBC" w:rsidRPr="00DD47DF" w:rsidDel="00580FCF" w:rsidRDefault="00650A04" w:rsidP="00335A15">
            <w:pPr>
              <w:pStyle w:val="Tabulka"/>
              <w:rPr>
                <w:rFonts w:cs="Calibri"/>
              </w:rPr>
            </w:pPr>
            <w:r>
              <w:rPr>
                <w:rFonts w:cs="Calibri"/>
              </w:rPr>
              <w:t>85</w:t>
            </w:r>
          </w:p>
        </w:tc>
        <w:tc>
          <w:tcPr>
            <w:tcW w:w="537" w:type="pct"/>
            <w:tcBorders>
              <w:top w:val="single" w:sz="4" w:space="0" w:color="000000"/>
              <w:left w:val="single" w:sz="4" w:space="0" w:color="000000"/>
              <w:bottom w:val="single" w:sz="4" w:space="0" w:color="000000"/>
              <w:right w:val="single" w:sz="4" w:space="0" w:color="000000"/>
            </w:tcBorders>
            <w:vAlign w:val="center"/>
          </w:tcPr>
          <w:p w14:paraId="528270A6" w14:textId="77777777" w:rsidR="00A25CBC" w:rsidRPr="00DD47DF" w:rsidDel="00580FCF" w:rsidRDefault="00A25CBC" w:rsidP="00335A15">
            <w:pPr>
              <w:pStyle w:val="Tabulka"/>
              <w:rPr>
                <w:rFonts w:cs="Calibri"/>
              </w:rPr>
            </w:pPr>
            <w:r w:rsidRPr="00DD47DF">
              <w:rPr>
                <w:rFonts w:cs="Calibri"/>
              </w:rPr>
              <w:t>ČSÚ, Eurostat</w:t>
            </w:r>
          </w:p>
        </w:tc>
        <w:tc>
          <w:tcPr>
            <w:tcW w:w="556" w:type="pct"/>
            <w:tcBorders>
              <w:top w:val="single" w:sz="4" w:space="0" w:color="000000"/>
              <w:left w:val="single" w:sz="4" w:space="0" w:color="000000"/>
              <w:bottom w:val="single" w:sz="4" w:space="0" w:color="000000"/>
              <w:right w:val="single" w:sz="4" w:space="0" w:color="000000"/>
            </w:tcBorders>
            <w:vAlign w:val="center"/>
          </w:tcPr>
          <w:p w14:paraId="712877EE" w14:textId="77777777" w:rsidR="00A25CBC" w:rsidRPr="00DD47DF" w:rsidDel="00580FCF" w:rsidRDefault="00A25CBC" w:rsidP="00335A15">
            <w:pPr>
              <w:pStyle w:val="Tabulka"/>
              <w:rPr>
                <w:rFonts w:cs="Calibri"/>
              </w:rPr>
            </w:pPr>
            <w:r w:rsidRPr="00DD47DF">
              <w:rPr>
                <w:rFonts w:cs="Calibri"/>
              </w:rPr>
              <w:t>5 let</w:t>
            </w:r>
          </w:p>
        </w:tc>
      </w:tr>
    </w:tbl>
    <w:p w14:paraId="322450F5" w14:textId="77777777" w:rsidR="00A25CBC" w:rsidRPr="00DD47DF" w:rsidRDefault="00A25CBC" w:rsidP="00441D67">
      <w:pPr>
        <w:pStyle w:val="kapitola2A0"/>
        <w:numPr>
          <w:ilvl w:val="2"/>
          <w:numId w:val="131"/>
        </w:numPr>
      </w:pPr>
      <w:bookmarkStart w:id="53" w:name="_Toc506885002"/>
      <w:r w:rsidRPr="00DD47DF">
        <w:lastRenderedPageBreak/>
        <w:t>Opatření, jež má být podpořeno v rámci investiční priority</w:t>
      </w:r>
      <w:bookmarkEnd w:id="53"/>
    </w:p>
    <w:p w14:paraId="36429B60" w14:textId="77777777" w:rsidR="00A25CBC" w:rsidRPr="00DD47DF" w:rsidRDefault="00A25CBC" w:rsidP="00A25CBC">
      <w:pPr>
        <w:pStyle w:val="Nadpis5"/>
        <w:numPr>
          <w:ilvl w:val="4"/>
          <w:numId w:val="132"/>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344F7995" w14:textId="77777777" w:rsidR="00F262C8" w:rsidRPr="00DD47DF" w:rsidRDefault="00F262C8" w:rsidP="00396141">
      <w:pPr>
        <w:pStyle w:val="Modrnadpis"/>
      </w:pPr>
      <w:r w:rsidRPr="00DD47DF">
        <w:t xml:space="preserve">SPECIFICKÝ CÍL </w:t>
      </w:r>
      <w:r w:rsidR="00C71E6F" w:rsidRPr="00DD47DF">
        <w:t>2.</w:t>
      </w:r>
      <w:r w:rsidRPr="00DD47DF">
        <w:t xml:space="preserve">4: </w:t>
      </w:r>
      <w:r w:rsidR="00AC3ECC" w:rsidRPr="00DD47DF">
        <w:t>Zvýšit kapacitu pro odborné vzdělávání v MSP</w:t>
      </w:r>
    </w:p>
    <w:p w14:paraId="67F81C72" w14:textId="77777777" w:rsidR="00F262C8" w:rsidRPr="00DD47DF" w:rsidRDefault="000A2EB4" w:rsidP="00DF4F92">
      <w:pPr>
        <w:pStyle w:val="Standardntext"/>
        <w:rPr>
          <w:b/>
        </w:rPr>
      </w:pPr>
      <w:r w:rsidRPr="00DD47DF">
        <w:rPr>
          <w:b/>
        </w:rPr>
        <w:t>Aktivity pro tento specifický cíl:</w:t>
      </w:r>
    </w:p>
    <w:p w14:paraId="34684105" w14:textId="77777777" w:rsidR="009D1769" w:rsidRPr="00DD47DF" w:rsidRDefault="009D1769" w:rsidP="00D927A2">
      <w:pPr>
        <w:pStyle w:val="Standardntext"/>
        <w:numPr>
          <w:ilvl w:val="0"/>
          <w:numId w:val="49"/>
        </w:numPr>
      </w:pPr>
      <w:r w:rsidRPr="00DD47DF">
        <w:t xml:space="preserve">Zajištění a rozvoj kvalitní infrastruktury pro realizaci, organizaci a řízení odborného vzdělávání </w:t>
      </w:r>
      <w:r w:rsidR="00EF6DE3" w:rsidRPr="00DD47DF">
        <w:t>pracovníků v malých a středních podnicích.</w:t>
      </w:r>
    </w:p>
    <w:p w14:paraId="1E931D1B" w14:textId="77777777" w:rsidR="009D1769" w:rsidRPr="00DD47DF" w:rsidRDefault="00EF6DE3" w:rsidP="00D927A2">
      <w:pPr>
        <w:pStyle w:val="Standardntext"/>
        <w:numPr>
          <w:ilvl w:val="0"/>
          <w:numId w:val="49"/>
        </w:numPr>
      </w:pPr>
      <w:r w:rsidRPr="00DD47DF">
        <w:t xml:space="preserve">Pořízení </w:t>
      </w:r>
      <w:r w:rsidR="009D1769" w:rsidRPr="00DD47DF">
        <w:t>nových zařízení, vybudování/rozšíření školicích středisek, v rámci kterých budou mít zaměstnavatelé</w:t>
      </w:r>
      <w:r w:rsidR="00577711" w:rsidRPr="00DD47DF">
        <w:t>,</w:t>
      </w:r>
      <w:r w:rsidR="009D1769" w:rsidRPr="00DD47DF">
        <w:t xml:space="preserve"> jejich zaměstnanci</w:t>
      </w:r>
      <w:r w:rsidR="00577711" w:rsidRPr="00DD47DF">
        <w:t xml:space="preserve">, </w:t>
      </w:r>
      <w:r w:rsidR="00642E01" w:rsidRPr="00DD47DF">
        <w:t>žáci</w:t>
      </w:r>
      <w:r w:rsidR="00577711" w:rsidRPr="00DD47DF">
        <w:t xml:space="preserve"> a studenti spolupracujících škol možnost</w:t>
      </w:r>
      <w:r w:rsidR="009D1769" w:rsidRPr="00DD47DF">
        <w:t xml:space="preserve"> proškolení a seznámení se s rozvíjejícími se novými technologiemi, odbornostmi</w:t>
      </w:r>
      <w:r w:rsidRPr="00DD47DF">
        <w:t xml:space="preserve"> a </w:t>
      </w:r>
      <w:r w:rsidR="009D1769" w:rsidRPr="00DD47DF">
        <w:t xml:space="preserve">procesy </w:t>
      </w:r>
      <w:r w:rsidRPr="00DD47DF">
        <w:t xml:space="preserve">v daném oboru </w:t>
      </w:r>
      <w:r w:rsidR="009D1769" w:rsidRPr="00DD47DF">
        <w:t>a novou legislativou související s</w:t>
      </w:r>
      <w:r w:rsidR="00781B41" w:rsidRPr="00DD47DF">
        <w:t> </w:t>
      </w:r>
      <w:r w:rsidR="009D1769" w:rsidRPr="00DD47DF">
        <w:t>podnikáním</w:t>
      </w:r>
      <w:r w:rsidR="00781B41" w:rsidRPr="00DD47DF">
        <w:t xml:space="preserve"> i s efektivním marketingem, který je nutnou součástí konkurenceschopnosti</w:t>
      </w:r>
      <w:r w:rsidR="009D1769" w:rsidRPr="00DD47DF">
        <w:t>.</w:t>
      </w:r>
    </w:p>
    <w:p w14:paraId="0CD068CF" w14:textId="77777777" w:rsidR="00896EDF" w:rsidRPr="00DD47DF" w:rsidRDefault="00BE682B" w:rsidP="009D1769">
      <w:pPr>
        <w:pStyle w:val="Standardntext"/>
      </w:pPr>
      <w:r w:rsidRPr="00DD47DF">
        <w:t xml:space="preserve">Aktivity SC 2.4 se zaměřují na zkvalitnění infrastruktury pro rozvoj lidských zdrojů </w:t>
      </w:r>
      <w:r w:rsidR="00EF6DE3" w:rsidRPr="00DD47DF">
        <w:t>v podnicích ve smyslu</w:t>
      </w:r>
      <w:r w:rsidRPr="00DD47DF">
        <w:t xml:space="preserve"> technické</w:t>
      </w:r>
      <w:r w:rsidR="00EF6DE3" w:rsidRPr="00DD47DF">
        <w:t>ho</w:t>
      </w:r>
      <w:r w:rsidRPr="00DD47DF">
        <w:t xml:space="preserve"> odborné</w:t>
      </w:r>
      <w:r w:rsidR="00EF6DE3" w:rsidRPr="00DD47DF">
        <w:t>ho</w:t>
      </w:r>
      <w:r w:rsidRPr="00DD47DF">
        <w:t xml:space="preserve"> vzdělávání</w:t>
      </w:r>
      <w:r w:rsidR="00803C8E" w:rsidRPr="00DD47DF">
        <w:t xml:space="preserve"> zaměstnanců MSP</w:t>
      </w:r>
      <w:r w:rsidR="00803C8E" w:rsidRPr="00DD47DF">
        <w:rPr>
          <w:b/>
        </w:rPr>
        <w:t xml:space="preserve"> </w:t>
      </w:r>
      <w:r w:rsidR="00803C8E" w:rsidRPr="00DD47DF">
        <w:t>a</w:t>
      </w:r>
      <w:r w:rsidRPr="00DD47DF">
        <w:rPr>
          <w:b/>
        </w:rPr>
        <w:t xml:space="preserve"> </w:t>
      </w:r>
      <w:r w:rsidRPr="00DD47DF">
        <w:t>navazují na</w:t>
      </w:r>
      <w:r w:rsidRPr="00DD47DF">
        <w:rPr>
          <w:b/>
        </w:rPr>
        <w:t xml:space="preserve"> </w:t>
      </w:r>
      <w:r w:rsidR="00292B8D" w:rsidRPr="00DD47DF">
        <w:t>program podpory</w:t>
      </w:r>
      <w:r w:rsidR="00292B8D" w:rsidRPr="00DD47DF">
        <w:rPr>
          <w:b/>
        </w:rPr>
        <w:t xml:space="preserve"> </w:t>
      </w:r>
      <w:r w:rsidRPr="00DD47DF">
        <w:t xml:space="preserve">OPPI </w:t>
      </w:r>
      <w:r w:rsidRPr="00DD47DF">
        <w:rPr>
          <w:i/>
        </w:rPr>
        <w:t>Školicí střediska</w:t>
      </w:r>
      <w:r w:rsidRPr="00DD47DF">
        <w:t xml:space="preserve">. Realizace navrhovaných aktivit SC 2.4 umožní další zvýšení </w:t>
      </w:r>
      <w:r w:rsidR="00B07314" w:rsidRPr="00DD47DF">
        <w:t xml:space="preserve">a zkvalitnění </w:t>
      </w:r>
      <w:r w:rsidRPr="00DD47DF">
        <w:t xml:space="preserve">potřebných kapacit pro </w:t>
      </w:r>
      <w:r w:rsidR="00EF6DE3" w:rsidRPr="00DD47DF">
        <w:t xml:space="preserve">odborné </w:t>
      </w:r>
      <w:r w:rsidRPr="00DD47DF">
        <w:t>vzdělávání zaměstnanců</w:t>
      </w:r>
      <w:r w:rsidR="00B07314" w:rsidRPr="00DD47DF">
        <w:t xml:space="preserve"> a</w:t>
      </w:r>
      <w:r w:rsidRPr="00DD47DF">
        <w:t xml:space="preserve"> zaměstnavatelů v sektoru MSP</w:t>
      </w:r>
      <w:r w:rsidR="00577711" w:rsidRPr="00DD47DF">
        <w:t xml:space="preserve"> a – nově oproti praxi z OPPI – také </w:t>
      </w:r>
      <w:r w:rsidR="002464E2" w:rsidRPr="00DD47DF">
        <w:t xml:space="preserve">pro </w:t>
      </w:r>
      <w:r w:rsidR="00D858F6" w:rsidRPr="00DD47DF">
        <w:t xml:space="preserve">odborný výcvik, </w:t>
      </w:r>
      <w:r w:rsidR="002464E2" w:rsidRPr="00DD47DF">
        <w:t xml:space="preserve">odborné praxe a stáže </w:t>
      </w:r>
      <w:r w:rsidR="00642E01" w:rsidRPr="00DD47DF">
        <w:t xml:space="preserve">žáků a </w:t>
      </w:r>
      <w:r w:rsidR="00577711" w:rsidRPr="00DD47DF">
        <w:t>studentů škol, se kterými podpořený MSP naváže spolupráci</w:t>
      </w:r>
      <w:r w:rsidR="00B07314" w:rsidRPr="00DD47DF">
        <w:t>.</w:t>
      </w:r>
      <w:r w:rsidRPr="00DD47DF">
        <w:t xml:space="preserve"> </w:t>
      </w:r>
      <w:r w:rsidR="00B07314" w:rsidRPr="00DD47DF">
        <w:t>Odborné vzdělávání bude souviset zejména s</w:t>
      </w:r>
      <w:r w:rsidR="007E5195" w:rsidRPr="00DD47DF">
        <w:t xml:space="preserve"> pořízením nových technologií, zaváděním inovativních procesů</w:t>
      </w:r>
      <w:r w:rsidR="00B07314" w:rsidRPr="00DD47DF">
        <w:t xml:space="preserve"> a aplikací</w:t>
      </w:r>
      <w:r w:rsidR="007E5195" w:rsidRPr="00DD47DF">
        <w:t xml:space="preserve"> </w:t>
      </w:r>
      <w:r w:rsidR="00B07314" w:rsidRPr="00DD47DF">
        <w:t xml:space="preserve">právních předpisů </w:t>
      </w:r>
      <w:r w:rsidR="007E5195" w:rsidRPr="00DD47DF">
        <w:t xml:space="preserve">z oblasti podnikání. Počítá se </w:t>
      </w:r>
      <w:r w:rsidR="00B07314" w:rsidRPr="00DD47DF">
        <w:t xml:space="preserve">také </w:t>
      </w:r>
      <w:r w:rsidR="007E5195" w:rsidRPr="00DD47DF">
        <w:t>s </w:t>
      </w:r>
      <w:r w:rsidRPr="00DD47DF">
        <w:t>návazným využitím vzdělávacích programů a školení podporovaných z ESF</w:t>
      </w:r>
      <w:r w:rsidR="00E779AA" w:rsidRPr="00DD47DF">
        <w:t xml:space="preserve"> </w:t>
      </w:r>
      <w:r w:rsidR="00B07314" w:rsidRPr="00DD47DF">
        <w:t>v jiných</w:t>
      </w:r>
      <w:r w:rsidR="00E779AA" w:rsidRPr="00DD47DF">
        <w:t xml:space="preserve"> operačních programech (zejména OPZ, OP VVV).</w:t>
      </w:r>
    </w:p>
    <w:p w14:paraId="32517211" w14:textId="77777777" w:rsidR="009D1769" w:rsidRPr="00DD47DF" w:rsidRDefault="00577711" w:rsidP="009D1769">
      <w:pPr>
        <w:pStyle w:val="Standardntext"/>
      </w:pPr>
      <w:r w:rsidRPr="00DD47DF">
        <w:t>Podpo</w:t>
      </w:r>
      <w:r w:rsidR="00B07314" w:rsidRPr="00DD47DF">
        <w:t>rováno</w:t>
      </w:r>
      <w:r w:rsidR="005017B4" w:rsidRPr="00DD47DF">
        <w:t xml:space="preserve"> </w:t>
      </w:r>
      <w:r w:rsidR="00B07314" w:rsidRPr="00DD47DF">
        <w:t xml:space="preserve">bude </w:t>
      </w:r>
      <w:r w:rsidR="00A4574C" w:rsidRPr="00DD47DF">
        <w:t xml:space="preserve">zejména </w:t>
      </w:r>
      <w:r w:rsidR="005017B4" w:rsidRPr="00DD47DF">
        <w:t xml:space="preserve">pořízení nových </w:t>
      </w:r>
      <w:r w:rsidR="00B07314" w:rsidRPr="00DD47DF">
        <w:t xml:space="preserve">nebo </w:t>
      </w:r>
      <w:r w:rsidR="005017B4" w:rsidRPr="00DD47DF">
        <w:t xml:space="preserve">rekonstrukce stávajících školicích center, modernizace </w:t>
      </w:r>
      <w:r w:rsidRPr="00DD47DF">
        <w:t xml:space="preserve">a úprava </w:t>
      </w:r>
      <w:r w:rsidR="005017B4" w:rsidRPr="00DD47DF">
        <w:t xml:space="preserve">prostor pro </w:t>
      </w:r>
      <w:r w:rsidR="00EF6DE3" w:rsidRPr="00DD47DF">
        <w:t xml:space="preserve">odborné </w:t>
      </w:r>
      <w:r w:rsidR="005017B4" w:rsidRPr="00DD47DF">
        <w:t>vzdělávání, pořízení vybavení školicích prostor včetně školicích pomůcek (hardware, sítě, stroje a zařízení), vzdělávacích programů (software, data), práv duševního vlastnictví (nepatentované know-how, operativní nebo patentové licence na know-how, patenty apod.), které jsou nezbytné k zahájení vzdělávací činnosti.</w:t>
      </w:r>
      <w:r w:rsidR="009D1769" w:rsidRPr="00DD47DF">
        <w:t xml:space="preserve"> Výstupem bude modernizovaná infrastruktura zajišťující podmínky pro </w:t>
      </w:r>
      <w:r w:rsidRPr="00DD47DF">
        <w:t xml:space="preserve">kvalitní </w:t>
      </w:r>
      <w:r w:rsidR="00B07314" w:rsidRPr="00DD47DF">
        <w:t xml:space="preserve">odborné </w:t>
      </w:r>
      <w:r w:rsidR="009D1769" w:rsidRPr="00DD47DF">
        <w:t xml:space="preserve">vzdělávání, </w:t>
      </w:r>
      <w:r w:rsidRPr="00DD47DF">
        <w:t>přispívající ke zvýšení inovativnosti a konkurenceschopnosti MSP. V OP PIK nebude podpořena modernizace vzdělávací infrastruktury sloužící k jiným účelům</w:t>
      </w:r>
      <w:r w:rsidR="00B07314" w:rsidRPr="00DD47DF">
        <w:t xml:space="preserve"> než k odbornému vzdělávání</w:t>
      </w:r>
      <w:r w:rsidR="00EF6DE3" w:rsidRPr="00DD47DF">
        <w:t xml:space="preserve"> pracovníků v malých a středních podnicích</w:t>
      </w:r>
      <w:r w:rsidR="00B305DA" w:rsidRPr="00DD47DF">
        <w:t>. Výsledky se promítnou do nárůstu kapacit</w:t>
      </w:r>
      <w:r w:rsidR="009D1769" w:rsidRPr="00DD47DF">
        <w:t xml:space="preserve"> t</w:t>
      </w:r>
      <w:r w:rsidR="00B305DA" w:rsidRPr="00DD47DF">
        <w:t>ěchto</w:t>
      </w:r>
      <w:r w:rsidR="009D1769" w:rsidRPr="00DD47DF">
        <w:t xml:space="preserve"> školicích a vzdělávacích středisek využitelných pro </w:t>
      </w:r>
      <w:r w:rsidR="007E5195" w:rsidRPr="00DD47DF">
        <w:t xml:space="preserve">zaměstnance v sektoru </w:t>
      </w:r>
      <w:r w:rsidR="009D1769" w:rsidRPr="00DD47DF">
        <w:t>MSP</w:t>
      </w:r>
      <w:r w:rsidRPr="00DD47DF">
        <w:t xml:space="preserve"> </w:t>
      </w:r>
      <w:r w:rsidR="00642E01" w:rsidRPr="00DD47DF">
        <w:t xml:space="preserve">a </w:t>
      </w:r>
      <w:r w:rsidR="002464E2" w:rsidRPr="00DD47DF">
        <w:t xml:space="preserve">také pro </w:t>
      </w:r>
      <w:r w:rsidR="00D858F6" w:rsidRPr="00DD47DF">
        <w:t xml:space="preserve">odborný výcvik, </w:t>
      </w:r>
      <w:r w:rsidR="002464E2" w:rsidRPr="00DD47DF">
        <w:t>odborné praxe a stáže studentů a žáků</w:t>
      </w:r>
      <w:r w:rsidR="009D1769" w:rsidRPr="00DD47DF">
        <w:t>.</w:t>
      </w:r>
      <w:r w:rsidR="007E5195" w:rsidRPr="00DD47DF">
        <w:t xml:space="preserve"> </w:t>
      </w:r>
    </w:p>
    <w:p w14:paraId="7991B7BC" w14:textId="77777777" w:rsidR="004963B9" w:rsidRPr="00DD47DF" w:rsidRDefault="004963B9" w:rsidP="004963B9">
      <w:pPr>
        <w:pStyle w:val="Standardntext"/>
      </w:pPr>
      <w:r w:rsidRPr="00DD47DF">
        <w:t xml:space="preserve">V souladu s článkem 98 (2) nařízení č. 1303/2013 bude v rámci tohoto specifického cíle umožněno na úrovni </w:t>
      </w:r>
      <w:r w:rsidR="00294529" w:rsidRPr="00DD47DF">
        <w:t xml:space="preserve">programu a </w:t>
      </w:r>
      <w:r w:rsidRPr="00DD47DF">
        <w:t>výzev pro předkládání projektů využít tzv. křížové financování</w:t>
      </w:r>
      <w:r w:rsidRPr="00DD47DF">
        <w:rPr>
          <w:rStyle w:val="Znakapoznpodarou"/>
        </w:rPr>
        <w:footnoteReference w:id="55"/>
      </w:r>
      <w:r w:rsidRPr="00DD47DF">
        <w:t>.</w:t>
      </w:r>
      <w:r w:rsidR="00BA4E72" w:rsidRPr="00DD47DF">
        <w:t xml:space="preserve"> </w:t>
      </w:r>
    </w:p>
    <w:p w14:paraId="6642A506" w14:textId="77777777" w:rsidR="004963B9" w:rsidRPr="00DD47DF" w:rsidRDefault="004963B9" w:rsidP="004963B9">
      <w:pPr>
        <w:pStyle w:val="Standardntext"/>
      </w:pPr>
      <w:r w:rsidRPr="00DD47DF">
        <w:lastRenderedPageBreak/>
        <w:t>S ohledem na administrativní zjednodušení pro příjemce bude v projektech zaměřených na rozvoj školicích středisek umožněno doplňkové křížové financování pro podporu aktivit, které svým zaměřením spadají již do ESF, avšak bezprostředně souvisejí s</w:t>
      </w:r>
      <w:r w:rsidR="00294529" w:rsidRPr="00DD47DF">
        <w:t xml:space="preserve"> projektem </w:t>
      </w:r>
      <w:r w:rsidRPr="00DD47DF">
        <w:t xml:space="preserve">školicího střediska </w:t>
      </w:r>
      <w:r w:rsidR="00294529" w:rsidRPr="00DD47DF">
        <w:t xml:space="preserve">podporovaného </w:t>
      </w:r>
      <w:r w:rsidRPr="00DD47DF">
        <w:t xml:space="preserve">z prostředků ERDF. </w:t>
      </w:r>
      <w:r w:rsidR="00294529" w:rsidRPr="00DD47DF">
        <w:t>P</w:t>
      </w:r>
      <w:r w:rsidRPr="00DD47DF">
        <w:t xml:space="preserve">říjemcům </w:t>
      </w:r>
      <w:r w:rsidR="00294529" w:rsidRPr="00DD47DF">
        <w:t xml:space="preserve">tím bude </w:t>
      </w:r>
      <w:r w:rsidRPr="00DD47DF">
        <w:t xml:space="preserve">umožněno zahrnout aktivity ERDF i ESF související s rozvojem školicího střediska </w:t>
      </w:r>
      <w:r w:rsidR="00B07314" w:rsidRPr="00DD47DF">
        <w:t xml:space="preserve">a jeho činnosti </w:t>
      </w:r>
      <w:r w:rsidRPr="00DD47DF">
        <w:t xml:space="preserve">do jednoho projektu. Pro monitorování výše prostředků vynaložených na křížové financování bude využit informační systém MS2014+. Řídicí orgán bude sledovat a evidovat používání křížového financování tak, aby výdaje do něj zahrnuté bylo možno </w:t>
      </w:r>
      <w:r w:rsidR="00294529" w:rsidRPr="00DD47DF">
        <w:t xml:space="preserve">přesně </w:t>
      </w:r>
      <w:r w:rsidRPr="00DD47DF">
        <w:t>identifikovat</w:t>
      </w:r>
      <w:r w:rsidR="00294529" w:rsidRPr="00DD47DF">
        <w:t xml:space="preserve"> a aby jejich výše nepřekročila 10 % prostředků na prioritní osu.</w:t>
      </w:r>
    </w:p>
    <w:p w14:paraId="25C1CF97" w14:textId="77777777" w:rsidR="00896EDF" w:rsidRPr="00DD47DF" w:rsidRDefault="00F262C8" w:rsidP="00015039">
      <w:pPr>
        <w:pStyle w:val="Standardntext"/>
      </w:pPr>
      <w:r w:rsidRPr="00DD47DF">
        <w:rPr>
          <w:b/>
        </w:rPr>
        <w:t xml:space="preserve">Hlavní cílová skupina: </w:t>
      </w:r>
      <w:r w:rsidRPr="00DD47DF">
        <w:t>Podnikatelské s</w:t>
      </w:r>
      <w:r w:rsidR="00622C4A" w:rsidRPr="00DD47DF">
        <w:t>ubjekty (malé a střední podniky).</w:t>
      </w:r>
    </w:p>
    <w:p w14:paraId="1745A9BA" w14:textId="13B95D67" w:rsidR="00015039" w:rsidRPr="00DD47DF" w:rsidRDefault="00F262C8" w:rsidP="00015039">
      <w:pPr>
        <w:pStyle w:val="Standardntext"/>
      </w:pPr>
      <w:r w:rsidRPr="00DD47DF">
        <w:rPr>
          <w:b/>
        </w:rPr>
        <w:t xml:space="preserve">Cílové území: </w:t>
      </w:r>
      <w:r w:rsidRPr="00DD47DF">
        <w:t>Území České republiky, mimo území hl. m. Prahy.</w:t>
      </w:r>
      <w:r w:rsidR="00015039" w:rsidRPr="00DD47DF">
        <w:t xml:space="preserve"> Z hlediska územní dimenze </w:t>
      </w:r>
      <w:r w:rsidR="00A46CD6" w:rsidRPr="00DD47DF">
        <w:t>bude tento specifický cíl zaměřen na urbánní území, kde se předpokládá zapojení do int</w:t>
      </w:r>
      <w:r w:rsidR="00622C4A" w:rsidRPr="00DD47DF">
        <w:t>egrovaného nástroje ITI</w:t>
      </w:r>
      <w:r w:rsidR="00015039" w:rsidRPr="00DD47DF">
        <w:t>.</w:t>
      </w:r>
    </w:p>
    <w:p w14:paraId="668CFE30" w14:textId="77777777" w:rsidR="00505F15" w:rsidRPr="00DD47DF" w:rsidRDefault="00505F15" w:rsidP="00757916">
      <w:pPr>
        <w:pStyle w:val="Standardntext"/>
      </w:pPr>
      <w:r w:rsidRPr="00DD47DF">
        <w:rPr>
          <w:b/>
        </w:rPr>
        <w:t xml:space="preserve">Typy příjemců: </w:t>
      </w:r>
      <w:r w:rsidRPr="00DD47DF">
        <w:t>Podnikatelské subjekty (malé a střední podniky).</w:t>
      </w:r>
    </w:p>
    <w:p w14:paraId="4A006B6D" w14:textId="77777777" w:rsidR="00F262C8" w:rsidRPr="00DD47DF" w:rsidRDefault="00BA6461" w:rsidP="00A25CBC">
      <w:pPr>
        <w:pStyle w:val="Nadpis5"/>
        <w:numPr>
          <w:ilvl w:val="4"/>
          <w:numId w:val="132"/>
        </w:numPr>
      </w:pPr>
      <w:r w:rsidRPr="00DD47DF">
        <w:t>Hlavní zásady pro výběr operací</w:t>
      </w:r>
    </w:p>
    <w:p w14:paraId="0D261555" w14:textId="77777777" w:rsidR="004E1B49" w:rsidRPr="00DD47DF" w:rsidRDefault="00FE3385" w:rsidP="0017524E">
      <w:pPr>
        <w:pStyle w:val="Standardntext"/>
      </w:pPr>
      <w:r w:rsidRPr="00DD47DF">
        <w:t>Společné obecné zásady pro výběr operací pro všechny investiční priority celého OP PIK jsou uvedeny v prioritní ose 1 v oddíle 2.A.6.2.</w:t>
      </w:r>
    </w:p>
    <w:p w14:paraId="090D2477" w14:textId="77777777" w:rsidR="00A438A6" w:rsidRPr="00DD47DF" w:rsidRDefault="00A438A6" w:rsidP="00A438A6">
      <w:pPr>
        <w:pStyle w:val="Standardntext"/>
      </w:pPr>
      <w:r w:rsidRPr="00DD47DF">
        <w:t xml:space="preserve">V rámci výběru a hodnocení projektů budou </w:t>
      </w:r>
      <w:r w:rsidR="00847B05" w:rsidRPr="00DD47DF">
        <w:t xml:space="preserve">v této investiční prioritě </w:t>
      </w:r>
      <w:r w:rsidRPr="00DD47DF">
        <w:t>posuzována především následující kritéria:</w:t>
      </w:r>
    </w:p>
    <w:p w14:paraId="583CA0C0" w14:textId="77777777" w:rsidR="00A438A6" w:rsidRPr="00DD47DF" w:rsidRDefault="00A438A6" w:rsidP="00D927A2">
      <w:pPr>
        <w:pStyle w:val="Standardntext"/>
        <w:numPr>
          <w:ilvl w:val="0"/>
          <w:numId w:val="43"/>
        </w:numPr>
      </w:pPr>
      <w:r w:rsidRPr="00DD47DF">
        <w:t xml:space="preserve">Kvalita a potřebnost projektu s ohledem na </w:t>
      </w:r>
      <w:r w:rsidR="004E1B49" w:rsidRPr="00DD47DF">
        <w:t>ekologické a sociální aspekty v případě projektů zaměřených na zvýšení využitelnosti stávající infrastruktury pro podnikání</w:t>
      </w:r>
      <w:r w:rsidRPr="00DD47DF">
        <w:t>.</w:t>
      </w:r>
      <w:r w:rsidR="004E1B49" w:rsidRPr="00DD47DF">
        <w:t xml:space="preserve"> U projektů zaměřených na zkvalitnění infrastruktury pro </w:t>
      </w:r>
      <w:r w:rsidR="00EF6DE3" w:rsidRPr="00DD47DF">
        <w:t>odborné vzdělávání pracovníků v malých a středních podnicích</w:t>
      </w:r>
      <w:r w:rsidR="004E1B49" w:rsidRPr="00DD47DF">
        <w:t xml:space="preserve"> bude hodnocena zejména využitelnost těchto vzdělávacích zařízení pro </w:t>
      </w:r>
      <w:r w:rsidR="00EF6DE3" w:rsidRPr="00DD47DF">
        <w:t>další odborné vzdělávání</w:t>
      </w:r>
      <w:r w:rsidR="004E1B49" w:rsidRPr="00DD47DF">
        <w:rPr>
          <w:color w:val="000000"/>
        </w:rPr>
        <w:t xml:space="preserve"> zaměstnanců i zaměstnavatelů, </w:t>
      </w:r>
      <w:r w:rsidR="004E1B49" w:rsidRPr="00DD47DF">
        <w:t>rozvoj znalostí a dovedností v oblasti odborného vzdělávání.</w:t>
      </w:r>
    </w:p>
    <w:p w14:paraId="28EFD672" w14:textId="77777777" w:rsidR="00A438A6" w:rsidRPr="00DD47DF" w:rsidRDefault="00A438A6" w:rsidP="00D927A2">
      <w:pPr>
        <w:pStyle w:val="Standardntext"/>
        <w:numPr>
          <w:ilvl w:val="0"/>
          <w:numId w:val="43"/>
        </w:numPr>
      </w:pPr>
      <w:r w:rsidRPr="00DD47DF">
        <w:t>Soulad projektu s</w:t>
      </w:r>
      <w:r w:rsidR="00BA4E72" w:rsidRPr="00DD47DF">
        <w:t xml:space="preserve"> </w:t>
      </w:r>
      <w:r w:rsidRPr="00DD47DF">
        <w:t xml:space="preserve">územní dimenzí a uplatněním integrovaných </w:t>
      </w:r>
      <w:r w:rsidR="009D1769" w:rsidRPr="00DD47DF">
        <w:t>nástrojů</w:t>
      </w:r>
      <w:r w:rsidRPr="00DD47DF">
        <w:t xml:space="preserve"> (ITI) v rámci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w:t>
      </w:r>
    </w:p>
    <w:p w14:paraId="14028E16" w14:textId="77777777" w:rsidR="00C6139B" w:rsidRDefault="00C6139B" w:rsidP="00D927A2">
      <w:pPr>
        <w:pStyle w:val="Standardntext"/>
        <w:numPr>
          <w:ilvl w:val="0"/>
          <w:numId w:val="43"/>
        </w:numPr>
      </w:pPr>
      <w:r w:rsidRPr="00DD47DF">
        <w:t>Vliv projektů SC</w:t>
      </w:r>
      <w:r w:rsidR="00D74EA3" w:rsidRPr="00DD47DF">
        <w:t xml:space="preserve"> </w:t>
      </w:r>
      <w:r w:rsidR="00A61EA1" w:rsidRPr="00DD47DF">
        <w:t xml:space="preserve">2.3 na oblast půdy </w:t>
      </w:r>
      <w:r w:rsidRPr="00DD47DF">
        <w:t xml:space="preserve">bude </w:t>
      </w:r>
      <w:r w:rsidR="00A61EA1" w:rsidRPr="00DD47DF">
        <w:t>na projektové úrovni</w:t>
      </w:r>
      <w:r w:rsidR="00642E01" w:rsidRPr="00DD47DF">
        <w:t xml:space="preserve"> </w:t>
      </w:r>
      <w:r w:rsidR="00A61EA1" w:rsidRPr="00DD47DF">
        <w:t>sledován</w:t>
      </w:r>
      <w:r w:rsidRPr="00DD47DF">
        <w:t xml:space="preserve"> prostřednictvím indikátoru „</w:t>
      </w:r>
      <w:r w:rsidR="001F6899" w:rsidRPr="00DD47DF">
        <w:t>Rozšířené, zrekonstruované nebo nově vybudované kapacity bez záboru zemědělského půdního fondu</w:t>
      </w:r>
      <w:r w:rsidRPr="00DD47DF">
        <w:t>“</w:t>
      </w:r>
      <w:r w:rsidR="00C306CB" w:rsidRPr="00DD47DF">
        <w:t xml:space="preserve"> (4 66 01)</w:t>
      </w:r>
      <w:r w:rsidR="001F6899" w:rsidRPr="00DD47DF">
        <w:t>. Tento</w:t>
      </w:r>
      <w:r w:rsidRPr="00DD47DF">
        <w:t xml:space="preserve"> environmentální </w:t>
      </w:r>
      <w:r w:rsidR="001F6899" w:rsidRPr="00DD47DF">
        <w:t>indikátor bude dále agregován</w:t>
      </w:r>
      <w:r w:rsidRPr="00DD47DF">
        <w:t xml:space="preserve"> pro potřeby Dohody o partnerství.</w:t>
      </w:r>
    </w:p>
    <w:p w14:paraId="608B9765" w14:textId="257D6825" w:rsidR="00545BCC" w:rsidRPr="00DD47DF" w:rsidRDefault="00545BCC" w:rsidP="00545BCC">
      <w:pPr>
        <w:pStyle w:val="Standardntext"/>
        <w:numPr>
          <w:ilvl w:val="0"/>
          <w:numId w:val="43"/>
        </w:numPr>
      </w:pPr>
      <w:r w:rsidRPr="00545BCC">
        <w:t>V případě, že příjemcem podpory ve SC 2.3 bude municipalita, musí být v projektu jednoznačně prokázáno, že zrekonstruovaný objekt/brownfield bude využit/pronajímán malým a středním podnikům minimálně na dobu 10 let, které budou v daném objektu / na daném brownfieldu realizovat své podnikatelské záměry, a bude tak splněna podmínka modernizace objektu/brownfieldu pro následné ekonomické využití.</w:t>
      </w:r>
    </w:p>
    <w:p w14:paraId="41119E16" w14:textId="77777777" w:rsidR="009004A9" w:rsidRPr="00DD47DF" w:rsidRDefault="009004A9" w:rsidP="00D927A2">
      <w:pPr>
        <w:pStyle w:val="Standardntext"/>
        <w:numPr>
          <w:ilvl w:val="0"/>
          <w:numId w:val="43"/>
        </w:numPr>
      </w:pPr>
      <w:r w:rsidRPr="00DD47DF">
        <w:t>Komplexnost opatření formou doložení znaleckého posudku ceny objektu, který je předmětem daného projektu</w:t>
      </w:r>
      <w:r w:rsidR="0017344D" w:rsidRPr="00DD47DF">
        <w:t xml:space="preserve"> v SC 2.3 (blíže viz oddíl 8).</w:t>
      </w:r>
    </w:p>
    <w:p w14:paraId="5BEA7F64" w14:textId="77777777" w:rsidR="00320279" w:rsidRDefault="00320279" w:rsidP="00D927A2">
      <w:pPr>
        <w:pStyle w:val="Standardntext"/>
        <w:numPr>
          <w:ilvl w:val="0"/>
          <w:numId w:val="43"/>
        </w:numPr>
      </w:pPr>
      <w:r w:rsidRPr="00DD47DF">
        <w:t>Povinnost předložit energetický audit, nebo  studii deklarující snížení energetické náročnosti rekonstruovaného objektu</w:t>
      </w:r>
      <w:r w:rsidR="00D74EA3" w:rsidRPr="00DD47DF">
        <w:t xml:space="preserve"> v případě projektů </w:t>
      </w:r>
      <w:r w:rsidR="0017344D" w:rsidRPr="00DD47DF">
        <w:t>v</w:t>
      </w:r>
      <w:r w:rsidR="00577711" w:rsidRPr="00DD47DF">
        <w:t xml:space="preserve"> </w:t>
      </w:r>
      <w:r w:rsidR="00D74EA3" w:rsidRPr="00DD47DF">
        <w:t>SC 2.3</w:t>
      </w:r>
      <w:r w:rsidRPr="00DD47DF">
        <w:t>. Úroveň vykazovaných a požadovaných hodnot (stupeň energetické náročnosti) bude stanovena v rámci výběru dané operace.</w:t>
      </w:r>
    </w:p>
    <w:p w14:paraId="78A9EDFA" w14:textId="747EE175" w:rsidR="003E3110" w:rsidRDefault="003E3110" w:rsidP="00D927A2">
      <w:pPr>
        <w:pStyle w:val="Standardntext"/>
        <w:numPr>
          <w:ilvl w:val="0"/>
          <w:numId w:val="43"/>
        </w:numPr>
      </w:pPr>
      <w:r w:rsidRPr="00700E39">
        <w:lastRenderedPageBreak/>
        <w:t>V rámci projektů podpory cestovního ruchu nebudou podpořeny aktivity směřující k vybudování nebo revitalizaci golfových hřišť a areálů a samostatných veřejně přístupných aquaparků či koupališť.</w:t>
      </w:r>
    </w:p>
    <w:p w14:paraId="170AB19C" w14:textId="104C59F5" w:rsidR="003E3110" w:rsidRDefault="003E3110" w:rsidP="00D927A2">
      <w:pPr>
        <w:pStyle w:val="Standardntext"/>
        <w:numPr>
          <w:ilvl w:val="0"/>
          <w:numId w:val="43"/>
        </w:numPr>
      </w:pPr>
      <w:r w:rsidRPr="00700E39">
        <w:t>S ohledem na hlavní ukazatel – tvorba nových pracovních míst – budou při výběru zvýhodněny projekty vytvářející vyšší počty nových přímých celoročních přepočtených úvazků, tj. projekty vytvářející rozvojové póly lokalit.</w:t>
      </w:r>
    </w:p>
    <w:p w14:paraId="339750AB" w14:textId="4EFE7AF9" w:rsidR="00437534" w:rsidRPr="00DD47DF" w:rsidRDefault="00437534" w:rsidP="00D927A2">
      <w:pPr>
        <w:pStyle w:val="Standardntext"/>
        <w:numPr>
          <w:ilvl w:val="0"/>
          <w:numId w:val="43"/>
        </w:numPr>
      </w:pPr>
      <w:r w:rsidRPr="00700E39">
        <w:t>Podporovány nebudou developerské projekty, ani nová výstavba na „zelené louce“ vyžadující zábor zemědělského půdního fondu. V případě přístaveb a dostaveb stávajících objektů, které vyžadují zábor zemědělského půdního fondu, bude podpora poskytnuta jen při vyloučení negativních enviromentálních vlivů a v souladu s udržitelnou výstavbou budov formou doložení úspěšné certifikace procesu dle BREEAM nebo LEED v průběhu územního řízení a stavebního povolení a následně závazek realizace a úspěšné certifikace při realizaci kolaudaci staveb.</w:t>
      </w:r>
    </w:p>
    <w:p w14:paraId="4E261185" w14:textId="77777777" w:rsidR="00320279" w:rsidRDefault="00320279" w:rsidP="00D927A2">
      <w:pPr>
        <w:pStyle w:val="Standardntext"/>
        <w:numPr>
          <w:ilvl w:val="0"/>
          <w:numId w:val="43"/>
        </w:numPr>
      </w:pPr>
      <w:r w:rsidRPr="00DD47DF">
        <w:t>Při výběru budou</w:t>
      </w:r>
      <w:r w:rsidR="00D74EA3" w:rsidRPr="00DD47DF">
        <w:t xml:space="preserve"> v SC 2.4</w:t>
      </w:r>
      <w:r w:rsidRPr="00DD47DF">
        <w:t xml:space="preserve"> zvýhodněny projekty, jejichž součástí bude smlouva se </w:t>
      </w:r>
      <w:r w:rsidR="00642E01" w:rsidRPr="00DD47DF">
        <w:t>školou</w:t>
      </w:r>
      <w:r w:rsidRPr="00DD47DF">
        <w:t xml:space="preserve"> o možnosti využití školicího střediska i pro </w:t>
      </w:r>
      <w:r w:rsidR="00733A8A" w:rsidRPr="00DD47DF">
        <w:t xml:space="preserve">odborný výcvik, </w:t>
      </w:r>
      <w:r w:rsidRPr="00DD47DF">
        <w:t xml:space="preserve">odborné </w:t>
      </w:r>
      <w:r w:rsidR="002464E2" w:rsidRPr="00DD47DF">
        <w:t>praxe a stáže</w:t>
      </w:r>
      <w:r w:rsidRPr="00DD47DF">
        <w:t xml:space="preserve"> žáků a studentů.</w:t>
      </w:r>
    </w:p>
    <w:p w14:paraId="45002177" w14:textId="47FCC243" w:rsidR="003E2410" w:rsidRPr="00DD47DF" w:rsidRDefault="003E2410" w:rsidP="00D927A2">
      <w:pPr>
        <w:pStyle w:val="Standardntext"/>
        <w:numPr>
          <w:ilvl w:val="0"/>
          <w:numId w:val="43"/>
        </w:numPr>
      </w:pPr>
      <w:r w:rsidRPr="003E2410">
        <w:t>V případě podpory formou finančních nástrojů bude výběr operací a příjemců proveden ŘO podle výběrových kritérií schválených MV OP PIK, v souladu s výsledky předběžného posouzení FN. Výběr konečných příjemců bude provádět správce finančního nástroje.</w:t>
      </w:r>
    </w:p>
    <w:p w14:paraId="257AEE44" w14:textId="77777777" w:rsidR="00A438A6" w:rsidRPr="00DD47DF" w:rsidRDefault="00A438A6"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78135D19" w14:textId="77777777" w:rsidR="009004A9" w:rsidRPr="00DD47DF" w:rsidRDefault="009004A9"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19E78357" w14:textId="77777777" w:rsidR="00F262C8" w:rsidRPr="00DD47DF" w:rsidRDefault="00BA6461" w:rsidP="00A25CBC">
      <w:pPr>
        <w:pStyle w:val="Nadpis5"/>
        <w:numPr>
          <w:ilvl w:val="4"/>
          <w:numId w:val="132"/>
        </w:numPr>
        <w:rPr>
          <w:rFonts w:cs="Calibri"/>
        </w:rPr>
      </w:pPr>
      <w:r w:rsidRPr="00DD47DF">
        <w:t>Plánované využití finančních nástrojů (použije-li se)</w:t>
      </w:r>
    </w:p>
    <w:p w14:paraId="61A672CD" w14:textId="70F67C4A" w:rsidR="00F262C8" w:rsidRPr="00DD47DF" w:rsidRDefault="00CB0BAE" w:rsidP="00A46BFD">
      <w:pPr>
        <w:pStyle w:val="Standardntext"/>
      </w:pPr>
      <w:r w:rsidRPr="00700E39">
        <w:rPr>
          <w:lang w:val="x-none" w:eastAsia="x-none"/>
        </w:rPr>
        <w:t>Při provádění této investiční priority</w:t>
      </w:r>
      <w:r w:rsidRPr="00700E39">
        <w:rPr>
          <w:lang w:eastAsia="x-none"/>
        </w:rPr>
        <w:t xml:space="preserve"> v rámci specifického cíle 2.3</w:t>
      </w:r>
      <w:r w:rsidRPr="00700E39">
        <w:rPr>
          <w:lang w:val="x-none" w:eastAsia="x-none"/>
        </w:rPr>
        <w:t xml:space="preserve"> budou koneční příjemci podpořeni finančními nástroji. Detaily stanoví Řídící orgán OP PIK na základě předběžného posouzení finančních nástrojů OP PIK dle čl. 37 odst. 2 obecného nařízení, případně jeho revize podle čl. 37 odst. 2 písm. g) obecného nařízení. Předběžné posouzení finančních nástrojů musí být dokončeno dříve, než řídicí orgán rozhodne, že finanční nástroj obdrží příspěvek z programu.</w:t>
      </w:r>
      <w:r w:rsidRPr="00700E39">
        <w:rPr>
          <w:lang w:eastAsia="x-none"/>
        </w:rPr>
        <w:t xml:space="preserve"> V případě specifického cíle 2.4 bude nástrojem podpory dotace.</w:t>
      </w:r>
    </w:p>
    <w:p w14:paraId="498F0647" w14:textId="77777777" w:rsidR="00F262C8" w:rsidRPr="00DD47DF" w:rsidRDefault="00BA6461" w:rsidP="00A25CBC">
      <w:pPr>
        <w:pStyle w:val="Nadpis5"/>
        <w:numPr>
          <w:ilvl w:val="4"/>
          <w:numId w:val="132"/>
        </w:numPr>
      </w:pPr>
      <w:r w:rsidRPr="00DD47DF">
        <w:t>Plánované využití velkých projektů (použije-li se)</w:t>
      </w:r>
    </w:p>
    <w:p w14:paraId="0EF0A98A" w14:textId="77777777" w:rsidR="002A4D1D" w:rsidRPr="00DD47DF" w:rsidRDefault="002A4D1D" w:rsidP="002A4D1D">
      <w:pPr>
        <w:pStyle w:val="Standardntext"/>
      </w:pPr>
      <w:r w:rsidRPr="00DD47DF">
        <w:t xml:space="preserve">Velké projekty ve smyslu čl. </w:t>
      </w:r>
      <w:r w:rsidR="00C17C7C" w:rsidRPr="00DD47DF">
        <w:t>10</w:t>
      </w:r>
      <w:r w:rsidRPr="00DD47DF">
        <w:t>0 obecného nařízení nejsou plánovány.</w:t>
      </w:r>
    </w:p>
    <w:p w14:paraId="41A4BB25" w14:textId="77777777" w:rsidR="00F262C8" w:rsidRPr="00DD47DF" w:rsidRDefault="00BA6461" w:rsidP="00A25CBC">
      <w:pPr>
        <w:pStyle w:val="Nadpis5"/>
        <w:numPr>
          <w:ilvl w:val="4"/>
          <w:numId w:val="132"/>
        </w:numPr>
      </w:pPr>
      <w:r w:rsidRPr="00DD47DF">
        <w:lastRenderedPageBreak/>
        <w:t>Ukazatele výstupů podle investiční priority a případně podle kategorie regionů</w:t>
      </w:r>
    </w:p>
    <w:p w14:paraId="67AC5421" w14:textId="77777777" w:rsidR="00F262C8" w:rsidRPr="00DD47DF" w:rsidRDefault="00F262C8" w:rsidP="000558FE">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5000" w:type="pct"/>
        <w:tblCellMar>
          <w:left w:w="57" w:type="dxa"/>
          <w:right w:w="57" w:type="dxa"/>
        </w:tblCellMar>
        <w:tblLook w:val="01E0" w:firstRow="1" w:lastRow="1" w:firstColumn="1" w:lastColumn="1" w:noHBand="0" w:noVBand="0"/>
      </w:tblPr>
      <w:tblGrid>
        <w:gridCol w:w="1158"/>
        <w:gridCol w:w="2311"/>
        <w:gridCol w:w="946"/>
        <w:gridCol w:w="666"/>
        <w:gridCol w:w="1043"/>
        <w:gridCol w:w="1158"/>
        <w:gridCol w:w="998"/>
        <w:gridCol w:w="1046"/>
      </w:tblGrid>
      <w:tr w:rsidR="00956C4F" w:rsidRPr="00DD47DF" w14:paraId="34AEA2E2" w14:textId="77777777" w:rsidTr="00251879">
        <w:trPr>
          <w:trHeight w:hRule="exact" w:val="1058"/>
        </w:trPr>
        <w:tc>
          <w:tcPr>
            <w:tcW w:w="62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9246016" w14:textId="77777777" w:rsidR="001B2E5C" w:rsidRPr="00DD47DF" w:rsidRDefault="001B2E5C" w:rsidP="001B2E5C">
            <w:pPr>
              <w:pStyle w:val="Tabulka"/>
              <w:rPr>
                <w:rFonts w:cs="Calibri"/>
                <w:b/>
              </w:rPr>
            </w:pPr>
            <w:r w:rsidRPr="00DD47DF">
              <w:rPr>
                <w:rFonts w:cs="Calibri"/>
                <w:b/>
              </w:rPr>
              <w:t>ID</w:t>
            </w:r>
          </w:p>
        </w:tc>
        <w:tc>
          <w:tcPr>
            <w:tcW w:w="123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3870D9F" w14:textId="77777777" w:rsidR="001B2E5C" w:rsidRPr="00DD47DF" w:rsidRDefault="001B2E5C" w:rsidP="001B2E5C">
            <w:pPr>
              <w:pStyle w:val="Tabulka"/>
              <w:rPr>
                <w:rFonts w:cs="Calibri"/>
                <w:b/>
              </w:rPr>
            </w:pPr>
            <w:r w:rsidRPr="00DD47DF">
              <w:rPr>
                <w:rFonts w:cs="Calibri"/>
                <w:b/>
              </w:rPr>
              <w:t>Ukazatel</w:t>
            </w:r>
          </w:p>
        </w:tc>
        <w:tc>
          <w:tcPr>
            <w:tcW w:w="50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F22809A" w14:textId="77777777" w:rsidR="001B2E5C" w:rsidRPr="00DD47DF" w:rsidRDefault="001B2E5C" w:rsidP="001B2E5C">
            <w:pPr>
              <w:pStyle w:val="Tabulka"/>
              <w:rPr>
                <w:rFonts w:cs="Calibri"/>
                <w:b/>
              </w:rPr>
            </w:pPr>
            <w:r w:rsidRPr="00DD47DF">
              <w:rPr>
                <w:rFonts w:cs="Calibri"/>
                <w:b/>
              </w:rPr>
              <w:t>Měrná jednotka</w:t>
            </w:r>
          </w:p>
        </w:tc>
        <w:tc>
          <w:tcPr>
            <w:tcW w:w="35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9AC66BD" w14:textId="77777777" w:rsidR="001B2E5C" w:rsidRPr="00DD47DF" w:rsidRDefault="001B2E5C" w:rsidP="001B2E5C">
            <w:pPr>
              <w:pStyle w:val="Tabulka"/>
              <w:rPr>
                <w:rFonts w:cs="Calibri"/>
                <w:b/>
              </w:rPr>
            </w:pPr>
            <w:r w:rsidRPr="00DD47DF">
              <w:rPr>
                <w:rFonts w:cs="Calibri"/>
                <w:b/>
              </w:rPr>
              <w:t>Fond</w:t>
            </w:r>
          </w:p>
        </w:tc>
        <w:tc>
          <w:tcPr>
            <w:tcW w:w="55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5EE55D9" w14:textId="77777777" w:rsidR="001B2E5C" w:rsidRPr="00DD47DF" w:rsidRDefault="001B2E5C" w:rsidP="001B2E5C">
            <w:pPr>
              <w:pStyle w:val="Tabulka"/>
              <w:rPr>
                <w:rFonts w:cs="Calibri"/>
                <w:b/>
              </w:rPr>
            </w:pPr>
            <w:r w:rsidRPr="00DD47DF">
              <w:rPr>
                <w:rFonts w:cs="Calibri"/>
                <w:b/>
              </w:rPr>
              <w:t>Kategorie regionu</w:t>
            </w:r>
          </w:p>
        </w:tc>
        <w:tc>
          <w:tcPr>
            <w:tcW w:w="62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36042F9" w14:textId="77777777" w:rsidR="001B2E5C" w:rsidRPr="00DD47DF" w:rsidRDefault="001B2E5C" w:rsidP="00D57106">
            <w:pPr>
              <w:pStyle w:val="Tabulka"/>
              <w:rPr>
                <w:rFonts w:cs="Calibri"/>
                <w:b/>
              </w:rPr>
            </w:pPr>
            <w:r w:rsidRPr="00DD47DF">
              <w:rPr>
                <w:rFonts w:cs="Calibri"/>
                <w:b/>
              </w:rPr>
              <w:t>Cílová hodnota</w:t>
            </w:r>
            <w:r w:rsidR="00D57106" w:rsidRPr="00DD47DF">
              <w:rPr>
                <w:rFonts w:cs="Calibri"/>
                <w:b/>
              </w:rPr>
              <w:t xml:space="preserve"> </w:t>
            </w:r>
            <w:r w:rsidRPr="00DD47DF">
              <w:rPr>
                <w:rFonts w:cs="Calibri"/>
                <w:b/>
              </w:rPr>
              <w:t>(2023)</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EF5F578" w14:textId="77777777" w:rsidR="001B2E5C" w:rsidRPr="00DD47DF" w:rsidRDefault="001B2E5C" w:rsidP="001B2E5C">
            <w:pPr>
              <w:pStyle w:val="Tabulka"/>
              <w:rPr>
                <w:rFonts w:cs="Calibri"/>
                <w:b/>
              </w:rPr>
            </w:pPr>
            <w:r w:rsidRPr="00DD47DF">
              <w:rPr>
                <w:rFonts w:cs="Calibri"/>
                <w:b/>
              </w:rPr>
              <w:t>Zdroj údajů</w:t>
            </w:r>
          </w:p>
        </w:tc>
        <w:tc>
          <w:tcPr>
            <w:tcW w:w="56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CD6BA1C" w14:textId="77777777" w:rsidR="001B2E5C" w:rsidRPr="00DD47DF" w:rsidRDefault="001B2E5C" w:rsidP="001B2E5C">
            <w:pPr>
              <w:pStyle w:val="Tabulka"/>
              <w:rPr>
                <w:rFonts w:cs="Calibri"/>
                <w:b/>
              </w:rPr>
            </w:pPr>
            <w:r w:rsidRPr="00DD47DF">
              <w:rPr>
                <w:rFonts w:cs="Calibri"/>
                <w:b/>
              </w:rPr>
              <w:t>Četnost podávání zpráv</w:t>
            </w:r>
          </w:p>
        </w:tc>
      </w:tr>
      <w:tr w:rsidR="00956C4F" w:rsidRPr="00DD47DF" w14:paraId="27660EEA"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2AAB825B" w14:textId="57E2EA6B" w:rsidR="007A5135" w:rsidRPr="00DD47DF" w:rsidRDefault="00C75691" w:rsidP="0065467A">
            <w:pPr>
              <w:pStyle w:val="Tabulka"/>
              <w:rPr>
                <w:rFonts w:cs="Calibri"/>
              </w:rPr>
            </w:pPr>
            <w:r w:rsidRPr="00DD47DF">
              <w:rPr>
                <w:rFonts w:cs="Calibri"/>
              </w:rPr>
              <w:t xml:space="preserve">CO </w:t>
            </w:r>
            <w:r w:rsidR="00927ADD" w:rsidRPr="00DD47DF">
              <w:rPr>
                <w:rFonts w:cs="Calibri"/>
              </w:rPr>
              <w:t>0</w:t>
            </w:r>
            <w:r w:rsidR="007A5135" w:rsidRPr="00DD47DF">
              <w:rPr>
                <w:rFonts w:cs="Calibri"/>
              </w:rPr>
              <w:t>1</w:t>
            </w:r>
          </w:p>
        </w:tc>
        <w:tc>
          <w:tcPr>
            <w:tcW w:w="1239" w:type="pct"/>
            <w:tcBorders>
              <w:top w:val="single" w:sz="4" w:space="0" w:color="000000"/>
              <w:left w:val="single" w:sz="4" w:space="0" w:color="000000"/>
              <w:bottom w:val="single" w:sz="4" w:space="0" w:color="000000"/>
              <w:right w:val="single" w:sz="4" w:space="0" w:color="000000"/>
            </w:tcBorders>
            <w:vAlign w:val="center"/>
          </w:tcPr>
          <w:p w14:paraId="10B4B720" w14:textId="77777777" w:rsidR="007A5135" w:rsidRPr="00DD47DF" w:rsidRDefault="007D6298" w:rsidP="0065467A">
            <w:pPr>
              <w:pStyle w:val="Tabulka"/>
              <w:jc w:val="left"/>
              <w:rPr>
                <w:rFonts w:cs="Calibri"/>
              </w:rPr>
            </w:pPr>
            <w:r w:rsidRPr="00DD47DF">
              <w:rPr>
                <w:rFonts w:cs="Calibri"/>
              </w:rPr>
              <w:t>Počet podniků pobírajících podporu</w:t>
            </w:r>
          </w:p>
        </w:tc>
        <w:tc>
          <w:tcPr>
            <w:tcW w:w="507" w:type="pct"/>
            <w:tcBorders>
              <w:top w:val="single" w:sz="4" w:space="0" w:color="000000"/>
              <w:left w:val="single" w:sz="4" w:space="0" w:color="000000"/>
              <w:bottom w:val="single" w:sz="4" w:space="0" w:color="000000"/>
              <w:right w:val="single" w:sz="4" w:space="0" w:color="000000"/>
            </w:tcBorders>
            <w:vAlign w:val="center"/>
          </w:tcPr>
          <w:p w14:paraId="7FE206D6" w14:textId="77777777" w:rsidR="007A5135" w:rsidRPr="00DD47DF" w:rsidRDefault="007A5135" w:rsidP="0065467A">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1D2D3322" w14:textId="77777777" w:rsidR="007A5135" w:rsidRPr="00DD47DF" w:rsidRDefault="002B3F69" w:rsidP="0065467A">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6A0F6EB3" w14:textId="77777777" w:rsidR="007A5135" w:rsidRPr="00DD47DF" w:rsidRDefault="007A5135" w:rsidP="0065467A">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6D16B093" w14:textId="3B0B1DD7" w:rsidR="007A5135" w:rsidRPr="00DD47DF" w:rsidRDefault="00CB0BAE" w:rsidP="0065467A">
            <w:pPr>
              <w:pStyle w:val="Tabulka"/>
              <w:rPr>
                <w:rFonts w:cs="Calibri"/>
              </w:rPr>
            </w:pPr>
            <w:r w:rsidRPr="00700E39">
              <w:rPr>
                <w:rFonts w:cs="Calibri"/>
              </w:rPr>
              <w:t>707</w:t>
            </w:r>
          </w:p>
        </w:tc>
        <w:tc>
          <w:tcPr>
            <w:tcW w:w="535" w:type="pct"/>
            <w:tcBorders>
              <w:top w:val="single" w:sz="4" w:space="0" w:color="000000"/>
              <w:left w:val="single" w:sz="4" w:space="0" w:color="000000"/>
              <w:bottom w:val="single" w:sz="4" w:space="0" w:color="000000"/>
              <w:right w:val="single" w:sz="4" w:space="0" w:color="000000"/>
            </w:tcBorders>
            <w:vAlign w:val="center"/>
          </w:tcPr>
          <w:p w14:paraId="1A80F8A8" w14:textId="77777777" w:rsidR="007A5135" w:rsidRPr="00DD47DF" w:rsidRDefault="00FC7054" w:rsidP="0065467A">
            <w:pPr>
              <w:pStyle w:val="Tabulka"/>
              <w:rPr>
                <w:rFonts w:cs="Calibri"/>
              </w:rPr>
            </w:pPr>
            <w:r>
              <w:rPr>
                <w:rFonts w:cs="Calibri"/>
              </w:rPr>
              <w:t>MS2014+</w:t>
            </w:r>
          </w:p>
        </w:tc>
        <w:tc>
          <w:tcPr>
            <w:tcW w:w="561" w:type="pct"/>
            <w:tcBorders>
              <w:top w:val="single" w:sz="4" w:space="0" w:color="000000"/>
              <w:left w:val="single" w:sz="4" w:space="0" w:color="000000"/>
              <w:bottom w:val="single" w:sz="4" w:space="0" w:color="000000"/>
              <w:right w:val="single" w:sz="4" w:space="0" w:color="000000"/>
            </w:tcBorders>
            <w:vAlign w:val="center"/>
          </w:tcPr>
          <w:p w14:paraId="60D0053E" w14:textId="77777777" w:rsidR="007A5135" w:rsidRPr="00DD47DF" w:rsidRDefault="00FC7054" w:rsidP="00AB615E">
            <w:pPr>
              <w:pStyle w:val="Tabulka"/>
              <w:rPr>
                <w:rFonts w:cs="Calibri"/>
              </w:rPr>
            </w:pPr>
            <w:r>
              <w:rPr>
                <w:rFonts w:cs="Calibri"/>
              </w:rPr>
              <w:t>průběžně</w:t>
            </w:r>
          </w:p>
        </w:tc>
      </w:tr>
      <w:tr w:rsidR="00956C4F" w:rsidRPr="00DD47DF" w14:paraId="7E1CB933"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1156F65C" w14:textId="3747F352" w:rsidR="007A5135" w:rsidRPr="00DD47DF" w:rsidRDefault="00C75691" w:rsidP="0065467A">
            <w:pPr>
              <w:pStyle w:val="Tabulka"/>
              <w:rPr>
                <w:rFonts w:cs="Calibri"/>
              </w:rPr>
            </w:pPr>
            <w:r w:rsidRPr="00DD47DF">
              <w:rPr>
                <w:rFonts w:cs="Calibri"/>
              </w:rPr>
              <w:t xml:space="preserve">CO </w:t>
            </w:r>
            <w:r w:rsidR="00927ADD" w:rsidRPr="00DD47DF">
              <w:rPr>
                <w:rFonts w:cs="Calibri"/>
              </w:rPr>
              <w:t>0</w:t>
            </w:r>
            <w:r w:rsidR="007A5135" w:rsidRPr="00DD47DF">
              <w:rPr>
                <w:rFonts w:cs="Calibri"/>
              </w:rPr>
              <w:t>2</w:t>
            </w:r>
          </w:p>
        </w:tc>
        <w:tc>
          <w:tcPr>
            <w:tcW w:w="1239" w:type="pct"/>
            <w:tcBorders>
              <w:top w:val="single" w:sz="4" w:space="0" w:color="000000"/>
              <w:left w:val="single" w:sz="4" w:space="0" w:color="000000"/>
              <w:bottom w:val="single" w:sz="4" w:space="0" w:color="000000"/>
              <w:right w:val="single" w:sz="4" w:space="0" w:color="000000"/>
            </w:tcBorders>
            <w:vAlign w:val="center"/>
          </w:tcPr>
          <w:p w14:paraId="5035E89C" w14:textId="77777777" w:rsidR="007A5135" w:rsidRPr="00DD47DF" w:rsidRDefault="007A5135" w:rsidP="0065467A">
            <w:pPr>
              <w:pStyle w:val="Tabulka"/>
              <w:jc w:val="left"/>
              <w:rPr>
                <w:rFonts w:cs="Calibri"/>
              </w:rPr>
            </w:pPr>
            <w:r w:rsidRPr="00DD47DF">
              <w:rPr>
                <w:rFonts w:cs="Calibri"/>
              </w:rPr>
              <w:t>Počet podniků pobírajících granty</w:t>
            </w:r>
          </w:p>
        </w:tc>
        <w:tc>
          <w:tcPr>
            <w:tcW w:w="507" w:type="pct"/>
            <w:tcBorders>
              <w:top w:val="single" w:sz="4" w:space="0" w:color="000000"/>
              <w:left w:val="single" w:sz="4" w:space="0" w:color="000000"/>
              <w:bottom w:val="single" w:sz="4" w:space="0" w:color="000000"/>
              <w:right w:val="single" w:sz="4" w:space="0" w:color="000000"/>
            </w:tcBorders>
            <w:vAlign w:val="center"/>
          </w:tcPr>
          <w:p w14:paraId="3F29838F" w14:textId="77777777" w:rsidR="007A5135" w:rsidRPr="00DD47DF" w:rsidRDefault="007A5135" w:rsidP="0065467A">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36A8EB74" w14:textId="77777777" w:rsidR="007A5135" w:rsidRPr="00DD47DF" w:rsidRDefault="002B3F69" w:rsidP="008165DC">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095D8734" w14:textId="77777777" w:rsidR="007A5135" w:rsidRPr="00DD47DF" w:rsidRDefault="007A5135" w:rsidP="0065467A">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641882FF" w14:textId="34849DCB" w:rsidR="007A5135" w:rsidRPr="00DD47DF" w:rsidRDefault="00CB0BAE" w:rsidP="0065467A">
            <w:pPr>
              <w:pStyle w:val="Tabulka"/>
              <w:rPr>
                <w:rFonts w:cs="Calibri"/>
              </w:rPr>
            </w:pPr>
            <w:r w:rsidRPr="00700E39">
              <w:rPr>
                <w:rFonts w:cs="Calibri"/>
              </w:rPr>
              <w:t>672</w:t>
            </w:r>
          </w:p>
        </w:tc>
        <w:tc>
          <w:tcPr>
            <w:tcW w:w="535" w:type="pct"/>
            <w:tcBorders>
              <w:top w:val="single" w:sz="4" w:space="0" w:color="000000"/>
              <w:left w:val="single" w:sz="4" w:space="0" w:color="000000"/>
              <w:bottom w:val="single" w:sz="4" w:space="0" w:color="000000"/>
              <w:right w:val="single" w:sz="4" w:space="0" w:color="000000"/>
            </w:tcBorders>
            <w:vAlign w:val="center"/>
          </w:tcPr>
          <w:p w14:paraId="1B6657D1" w14:textId="77777777" w:rsidR="007A5135" w:rsidRPr="00DD47DF" w:rsidRDefault="00FC7054" w:rsidP="007A5135">
            <w:pPr>
              <w:pStyle w:val="Tabulka"/>
              <w:rPr>
                <w:rFonts w:cs="Calibri"/>
              </w:rPr>
            </w:pPr>
            <w:r>
              <w:rPr>
                <w:rFonts w:cs="Calibri"/>
              </w:rPr>
              <w:t>MS2014+</w:t>
            </w:r>
          </w:p>
        </w:tc>
        <w:tc>
          <w:tcPr>
            <w:tcW w:w="561" w:type="pct"/>
            <w:tcBorders>
              <w:top w:val="single" w:sz="4" w:space="0" w:color="000000"/>
              <w:left w:val="single" w:sz="4" w:space="0" w:color="000000"/>
              <w:bottom w:val="single" w:sz="4" w:space="0" w:color="000000"/>
              <w:right w:val="single" w:sz="4" w:space="0" w:color="000000"/>
            </w:tcBorders>
            <w:vAlign w:val="center"/>
          </w:tcPr>
          <w:p w14:paraId="4043A4F9" w14:textId="77777777" w:rsidR="007A5135" w:rsidRPr="00DD47DF" w:rsidRDefault="00FC7054" w:rsidP="00AB615E">
            <w:pPr>
              <w:pStyle w:val="Tabulka"/>
              <w:rPr>
                <w:rFonts w:cs="Calibri"/>
              </w:rPr>
            </w:pPr>
            <w:r>
              <w:rPr>
                <w:rFonts w:cs="Calibri"/>
              </w:rPr>
              <w:t>průběžně</w:t>
            </w:r>
          </w:p>
        </w:tc>
      </w:tr>
      <w:tr w:rsidR="007274C3" w:rsidRPr="00DD47DF" w14:paraId="4B4060BC"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07DCA61D" w14:textId="4CB653D0" w:rsidR="007274C3" w:rsidRPr="00DD47DF" w:rsidRDefault="007274C3" w:rsidP="007274C3">
            <w:pPr>
              <w:pStyle w:val="Tabulka"/>
              <w:rPr>
                <w:rFonts w:cs="Calibri"/>
              </w:rPr>
            </w:pPr>
            <w:r w:rsidRPr="00DD47DF">
              <w:rPr>
                <w:rFonts w:cs="Calibri"/>
              </w:rPr>
              <w:t>CO 03</w:t>
            </w:r>
          </w:p>
        </w:tc>
        <w:tc>
          <w:tcPr>
            <w:tcW w:w="1239" w:type="pct"/>
            <w:tcBorders>
              <w:top w:val="single" w:sz="4" w:space="0" w:color="000000"/>
              <w:left w:val="single" w:sz="4" w:space="0" w:color="000000"/>
              <w:bottom w:val="single" w:sz="4" w:space="0" w:color="000000"/>
              <w:right w:val="single" w:sz="4" w:space="0" w:color="000000"/>
            </w:tcBorders>
            <w:vAlign w:val="center"/>
          </w:tcPr>
          <w:p w14:paraId="36DD6134" w14:textId="09BA1E8B" w:rsidR="007274C3" w:rsidRPr="00892451" w:rsidRDefault="007274C3" w:rsidP="007274C3">
            <w:pPr>
              <w:pStyle w:val="Tabulka"/>
              <w:jc w:val="left"/>
              <w:rPr>
                <w:rFonts w:cs="Calibri"/>
              </w:rPr>
            </w:pPr>
            <w:r w:rsidRPr="00DD47DF">
              <w:rPr>
                <w:rFonts w:cs="Calibri"/>
              </w:rPr>
              <w:t>Počet podniků p</w:t>
            </w:r>
            <w:r>
              <w:rPr>
                <w:rFonts w:cs="Calibri"/>
              </w:rPr>
              <w:t>obírajících jinou finanční podporu</w:t>
            </w:r>
            <w:r w:rsidRPr="00DD47DF">
              <w:rPr>
                <w:rFonts w:cs="Calibri"/>
              </w:rPr>
              <w:t xml:space="preserve"> než granty</w:t>
            </w:r>
          </w:p>
        </w:tc>
        <w:tc>
          <w:tcPr>
            <w:tcW w:w="507" w:type="pct"/>
            <w:tcBorders>
              <w:top w:val="single" w:sz="4" w:space="0" w:color="000000"/>
              <w:left w:val="single" w:sz="4" w:space="0" w:color="000000"/>
              <w:bottom w:val="single" w:sz="4" w:space="0" w:color="000000"/>
              <w:right w:val="single" w:sz="4" w:space="0" w:color="000000"/>
            </w:tcBorders>
            <w:vAlign w:val="center"/>
          </w:tcPr>
          <w:p w14:paraId="65E6EA58" w14:textId="44327504" w:rsidR="007274C3" w:rsidRPr="00DD47DF" w:rsidRDefault="007274C3" w:rsidP="007274C3">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66B925BB" w14:textId="5EBFEEF8"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67E9691F" w14:textId="043F9C1B"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2C393" w14:textId="45CB3227" w:rsidR="007274C3" w:rsidRPr="00DD47DF" w:rsidRDefault="00CB0BAE" w:rsidP="007274C3">
            <w:pPr>
              <w:pStyle w:val="Tabulka"/>
              <w:rPr>
                <w:rFonts w:cs="Calibri"/>
              </w:rPr>
            </w:pPr>
            <w:r>
              <w:rPr>
                <w:rFonts w:cs="Calibri"/>
              </w:rPr>
              <w:t>35</w:t>
            </w:r>
          </w:p>
        </w:tc>
        <w:tc>
          <w:tcPr>
            <w:tcW w:w="535" w:type="pct"/>
            <w:tcBorders>
              <w:top w:val="single" w:sz="4" w:space="0" w:color="000000"/>
              <w:left w:val="single" w:sz="4" w:space="0" w:color="000000"/>
              <w:bottom w:val="single" w:sz="4" w:space="0" w:color="000000"/>
              <w:right w:val="single" w:sz="4" w:space="0" w:color="000000"/>
            </w:tcBorders>
            <w:vAlign w:val="center"/>
          </w:tcPr>
          <w:p w14:paraId="4DC594CD" w14:textId="1A6E5AAC" w:rsidR="007274C3" w:rsidRDefault="007274C3" w:rsidP="007274C3">
            <w:pPr>
              <w:pStyle w:val="Tabulka"/>
              <w:rPr>
                <w:rFonts w:cs="Calibri"/>
              </w:rPr>
            </w:pPr>
            <w:r>
              <w:rPr>
                <w:rFonts w:cs="Calibri"/>
              </w:rPr>
              <w:t>Ž/P</w:t>
            </w:r>
          </w:p>
        </w:tc>
        <w:tc>
          <w:tcPr>
            <w:tcW w:w="561" w:type="pct"/>
            <w:tcBorders>
              <w:top w:val="single" w:sz="4" w:space="0" w:color="000000"/>
              <w:left w:val="single" w:sz="4" w:space="0" w:color="000000"/>
              <w:bottom w:val="single" w:sz="4" w:space="0" w:color="000000"/>
              <w:right w:val="single" w:sz="4" w:space="0" w:color="000000"/>
            </w:tcBorders>
            <w:vAlign w:val="center"/>
          </w:tcPr>
          <w:p w14:paraId="2FEA515E" w14:textId="169931BC" w:rsidR="007274C3" w:rsidRDefault="007274C3" w:rsidP="007274C3">
            <w:pPr>
              <w:pStyle w:val="Tabulka"/>
              <w:rPr>
                <w:rFonts w:cs="Calibri"/>
              </w:rPr>
            </w:pPr>
            <w:r>
              <w:rPr>
                <w:rFonts w:cs="Calibri"/>
              </w:rPr>
              <w:t>průběžně</w:t>
            </w:r>
          </w:p>
        </w:tc>
      </w:tr>
      <w:tr w:rsidR="007274C3" w:rsidRPr="00DD47DF" w14:paraId="3525694E"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2EF9C414" w14:textId="5E4E7292" w:rsidR="007274C3" w:rsidRPr="00DD47DF" w:rsidRDefault="007274C3" w:rsidP="007274C3">
            <w:pPr>
              <w:pStyle w:val="Tabulka"/>
              <w:rPr>
                <w:rFonts w:cs="Calibri"/>
              </w:rPr>
            </w:pPr>
            <w:r w:rsidRPr="00DD47DF">
              <w:rPr>
                <w:rFonts w:cs="Calibri"/>
              </w:rPr>
              <w:t>CO 06</w:t>
            </w:r>
          </w:p>
        </w:tc>
        <w:tc>
          <w:tcPr>
            <w:tcW w:w="1239" w:type="pct"/>
            <w:tcBorders>
              <w:top w:val="single" w:sz="4" w:space="0" w:color="000000"/>
              <w:left w:val="single" w:sz="4" w:space="0" w:color="000000"/>
              <w:bottom w:val="single" w:sz="4" w:space="0" w:color="000000"/>
              <w:right w:val="single" w:sz="4" w:space="0" w:color="000000"/>
            </w:tcBorders>
            <w:vAlign w:val="center"/>
          </w:tcPr>
          <w:p w14:paraId="3EE3F221" w14:textId="77777777" w:rsidR="007274C3" w:rsidRPr="00DD47DF" w:rsidRDefault="007274C3" w:rsidP="007274C3">
            <w:pPr>
              <w:pStyle w:val="Tabulka"/>
              <w:jc w:val="left"/>
              <w:rPr>
                <w:rFonts w:cs="Calibri"/>
              </w:rPr>
            </w:pPr>
            <w:r w:rsidRPr="00892451">
              <w:rPr>
                <w:rFonts w:cs="Calibri"/>
              </w:rPr>
              <w:t>Soukromé investice odpovídající veřejné podpoře podniků (granty)</w:t>
            </w:r>
          </w:p>
        </w:tc>
        <w:tc>
          <w:tcPr>
            <w:tcW w:w="507" w:type="pct"/>
            <w:tcBorders>
              <w:top w:val="single" w:sz="4" w:space="0" w:color="000000"/>
              <w:left w:val="single" w:sz="4" w:space="0" w:color="000000"/>
              <w:bottom w:val="single" w:sz="4" w:space="0" w:color="000000"/>
              <w:right w:val="single" w:sz="4" w:space="0" w:color="000000"/>
            </w:tcBorders>
            <w:vAlign w:val="center"/>
          </w:tcPr>
          <w:p w14:paraId="49CCC50A" w14:textId="77777777" w:rsidR="007274C3" w:rsidRPr="00DD47DF" w:rsidRDefault="007274C3" w:rsidP="007274C3">
            <w:pPr>
              <w:pStyle w:val="Tabulka"/>
              <w:rPr>
                <w:rFonts w:cs="Calibri"/>
              </w:rPr>
            </w:pPr>
            <w:r w:rsidRPr="00DD47DF">
              <w:rPr>
                <w:rFonts w:cs="Calibri"/>
              </w:rPr>
              <w:t>EUR</w:t>
            </w:r>
          </w:p>
        </w:tc>
        <w:tc>
          <w:tcPr>
            <w:tcW w:w="357" w:type="pct"/>
            <w:tcBorders>
              <w:top w:val="single" w:sz="4" w:space="0" w:color="000000"/>
              <w:left w:val="single" w:sz="4" w:space="0" w:color="000000"/>
              <w:bottom w:val="single" w:sz="4" w:space="0" w:color="000000"/>
              <w:right w:val="single" w:sz="4" w:space="0" w:color="000000"/>
            </w:tcBorders>
            <w:vAlign w:val="center"/>
          </w:tcPr>
          <w:p w14:paraId="4FAFDD6F" w14:textId="77777777"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28CECC22" w14:textId="77777777"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207A01E8" w14:textId="5EA642AC" w:rsidR="007274C3" w:rsidRPr="00DD47DF" w:rsidRDefault="00CB0BAE" w:rsidP="007274C3">
            <w:pPr>
              <w:pStyle w:val="Tabulka"/>
              <w:rPr>
                <w:rFonts w:cs="Calibri"/>
              </w:rPr>
            </w:pPr>
            <w:r w:rsidRPr="00700E39">
              <w:rPr>
                <w:rFonts w:cs="Calibri"/>
              </w:rPr>
              <w:t>307 000 000</w:t>
            </w:r>
          </w:p>
        </w:tc>
        <w:tc>
          <w:tcPr>
            <w:tcW w:w="535" w:type="pct"/>
            <w:tcBorders>
              <w:top w:val="single" w:sz="4" w:space="0" w:color="000000"/>
              <w:left w:val="single" w:sz="4" w:space="0" w:color="000000"/>
              <w:bottom w:val="single" w:sz="4" w:space="0" w:color="000000"/>
              <w:right w:val="single" w:sz="4" w:space="0" w:color="000000"/>
            </w:tcBorders>
            <w:vAlign w:val="center"/>
          </w:tcPr>
          <w:p w14:paraId="03A7D4B0" w14:textId="77777777" w:rsidR="007274C3" w:rsidRPr="00DD47DF" w:rsidRDefault="007274C3" w:rsidP="007274C3">
            <w:pPr>
              <w:pStyle w:val="Tabulka"/>
              <w:rPr>
                <w:rFonts w:cs="Calibri"/>
              </w:rPr>
            </w:pPr>
            <w:r>
              <w:rPr>
                <w:rFonts w:cs="Calibri"/>
              </w:rPr>
              <w:t>MS2014+</w:t>
            </w:r>
          </w:p>
        </w:tc>
        <w:tc>
          <w:tcPr>
            <w:tcW w:w="561" w:type="pct"/>
            <w:tcBorders>
              <w:top w:val="single" w:sz="4" w:space="0" w:color="000000"/>
              <w:left w:val="single" w:sz="4" w:space="0" w:color="000000"/>
              <w:bottom w:val="single" w:sz="4" w:space="0" w:color="000000"/>
              <w:right w:val="single" w:sz="4" w:space="0" w:color="000000"/>
            </w:tcBorders>
            <w:vAlign w:val="center"/>
          </w:tcPr>
          <w:p w14:paraId="58970847" w14:textId="77777777" w:rsidR="007274C3" w:rsidRPr="00DD47DF" w:rsidRDefault="007274C3" w:rsidP="007274C3">
            <w:pPr>
              <w:pStyle w:val="Tabulka"/>
              <w:rPr>
                <w:rFonts w:cs="Calibri"/>
              </w:rPr>
            </w:pPr>
            <w:r>
              <w:rPr>
                <w:rFonts w:cs="Calibri"/>
              </w:rPr>
              <w:t>průběžně</w:t>
            </w:r>
          </w:p>
        </w:tc>
      </w:tr>
      <w:tr w:rsidR="007274C3" w:rsidRPr="00DD47DF" w14:paraId="1FBB93FA"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3163A423" w14:textId="6884335A" w:rsidR="007274C3" w:rsidRPr="00DD47DF" w:rsidRDefault="007274C3" w:rsidP="007274C3">
            <w:pPr>
              <w:pStyle w:val="Tabulka"/>
              <w:rPr>
                <w:rFonts w:cs="Calibri"/>
              </w:rPr>
            </w:pPr>
            <w:r w:rsidRPr="00DD47DF">
              <w:rPr>
                <w:rFonts w:cs="Calibri"/>
              </w:rPr>
              <w:t>CO 07</w:t>
            </w:r>
          </w:p>
        </w:tc>
        <w:tc>
          <w:tcPr>
            <w:tcW w:w="1239" w:type="pct"/>
            <w:tcBorders>
              <w:top w:val="single" w:sz="4" w:space="0" w:color="000000"/>
              <w:left w:val="single" w:sz="4" w:space="0" w:color="000000"/>
              <w:bottom w:val="single" w:sz="4" w:space="0" w:color="000000"/>
              <w:right w:val="single" w:sz="4" w:space="0" w:color="000000"/>
            </w:tcBorders>
            <w:vAlign w:val="center"/>
          </w:tcPr>
          <w:p w14:paraId="569CA4D6" w14:textId="32B2E9C0" w:rsidR="007274C3" w:rsidRPr="00892451" w:rsidRDefault="007274C3" w:rsidP="007274C3">
            <w:pPr>
              <w:pStyle w:val="Tabulka"/>
              <w:jc w:val="left"/>
              <w:rPr>
                <w:rFonts w:cs="Calibri"/>
              </w:rPr>
            </w:pPr>
            <w:r w:rsidRPr="006D0B6D">
              <w:rPr>
                <w:rFonts w:cs="Calibri"/>
              </w:rPr>
              <w:t>Soukromé investice odpovídající veřejné podpoře podniků (jiné než granty)</w:t>
            </w:r>
          </w:p>
        </w:tc>
        <w:tc>
          <w:tcPr>
            <w:tcW w:w="507" w:type="pct"/>
            <w:tcBorders>
              <w:top w:val="single" w:sz="4" w:space="0" w:color="000000"/>
              <w:left w:val="single" w:sz="4" w:space="0" w:color="000000"/>
              <w:bottom w:val="single" w:sz="4" w:space="0" w:color="000000"/>
              <w:right w:val="single" w:sz="4" w:space="0" w:color="000000"/>
            </w:tcBorders>
            <w:vAlign w:val="center"/>
          </w:tcPr>
          <w:p w14:paraId="526C8294" w14:textId="14BE2D5D" w:rsidR="007274C3" w:rsidRPr="00DD47DF" w:rsidRDefault="007274C3" w:rsidP="007274C3">
            <w:pPr>
              <w:pStyle w:val="Tabulka"/>
              <w:rPr>
                <w:rFonts w:cs="Calibri"/>
              </w:rPr>
            </w:pPr>
            <w:r w:rsidRPr="00DD47DF">
              <w:rPr>
                <w:rFonts w:cs="Calibri"/>
              </w:rPr>
              <w:t>EUR</w:t>
            </w:r>
          </w:p>
        </w:tc>
        <w:tc>
          <w:tcPr>
            <w:tcW w:w="357" w:type="pct"/>
            <w:tcBorders>
              <w:top w:val="single" w:sz="4" w:space="0" w:color="000000"/>
              <w:left w:val="single" w:sz="4" w:space="0" w:color="000000"/>
              <w:bottom w:val="single" w:sz="4" w:space="0" w:color="000000"/>
              <w:right w:val="single" w:sz="4" w:space="0" w:color="000000"/>
            </w:tcBorders>
            <w:vAlign w:val="center"/>
          </w:tcPr>
          <w:p w14:paraId="27DA43A1" w14:textId="5EDF0E9E"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7B61457C" w14:textId="2E40A854"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5DB3A99F" w14:textId="5F46D12B" w:rsidR="007274C3" w:rsidRPr="00DD47DF" w:rsidRDefault="00CB0BAE" w:rsidP="007274C3">
            <w:pPr>
              <w:pStyle w:val="Tabulka"/>
              <w:rPr>
                <w:rFonts w:cs="Calibri"/>
              </w:rPr>
            </w:pPr>
            <w:r w:rsidRPr="00700E39">
              <w:rPr>
                <w:rFonts w:cs="Calibri"/>
              </w:rPr>
              <w:t>11 500 000</w:t>
            </w:r>
          </w:p>
        </w:tc>
        <w:tc>
          <w:tcPr>
            <w:tcW w:w="535" w:type="pct"/>
            <w:tcBorders>
              <w:top w:val="single" w:sz="4" w:space="0" w:color="000000"/>
              <w:left w:val="single" w:sz="4" w:space="0" w:color="000000"/>
              <w:bottom w:val="single" w:sz="4" w:space="0" w:color="000000"/>
              <w:right w:val="single" w:sz="4" w:space="0" w:color="000000"/>
            </w:tcBorders>
            <w:vAlign w:val="center"/>
          </w:tcPr>
          <w:p w14:paraId="507F111A" w14:textId="1CDE4297" w:rsidR="007274C3" w:rsidRDefault="007274C3" w:rsidP="007274C3">
            <w:pPr>
              <w:pStyle w:val="Tabulka"/>
              <w:rPr>
                <w:rFonts w:cs="Calibri"/>
              </w:rPr>
            </w:pPr>
            <w:r>
              <w:rPr>
                <w:rFonts w:cs="Calibri"/>
              </w:rPr>
              <w:t>Ž/P</w:t>
            </w:r>
          </w:p>
        </w:tc>
        <w:tc>
          <w:tcPr>
            <w:tcW w:w="561" w:type="pct"/>
            <w:tcBorders>
              <w:top w:val="single" w:sz="4" w:space="0" w:color="000000"/>
              <w:left w:val="single" w:sz="4" w:space="0" w:color="000000"/>
              <w:bottom w:val="single" w:sz="4" w:space="0" w:color="000000"/>
              <w:right w:val="single" w:sz="4" w:space="0" w:color="000000"/>
            </w:tcBorders>
            <w:vAlign w:val="center"/>
          </w:tcPr>
          <w:p w14:paraId="35BFF234" w14:textId="15AD53CE" w:rsidR="007274C3" w:rsidRDefault="007274C3" w:rsidP="007274C3">
            <w:pPr>
              <w:pStyle w:val="Tabulka"/>
              <w:rPr>
                <w:rFonts w:cs="Calibri"/>
              </w:rPr>
            </w:pPr>
            <w:r>
              <w:rPr>
                <w:rFonts w:cs="Calibri"/>
              </w:rPr>
              <w:t>průběžně</w:t>
            </w:r>
          </w:p>
        </w:tc>
      </w:tr>
      <w:tr w:rsidR="007274C3" w:rsidRPr="00DD47DF" w14:paraId="526AC888"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7745A32F" w14:textId="7281B380" w:rsidR="007274C3" w:rsidRPr="00DD47DF" w:rsidDel="00C75691" w:rsidRDefault="007274C3" w:rsidP="007274C3">
            <w:pPr>
              <w:pStyle w:val="Tabulka"/>
              <w:rPr>
                <w:rFonts w:cs="Calibri"/>
              </w:rPr>
            </w:pPr>
            <w:r>
              <w:rPr>
                <w:rFonts w:cs="Calibri"/>
              </w:rPr>
              <w:t>CO 22</w:t>
            </w:r>
          </w:p>
        </w:tc>
        <w:tc>
          <w:tcPr>
            <w:tcW w:w="1239" w:type="pct"/>
            <w:tcBorders>
              <w:top w:val="single" w:sz="4" w:space="0" w:color="000000"/>
              <w:left w:val="single" w:sz="4" w:space="0" w:color="000000"/>
              <w:bottom w:val="single" w:sz="4" w:space="0" w:color="000000"/>
              <w:right w:val="single" w:sz="4" w:space="0" w:color="000000"/>
            </w:tcBorders>
            <w:vAlign w:val="center"/>
          </w:tcPr>
          <w:p w14:paraId="459237B6" w14:textId="281823DC" w:rsidR="007274C3" w:rsidRPr="00DD47DF" w:rsidRDefault="007274C3" w:rsidP="007274C3">
            <w:pPr>
              <w:pStyle w:val="Tabulka"/>
              <w:jc w:val="left"/>
              <w:rPr>
                <w:rFonts w:cs="Calibri"/>
              </w:rPr>
            </w:pPr>
            <w:r w:rsidRPr="00A46C56">
              <w:rPr>
                <w:rFonts w:cs="Calibri"/>
              </w:rPr>
              <w:t>Celková plocha rekultivovaného území</w:t>
            </w:r>
          </w:p>
        </w:tc>
        <w:tc>
          <w:tcPr>
            <w:tcW w:w="507" w:type="pct"/>
            <w:tcBorders>
              <w:top w:val="single" w:sz="4" w:space="0" w:color="000000"/>
              <w:left w:val="single" w:sz="4" w:space="0" w:color="000000"/>
              <w:bottom w:val="single" w:sz="4" w:space="0" w:color="000000"/>
              <w:right w:val="single" w:sz="4" w:space="0" w:color="000000"/>
            </w:tcBorders>
            <w:vAlign w:val="center"/>
          </w:tcPr>
          <w:p w14:paraId="157021DA" w14:textId="4A00E643" w:rsidR="007274C3" w:rsidRPr="00DD47DF" w:rsidRDefault="007274C3" w:rsidP="007274C3">
            <w:pPr>
              <w:pStyle w:val="Tabulka"/>
              <w:rPr>
                <w:rFonts w:cs="Calibri"/>
              </w:rPr>
            </w:pPr>
            <w:r>
              <w:rPr>
                <w:rFonts w:cs="Calibri"/>
                <w:bCs/>
              </w:rPr>
              <w:t>ha</w:t>
            </w:r>
          </w:p>
        </w:tc>
        <w:tc>
          <w:tcPr>
            <w:tcW w:w="357" w:type="pct"/>
            <w:tcBorders>
              <w:top w:val="single" w:sz="4" w:space="0" w:color="000000"/>
              <w:left w:val="single" w:sz="4" w:space="0" w:color="000000"/>
              <w:bottom w:val="single" w:sz="4" w:space="0" w:color="000000"/>
              <w:right w:val="single" w:sz="4" w:space="0" w:color="000000"/>
            </w:tcBorders>
            <w:vAlign w:val="center"/>
          </w:tcPr>
          <w:p w14:paraId="09CF6EC8" w14:textId="77777777"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75D9A62D" w14:textId="77777777"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39C8FD0A" w14:textId="4B907AAB" w:rsidR="007274C3" w:rsidRPr="00DD47DF" w:rsidRDefault="007274C3" w:rsidP="007274C3">
            <w:pPr>
              <w:pStyle w:val="Tabulka"/>
              <w:rPr>
                <w:rFonts w:cs="Calibri"/>
              </w:rPr>
            </w:pPr>
            <w:r>
              <w:rPr>
                <w:rFonts w:cs="Calibri"/>
              </w:rPr>
              <w:t>1</w:t>
            </w:r>
            <w:r w:rsidRPr="00DD47DF">
              <w:rPr>
                <w:rFonts w:cs="Calibri"/>
              </w:rPr>
              <w:t>50</w:t>
            </w:r>
          </w:p>
        </w:tc>
        <w:tc>
          <w:tcPr>
            <w:tcW w:w="535" w:type="pct"/>
            <w:tcBorders>
              <w:top w:val="single" w:sz="4" w:space="0" w:color="000000"/>
              <w:left w:val="single" w:sz="4" w:space="0" w:color="000000"/>
              <w:bottom w:val="single" w:sz="4" w:space="0" w:color="000000"/>
              <w:right w:val="single" w:sz="4" w:space="0" w:color="000000"/>
            </w:tcBorders>
            <w:vAlign w:val="center"/>
          </w:tcPr>
          <w:p w14:paraId="6EA049AA" w14:textId="14141D34" w:rsidR="007274C3" w:rsidRPr="00DD47DF" w:rsidRDefault="007274C3" w:rsidP="007274C3">
            <w:pPr>
              <w:pStyle w:val="Tabulka"/>
              <w:rPr>
                <w:rFonts w:cs="Calibri"/>
              </w:rPr>
            </w:pPr>
            <w:r>
              <w:rPr>
                <w:rFonts w:cs="Calibri"/>
              </w:rPr>
              <w:t>ŘO</w:t>
            </w:r>
          </w:p>
        </w:tc>
        <w:tc>
          <w:tcPr>
            <w:tcW w:w="561" w:type="pct"/>
            <w:tcBorders>
              <w:top w:val="single" w:sz="4" w:space="0" w:color="000000"/>
              <w:left w:val="single" w:sz="4" w:space="0" w:color="000000"/>
              <w:bottom w:val="single" w:sz="4" w:space="0" w:color="000000"/>
              <w:right w:val="single" w:sz="4" w:space="0" w:color="000000"/>
            </w:tcBorders>
            <w:vAlign w:val="center"/>
          </w:tcPr>
          <w:p w14:paraId="1636E137" w14:textId="77777777" w:rsidR="007274C3" w:rsidRPr="00DD47DF" w:rsidRDefault="007274C3" w:rsidP="007274C3">
            <w:pPr>
              <w:pStyle w:val="Tabulka"/>
              <w:rPr>
                <w:rFonts w:cs="Calibri"/>
              </w:rPr>
            </w:pPr>
            <w:r>
              <w:rPr>
                <w:rFonts w:cs="Calibri"/>
              </w:rPr>
              <w:t>průběžně</w:t>
            </w:r>
          </w:p>
        </w:tc>
      </w:tr>
      <w:tr w:rsidR="007274C3" w:rsidRPr="00DD47DF" w14:paraId="665BF13F"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659BE32B" w14:textId="77777777" w:rsidR="007274C3" w:rsidRPr="00DD47DF" w:rsidRDefault="007274C3" w:rsidP="007274C3">
            <w:pPr>
              <w:pStyle w:val="Tabulka"/>
              <w:rPr>
                <w:rFonts w:cs="Calibri"/>
              </w:rPr>
            </w:pPr>
            <w:r w:rsidRPr="00DD47DF">
              <w:rPr>
                <w:rFonts w:cs="Calibri"/>
              </w:rPr>
              <w:t>50002</w:t>
            </w:r>
          </w:p>
        </w:tc>
        <w:tc>
          <w:tcPr>
            <w:tcW w:w="1239" w:type="pct"/>
            <w:tcBorders>
              <w:top w:val="single" w:sz="4" w:space="0" w:color="000000"/>
              <w:left w:val="single" w:sz="4" w:space="0" w:color="000000"/>
              <w:bottom w:val="single" w:sz="4" w:space="0" w:color="000000"/>
              <w:right w:val="single" w:sz="4" w:space="0" w:color="000000"/>
            </w:tcBorders>
            <w:vAlign w:val="center"/>
          </w:tcPr>
          <w:p w14:paraId="2866D9B1" w14:textId="77777777" w:rsidR="007274C3" w:rsidRPr="00DD47DF" w:rsidRDefault="007274C3" w:rsidP="007274C3">
            <w:pPr>
              <w:pStyle w:val="Tabulka"/>
              <w:jc w:val="left"/>
              <w:rPr>
                <w:rFonts w:cs="Calibri"/>
              </w:rPr>
            </w:pPr>
            <w:r w:rsidRPr="00DD47DF">
              <w:rPr>
                <w:rFonts w:cs="Calibri"/>
              </w:rPr>
              <w:t>Nové kapacity pro školení a odborné vzdělávání MSP</w:t>
            </w:r>
          </w:p>
        </w:tc>
        <w:tc>
          <w:tcPr>
            <w:tcW w:w="507" w:type="pct"/>
            <w:tcBorders>
              <w:top w:val="single" w:sz="4" w:space="0" w:color="000000"/>
              <w:left w:val="single" w:sz="4" w:space="0" w:color="000000"/>
              <w:bottom w:val="single" w:sz="4" w:space="0" w:color="000000"/>
              <w:right w:val="single" w:sz="4" w:space="0" w:color="000000"/>
            </w:tcBorders>
            <w:vAlign w:val="center"/>
          </w:tcPr>
          <w:p w14:paraId="0CBA1274" w14:textId="77777777" w:rsidR="007274C3" w:rsidRPr="00DD47DF" w:rsidRDefault="007274C3" w:rsidP="007274C3">
            <w:pPr>
              <w:pStyle w:val="Tabulka"/>
              <w:rPr>
                <w:rFonts w:cs="Calibri"/>
                <w:bCs/>
              </w:rPr>
            </w:pPr>
            <w:r w:rsidRPr="00DD47DF">
              <w:rPr>
                <w:rFonts w:cs="Calibri"/>
                <w:bCs/>
              </w:rPr>
              <w:t>osoby</w:t>
            </w:r>
          </w:p>
        </w:tc>
        <w:tc>
          <w:tcPr>
            <w:tcW w:w="357" w:type="pct"/>
            <w:tcBorders>
              <w:top w:val="single" w:sz="4" w:space="0" w:color="000000"/>
              <w:left w:val="single" w:sz="4" w:space="0" w:color="000000"/>
              <w:bottom w:val="single" w:sz="4" w:space="0" w:color="000000"/>
              <w:right w:val="single" w:sz="4" w:space="0" w:color="000000"/>
            </w:tcBorders>
            <w:vAlign w:val="center"/>
          </w:tcPr>
          <w:p w14:paraId="596293A0" w14:textId="77777777"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35C656C3" w14:textId="77777777"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14FB576D" w14:textId="35BC6C06" w:rsidR="007274C3" w:rsidRPr="00DD47DF" w:rsidRDefault="007274C3" w:rsidP="007274C3">
            <w:pPr>
              <w:pStyle w:val="Tabulka"/>
              <w:rPr>
                <w:rFonts w:cs="Calibri"/>
              </w:rPr>
            </w:pPr>
            <w:r>
              <w:rPr>
                <w:rFonts w:cs="Calibri"/>
              </w:rPr>
              <w:t>7 884</w:t>
            </w:r>
          </w:p>
        </w:tc>
        <w:tc>
          <w:tcPr>
            <w:tcW w:w="535" w:type="pct"/>
            <w:tcBorders>
              <w:top w:val="single" w:sz="4" w:space="0" w:color="000000"/>
              <w:left w:val="single" w:sz="4" w:space="0" w:color="000000"/>
              <w:bottom w:val="single" w:sz="4" w:space="0" w:color="000000"/>
              <w:right w:val="single" w:sz="4" w:space="0" w:color="000000"/>
            </w:tcBorders>
            <w:vAlign w:val="center"/>
          </w:tcPr>
          <w:p w14:paraId="0955A93F" w14:textId="77777777" w:rsidR="007274C3" w:rsidRPr="00DD47DF" w:rsidRDefault="007274C3" w:rsidP="007274C3">
            <w:pPr>
              <w:pStyle w:val="Tabulka"/>
              <w:rPr>
                <w:rFonts w:cs="Calibri"/>
              </w:rPr>
            </w:pPr>
            <w:r w:rsidRPr="00DD47DF">
              <w:rPr>
                <w:rFonts w:cs="Calibri"/>
              </w:rPr>
              <w:t>Ž/P</w:t>
            </w:r>
          </w:p>
        </w:tc>
        <w:tc>
          <w:tcPr>
            <w:tcW w:w="561" w:type="pct"/>
            <w:tcBorders>
              <w:top w:val="single" w:sz="4" w:space="0" w:color="000000"/>
              <w:left w:val="single" w:sz="4" w:space="0" w:color="000000"/>
              <w:bottom w:val="single" w:sz="4" w:space="0" w:color="000000"/>
              <w:right w:val="single" w:sz="4" w:space="0" w:color="000000"/>
            </w:tcBorders>
            <w:vAlign w:val="center"/>
          </w:tcPr>
          <w:p w14:paraId="364A95A7" w14:textId="77777777" w:rsidR="007274C3" w:rsidRPr="00DD47DF" w:rsidRDefault="007274C3" w:rsidP="007274C3">
            <w:pPr>
              <w:pStyle w:val="Tabulka"/>
              <w:rPr>
                <w:rFonts w:cs="Calibri"/>
              </w:rPr>
            </w:pPr>
            <w:r>
              <w:rPr>
                <w:rFonts w:cs="Calibri"/>
              </w:rPr>
              <w:t>průběžně</w:t>
            </w:r>
          </w:p>
        </w:tc>
      </w:tr>
      <w:tr w:rsidR="00251879" w:rsidRPr="00DD47DF" w14:paraId="1601404B"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75169BF6" w14:textId="180F2D7B" w:rsidR="00251879" w:rsidRPr="00DD47DF" w:rsidRDefault="00251879" w:rsidP="00251879">
            <w:pPr>
              <w:pStyle w:val="Tabulka"/>
              <w:rPr>
                <w:rFonts w:cs="Calibri"/>
              </w:rPr>
            </w:pPr>
            <w:r w:rsidRPr="00700E39">
              <w:rPr>
                <w:rFonts w:cs="Calibri"/>
              </w:rPr>
              <w:t>CO 08</w:t>
            </w:r>
          </w:p>
        </w:tc>
        <w:tc>
          <w:tcPr>
            <w:tcW w:w="1239" w:type="pct"/>
            <w:tcBorders>
              <w:top w:val="single" w:sz="4" w:space="0" w:color="000000"/>
              <w:left w:val="single" w:sz="4" w:space="0" w:color="000000"/>
              <w:bottom w:val="single" w:sz="4" w:space="0" w:color="000000"/>
              <w:right w:val="single" w:sz="4" w:space="0" w:color="000000"/>
            </w:tcBorders>
            <w:vAlign w:val="center"/>
          </w:tcPr>
          <w:p w14:paraId="7F6A2CB7" w14:textId="1950746B" w:rsidR="00251879" w:rsidRPr="00DD47DF" w:rsidRDefault="00251879" w:rsidP="00251879">
            <w:pPr>
              <w:pStyle w:val="Tabulka"/>
              <w:jc w:val="left"/>
              <w:rPr>
                <w:rFonts w:cs="Calibri"/>
              </w:rPr>
            </w:pPr>
            <w:r w:rsidRPr="00700E39">
              <w:rPr>
                <w:rFonts w:cs="Calibri"/>
              </w:rPr>
              <w:t>Zvýšení zaměstnanosti v podporovaných podnicích</w:t>
            </w:r>
          </w:p>
        </w:tc>
        <w:tc>
          <w:tcPr>
            <w:tcW w:w="507" w:type="pct"/>
            <w:tcBorders>
              <w:top w:val="single" w:sz="4" w:space="0" w:color="000000"/>
              <w:left w:val="single" w:sz="4" w:space="0" w:color="000000"/>
              <w:bottom w:val="single" w:sz="4" w:space="0" w:color="000000"/>
              <w:right w:val="single" w:sz="4" w:space="0" w:color="000000"/>
            </w:tcBorders>
            <w:vAlign w:val="center"/>
          </w:tcPr>
          <w:p w14:paraId="27426E87" w14:textId="3E8EF135" w:rsidR="00251879" w:rsidRPr="00DD47DF" w:rsidRDefault="00251879" w:rsidP="00251879">
            <w:pPr>
              <w:pStyle w:val="Tabulka"/>
              <w:rPr>
                <w:rFonts w:cs="Calibri"/>
                <w:bCs/>
              </w:rPr>
            </w:pPr>
            <w:r w:rsidRPr="00700E39">
              <w:rPr>
                <w:rFonts w:cs="Calibri"/>
              </w:rPr>
              <w:t>FTE</w:t>
            </w:r>
          </w:p>
        </w:tc>
        <w:tc>
          <w:tcPr>
            <w:tcW w:w="357" w:type="pct"/>
            <w:tcBorders>
              <w:top w:val="single" w:sz="4" w:space="0" w:color="000000"/>
              <w:left w:val="single" w:sz="4" w:space="0" w:color="000000"/>
              <w:bottom w:val="single" w:sz="4" w:space="0" w:color="000000"/>
              <w:right w:val="single" w:sz="4" w:space="0" w:color="000000"/>
            </w:tcBorders>
            <w:vAlign w:val="center"/>
          </w:tcPr>
          <w:p w14:paraId="3A97093C" w14:textId="0CC84AE9" w:rsidR="00251879" w:rsidRPr="00DD47DF" w:rsidRDefault="00251879" w:rsidP="00251879">
            <w:pPr>
              <w:pStyle w:val="Tabulka"/>
              <w:rPr>
                <w:rFonts w:cs="Calibri"/>
              </w:rPr>
            </w:pPr>
            <w:r w:rsidRPr="00700E39">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4F4A149E" w14:textId="7AEE7926" w:rsidR="00251879" w:rsidRPr="00DD47DF" w:rsidRDefault="00251879" w:rsidP="00251879">
            <w:pPr>
              <w:pStyle w:val="Tabulka"/>
              <w:rPr>
                <w:rFonts w:cs="Calibri"/>
              </w:rPr>
            </w:pPr>
            <w:r w:rsidRPr="00700E39">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6805D8B9" w14:textId="29AAA2F6" w:rsidR="00251879" w:rsidRDefault="00251879" w:rsidP="00251879">
            <w:pPr>
              <w:pStyle w:val="Tabulka"/>
              <w:rPr>
                <w:rFonts w:cs="Calibri"/>
              </w:rPr>
            </w:pPr>
            <w:r w:rsidRPr="00700E39">
              <w:rPr>
                <w:rFonts w:cs="Calibri"/>
              </w:rPr>
              <w:t>400</w:t>
            </w:r>
          </w:p>
        </w:tc>
        <w:tc>
          <w:tcPr>
            <w:tcW w:w="535" w:type="pct"/>
            <w:tcBorders>
              <w:top w:val="single" w:sz="4" w:space="0" w:color="000000"/>
              <w:left w:val="single" w:sz="4" w:space="0" w:color="000000"/>
              <w:bottom w:val="single" w:sz="4" w:space="0" w:color="000000"/>
              <w:right w:val="single" w:sz="4" w:space="0" w:color="000000"/>
            </w:tcBorders>
            <w:vAlign w:val="center"/>
          </w:tcPr>
          <w:p w14:paraId="43581D8E" w14:textId="123A9076" w:rsidR="00251879" w:rsidRPr="00DD47DF" w:rsidRDefault="00251879" w:rsidP="00251879">
            <w:pPr>
              <w:pStyle w:val="Tabulka"/>
              <w:rPr>
                <w:rFonts w:cs="Calibri"/>
              </w:rPr>
            </w:pPr>
            <w:r w:rsidRPr="00700E39">
              <w:rPr>
                <w:rFonts w:cs="Calibri"/>
              </w:rPr>
              <w:t>Ž/P</w:t>
            </w:r>
          </w:p>
        </w:tc>
        <w:tc>
          <w:tcPr>
            <w:tcW w:w="561" w:type="pct"/>
            <w:tcBorders>
              <w:top w:val="single" w:sz="4" w:space="0" w:color="000000"/>
              <w:left w:val="single" w:sz="4" w:space="0" w:color="000000"/>
              <w:bottom w:val="single" w:sz="4" w:space="0" w:color="000000"/>
              <w:right w:val="single" w:sz="4" w:space="0" w:color="000000"/>
            </w:tcBorders>
            <w:vAlign w:val="center"/>
          </w:tcPr>
          <w:p w14:paraId="26729D17" w14:textId="6BC4B137" w:rsidR="00251879" w:rsidRDefault="00251879" w:rsidP="00251879">
            <w:pPr>
              <w:pStyle w:val="Tabulka"/>
              <w:rPr>
                <w:rFonts w:cs="Calibri"/>
              </w:rPr>
            </w:pPr>
            <w:r w:rsidRPr="00700E39">
              <w:rPr>
                <w:rFonts w:cs="Calibri"/>
              </w:rPr>
              <w:t>průběžně</w:t>
            </w:r>
          </w:p>
        </w:tc>
      </w:tr>
    </w:tbl>
    <w:p w14:paraId="7042E5F6" w14:textId="77777777" w:rsidR="00346C12" w:rsidRPr="00DD47DF" w:rsidRDefault="00AC6E26" w:rsidP="00AC36CB">
      <w:pPr>
        <w:pStyle w:val="kapitola2A0"/>
        <w:numPr>
          <w:ilvl w:val="2"/>
          <w:numId w:val="133"/>
        </w:numPr>
      </w:pPr>
      <w:bookmarkStart w:id="54" w:name="_Toc506885003"/>
      <w:r w:rsidRPr="00DD47DF">
        <w:t>Sociální inovace, nadnárodní spolupráce a přínos k tematickým cílům 1 až 7</w:t>
      </w:r>
      <w:bookmarkEnd w:id="54"/>
      <w:r w:rsidR="00346C12" w:rsidRPr="00DD47DF">
        <w:t xml:space="preserve"> </w:t>
      </w:r>
    </w:p>
    <w:p w14:paraId="517CF3AB" w14:textId="77777777" w:rsidR="004126CC" w:rsidRPr="00DD47DF" w:rsidRDefault="008A5FCE" w:rsidP="008A5FCE">
      <w:pPr>
        <w:pStyle w:val="Standardntext"/>
        <w:sectPr w:rsidR="004126CC" w:rsidRPr="00DD47DF" w:rsidSect="00A86EB3">
          <w:headerReference w:type="default" r:id="rId33"/>
          <w:footerReference w:type="default" r:id="rId34"/>
          <w:pgSz w:w="11906" w:h="16838"/>
          <w:pgMar w:top="1418" w:right="1276" w:bottom="1276" w:left="1418" w:header="709" w:footer="709" w:gutter="0"/>
          <w:cols w:space="708"/>
          <w:docGrid w:linePitch="272"/>
        </w:sectPr>
      </w:pPr>
      <w:r w:rsidRPr="00DD47DF">
        <w:t>Není relevantní pro OP PIK.</w:t>
      </w:r>
    </w:p>
    <w:p w14:paraId="419CD724" w14:textId="77777777" w:rsidR="00346C12" w:rsidRPr="00DD47DF" w:rsidRDefault="00AC6E26" w:rsidP="00441D67">
      <w:pPr>
        <w:pStyle w:val="kapitola2A0"/>
        <w:numPr>
          <w:ilvl w:val="2"/>
          <w:numId w:val="133"/>
        </w:numPr>
      </w:pPr>
      <w:bookmarkStart w:id="55" w:name="_Toc506885004"/>
      <w:r w:rsidRPr="00DD47DF">
        <w:lastRenderedPageBreak/>
        <w:t>Výkonnostní rámec</w:t>
      </w:r>
      <w:bookmarkEnd w:id="55"/>
    </w:p>
    <w:p w14:paraId="38F648C2" w14:textId="77777777" w:rsidR="00505E76" w:rsidRPr="00DD47DF" w:rsidRDefault="00505E76" w:rsidP="00B5004C">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6</w:t>
      </w:r>
      <w:r w:rsidR="002756E7" w:rsidRPr="00DD47DF">
        <w:rPr>
          <w:noProof/>
        </w:rPr>
        <w:fldChar w:fldCharType="end"/>
      </w:r>
      <w:r w:rsidRPr="00DD47DF">
        <w:t xml:space="preserve">: </w:t>
      </w:r>
      <w:r w:rsidR="00AC6E26" w:rsidRPr="00DD47DF">
        <w:t>Výkonnostní rámec prioritní osy</w:t>
      </w:r>
      <w:r w:rsidRPr="00DD47DF">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689"/>
        <w:gridCol w:w="799"/>
        <w:gridCol w:w="1495"/>
        <w:gridCol w:w="1210"/>
        <w:gridCol w:w="767"/>
        <w:gridCol w:w="1145"/>
        <w:gridCol w:w="1263"/>
        <w:gridCol w:w="1307"/>
        <w:gridCol w:w="997"/>
        <w:gridCol w:w="2653"/>
      </w:tblGrid>
      <w:tr w:rsidR="000E6E04" w:rsidRPr="00DD47DF" w14:paraId="225430CF" w14:textId="77777777" w:rsidTr="00700B4C">
        <w:tc>
          <w:tcPr>
            <w:tcW w:w="345" w:type="pct"/>
            <w:shd w:val="clear" w:color="auto" w:fill="B8CCE4"/>
            <w:vAlign w:val="center"/>
          </w:tcPr>
          <w:p w14:paraId="5B521BA8" w14:textId="77777777" w:rsidR="000E6E04" w:rsidRPr="00DD47DF" w:rsidRDefault="000E6E04" w:rsidP="00700B4C">
            <w:pPr>
              <w:pStyle w:val="Tabulka"/>
              <w:keepNext/>
              <w:keepLines/>
              <w:rPr>
                <w:rFonts w:cs="Calibri"/>
                <w:b/>
              </w:rPr>
            </w:pPr>
            <w:r w:rsidRPr="00DD47DF">
              <w:rPr>
                <w:rFonts w:cs="Calibri"/>
                <w:b/>
              </w:rPr>
              <w:t>Prioritní osa</w:t>
            </w:r>
          </w:p>
        </w:tc>
        <w:tc>
          <w:tcPr>
            <w:tcW w:w="620" w:type="pct"/>
            <w:shd w:val="clear" w:color="auto" w:fill="B8CCE4"/>
            <w:vAlign w:val="center"/>
          </w:tcPr>
          <w:p w14:paraId="77FBEC6C" w14:textId="77777777" w:rsidR="000E6E04" w:rsidRPr="00DD47DF" w:rsidRDefault="000E6E04" w:rsidP="00700B4C">
            <w:pPr>
              <w:pStyle w:val="Tabulka"/>
              <w:keepNext/>
              <w:keepLines/>
              <w:rPr>
                <w:rFonts w:cs="Calibri"/>
                <w:b/>
              </w:rPr>
            </w:pPr>
            <w:r w:rsidRPr="00DD47DF">
              <w:rPr>
                <w:rFonts w:cs="Calibri"/>
                <w:b/>
              </w:rPr>
              <w:t>Typ ukazatele</w:t>
            </w:r>
          </w:p>
          <w:p w14:paraId="16A9D6C2" w14:textId="77777777" w:rsidR="000E6E04" w:rsidRPr="00DD47DF" w:rsidRDefault="000E6E04" w:rsidP="00700B4C">
            <w:pPr>
              <w:pStyle w:val="Tabulka"/>
              <w:keepNext/>
              <w:keepLines/>
              <w:rPr>
                <w:rFonts w:cs="Calibri"/>
                <w:b/>
              </w:rPr>
            </w:pPr>
            <w:r w:rsidRPr="00DD47DF">
              <w:rPr>
                <w:rFonts w:cs="Calibri"/>
                <w:b/>
              </w:rPr>
              <w:t>(klíčový krok provádění, finanční výstup nebo popřípadě ukazatel výsledků)</w:t>
            </w:r>
          </w:p>
        </w:tc>
        <w:tc>
          <w:tcPr>
            <w:tcW w:w="199" w:type="pct"/>
            <w:shd w:val="clear" w:color="auto" w:fill="B8CCE4"/>
            <w:vAlign w:val="center"/>
          </w:tcPr>
          <w:p w14:paraId="0CA09D22" w14:textId="77777777" w:rsidR="000E6E04" w:rsidRPr="00DD47DF" w:rsidRDefault="000E6E04" w:rsidP="00700B4C">
            <w:pPr>
              <w:pStyle w:val="Tabulka"/>
              <w:keepNext/>
              <w:keepLines/>
              <w:rPr>
                <w:rFonts w:cs="Calibri"/>
                <w:b/>
              </w:rPr>
            </w:pPr>
            <w:r w:rsidRPr="00DD47DF">
              <w:rPr>
                <w:rFonts w:cs="Calibri"/>
                <w:b/>
              </w:rPr>
              <w:t>ID</w:t>
            </w:r>
          </w:p>
        </w:tc>
        <w:tc>
          <w:tcPr>
            <w:tcW w:w="547" w:type="pct"/>
            <w:shd w:val="clear" w:color="auto" w:fill="B8CCE4"/>
            <w:tcMar>
              <w:top w:w="0" w:type="dxa"/>
              <w:left w:w="108" w:type="dxa"/>
              <w:bottom w:w="0" w:type="dxa"/>
              <w:right w:w="108" w:type="dxa"/>
            </w:tcMar>
            <w:vAlign w:val="center"/>
          </w:tcPr>
          <w:p w14:paraId="08B8CDDD" w14:textId="77777777" w:rsidR="000E6E04" w:rsidRPr="00DD47DF" w:rsidRDefault="000E6E04" w:rsidP="00700B4C">
            <w:pPr>
              <w:pStyle w:val="Tabulka"/>
              <w:keepNext/>
              <w:keepLines/>
              <w:rPr>
                <w:rFonts w:cs="Calibri"/>
                <w:b/>
              </w:rPr>
            </w:pPr>
            <w:r w:rsidRPr="00DD47DF">
              <w:rPr>
                <w:rFonts w:cs="Calibri"/>
                <w:b/>
              </w:rPr>
              <w:t>Ukazatel nebo klíčový krok provádění</w:t>
            </w:r>
          </w:p>
        </w:tc>
        <w:tc>
          <w:tcPr>
            <w:tcW w:w="447" w:type="pct"/>
            <w:shd w:val="clear" w:color="auto" w:fill="B8CCE4"/>
            <w:tcMar>
              <w:top w:w="0" w:type="dxa"/>
              <w:left w:w="108" w:type="dxa"/>
              <w:bottom w:w="0" w:type="dxa"/>
              <w:right w:w="108" w:type="dxa"/>
            </w:tcMar>
            <w:vAlign w:val="center"/>
          </w:tcPr>
          <w:p w14:paraId="34BE46B7" w14:textId="77777777" w:rsidR="000E6E04" w:rsidRPr="00DD47DF" w:rsidRDefault="000E6E04" w:rsidP="00700B4C">
            <w:pPr>
              <w:pStyle w:val="Tabulka"/>
              <w:keepNext/>
              <w:keepLines/>
              <w:rPr>
                <w:rFonts w:cs="Calibri"/>
                <w:b/>
              </w:rPr>
            </w:pPr>
            <w:r w:rsidRPr="00DD47DF">
              <w:rPr>
                <w:rFonts w:cs="Calibri"/>
                <w:b/>
              </w:rPr>
              <w:t>Měrná jednotka (použije-li se)</w:t>
            </w:r>
          </w:p>
        </w:tc>
        <w:tc>
          <w:tcPr>
            <w:tcW w:w="269" w:type="pct"/>
            <w:shd w:val="clear" w:color="auto" w:fill="B8CCE4"/>
            <w:tcMar>
              <w:top w:w="0" w:type="dxa"/>
              <w:left w:w="108" w:type="dxa"/>
              <w:bottom w:w="0" w:type="dxa"/>
              <w:right w:w="108" w:type="dxa"/>
            </w:tcMar>
            <w:vAlign w:val="center"/>
          </w:tcPr>
          <w:p w14:paraId="02ABB380" w14:textId="77777777" w:rsidR="000E6E04" w:rsidRPr="00DD47DF" w:rsidRDefault="000E6E04" w:rsidP="00700B4C">
            <w:pPr>
              <w:pStyle w:val="Tabulka"/>
              <w:keepNext/>
              <w:keepLines/>
              <w:rPr>
                <w:rFonts w:cs="Calibri"/>
                <w:b/>
              </w:rPr>
            </w:pPr>
            <w:r w:rsidRPr="00DD47DF">
              <w:rPr>
                <w:rFonts w:cs="Calibri"/>
                <w:b/>
              </w:rPr>
              <w:t>Fond</w:t>
            </w:r>
          </w:p>
        </w:tc>
        <w:tc>
          <w:tcPr>
            <w:tcW w:w="402" w:type="pct"/>
            <w:shd w:val="clear" w:color="auto" w:fill="B8CCE4"/>
            <w:tcMar>
              <w:top w:w="0" w:type="dxa"/>
              <w:left w:w="108" w:type="dxa"/>
              <w:bottom w:w="0" w:type="dxa"/>
              <w:right w:w="108" w:type="dxa"/>
            </w:tcMar>
            <w:vAlign w:val="center"/>
          </w:tcPr>
          <w:p w14:paraId="1011E0E3" w14:textId="77777777" w:rsidR="000E6E04" w:rsidRPr="00DD47DF" w:rsidRDefault="000E6E04" w:rsidP="00700B4C">
            <w:pPr>
              <w:pStyle w:val="Tabulka"/>
              <w:keepNext/>
              <w:keepLines/>
              <w:rPr>
                <w:rFonts w:cs="Calibri"/>
                <w:b/>
              </w:rPr>
            </w:pPr>
            <w:r w:rsidRPr="00DD47DF">
              <w:rPr>
                <w:rFonts w:cs="Calibri"/>
                <w:b/>
              </w:rPr>
              <w:t>Kategorie regionů</w:t>
            </w:r>
          </w:p>
        </w:tc>
        <w:tc>
          <w:tcPr>
            <w:tcW w:w="488" w:type="pct"/>
            <w:shd w:val="clear" w:color="auto" w:fill="B8CCE4"/>
            <w:vAlign w:val="center"/>
          </w:tcPr>
          <w:p w14:paraId="18ED1E77" w14:textId="77777777" w:rsidR="000E6E04" w:rsidRPr="00DD47DF" w:rsidRDefault="000E6E04" w:rsidP="00700B4C">
            <w:pPr>
              <w:pStyle w:val="Tabulka"/>
              <w:keepNext/>
              <w:keepLines/>
              <w:rPr>
                <w:rFonts w:cs="Calibri"/>
                <w:b/>
              </w:rPr>
            </w:pPr>
            <w:r w:rsidRPr="00DD47DF">
              <w:rPr>
                <w:rFonts w:cs="Calibri"/>
                <w:b/>
              </w:rPr>
              <w:t>Milník pro rok 2018</w:t>
            </w:r>
          </w:p>
        </w:tc>
        <w:tc>
          <w:tcPr>
            <w:tcW w:w="481" w:type="pct"/>
            <w:shd w:val="clear" w:color="auto" w:fill="B8CCE4"/>
            <w:tcMar>
              <w:top w:w="0" w:type="dxa"/>
              <w:left w:w="108" w:type="dxa"/>
              <w:bottom w:w="0" w:type="dxa"/>
              <w:right w:w="108" w:type="dxa"/>
            </w:tcMar>
            <w:vAlign w:val="center"/>
          </w:tcPr>
          <w:p w14:paraId="5BB675F9" w14:textId="77777777" w:rsidR="000E6E04" w:rsidRPr="00DD47DF" w:rsidRDefault="000E6E04" w:rsidP="00700B4C">
            <w:pPr>
              <w:pStyle w:val="Tabulka"/>
              <w:keepNext/>
              <w:keepLines/>
              <w:rPr>
                <w:rFonts w:cs="Calibri"/>
                <w:b/>
              </w:rPr>
            </w:pPr>
            <w:r w:rsidRPr="00DD47DF">
              <w:rPr>
                <w:rFonts w:cs="Calibri"/>
                <w:b/>
              </w:rPr>
              <w:t>Konečný cíl (2023)</w:t>
            </w:r>
          </w:p>
        </w:tc>
        <w:tc>
          <w:tcPr>
            <w:tcW w:w="249" w:type="pct"/>
            <w:shd w:val="clear" w:color="auto" w:fill="B8CCE4"/>
            <w:vAlign w:val="center"/>
          </w:tcPr>
          <w:p w14:paraId="01D8BAE3" w14:textId="77777777" w:rsidR="000E6E04" w:rsidRPr="00DD47DF" w:rsidRDefault="000E6E04" w:rsidP="00700B4C">
            <w:pPr>
              <w:pStyle w:val="Tabulka"/>
              <w:keepNext/>
              <w:keepLines/>
              <w:rPr>
                <w:rFonts w:cs="Calibri"/>
                <w:b/>
              </w:rPr>
            </w:pPr>
            <w:r w:rsidRPr="00DD47DF">
              <w:rPr>
                <w:rFonts w:cs="Calibri"/>
                <w:b/>
              </w:rPr>
              <w:t>Zdroj dat</w:t>
            </w:r>
          </w:p>
        </w:tc>
        <w:tc>
          <w:tcPr>
            <w:tcW w:w="953" w:type="pct"/>
            <w:shd w:val="clear" w:color="auto" w:fill="B8CCE4"/>
            <w:vAlign w:val="center"/>
          </w:tcPr>
          <w:p w14:paraId="72863961" w14:textId="77777777" w:rsidR="000E6E04" w:rsidRPr="00DD47DF" w:rsidRDefault="000E6E04" w:rsidP="00700B4C">
            <w:pPr>
              <w:pStyle w:val="Tabulka"/>
              <w:keepNext/>
              <w:keepLines/>
              <w:rPr>
                <w:rFonts w:cs="Calibri"/>
                <w:b/>
              </w:rPr>
            </w:pPr>
            <w:r w:rsidRPr="00DD47DF">
              <w:rPr>
                <w:rFonts w:cs="Calibri"/>
                <w:b/>
              </w:rPr>
              <w:t>Popřípadě vysvětlení relevantnosti ukazatele</w:t>
            </w:r>
          </w:p>
        </w:tc>
      </w:tr>
      <w:tr w:rsidR="000E6E04" w:rsidRPr="00DD47DF" w14:paraId="053118A9" w14:textId="77777777" w:rsidTr="00700B4C">
        <w:trPr>
          <w:trHeight w:val="670"/>
        </w:trPr>
        <w:tc>
          <w:tcPr>
            <w:tcW w:w="345" w:type="pct"/>
            <w:vAlign w:val="center"/>
          </w:tcPr>
          <w:p w14:paraId="12E13544" w14:textId="77777777" w:rsidR="000E6E04" w:rsidRPr="00DD47DF" w:rsidRDefault="000E6E04" w:rsidP="00700B4C">
            <w:pPr>
              <w:pStyle w:val="Tabulka"/>
              <w:rPr>
                <w:rFonts w:cs="Calibri"/>
              </w:rPr>
            </w:pPr>
            <w:r w:rsidRPr="00DD47DF">
              <w:rPr>
                <w:rFonts w:cs="Calibri"/>
              </w:rPr>
              <w:t>PO 2</w:t>
            </w:r>
          </w:p>
        </w:tc>
        <w:tc>
          <w:tcPr>
            <w:tcW w:w="620" w:type="pct"/>
            <w:vAlign w:val="center"/>
          </w:tcPr>
          <w:p w14:paraId="64C530CA" w14:textId="77777777" w:rsidR="000E6E04" w:rsidRPr="00DD47DF" w:rsidRDefault="000E6E04" w:rsidP="00700B4C">
            <w:pPr>
              <w:pStyle w:val="Tabulka"/>
              <w:rPr>
                <w:rFonts w:cs="Calibri"/>
              </w:rPr>
            </w:pPr>
            <w:r w:rsidRPr="00DD47DF">
              <w:rPr>
                <w:rFonts w:cs="Calibri"/>
              </w:rPr>
              <w:t>finanční</w:t>
            </w:r>
          </w:p>
        </w:tc>
        <w:tc>
          <w:tcPr>
            <w:tcW w:w="199" w:type="pct"/>
            <w:vAlign w:val="center"/>
          </w:tcPr>
          <w:p w14:paraId="7BEDB355" w14:textId="77777777" w:rsidR="000E6E04" w:rsidRPr="00DD47DF" w:rsidRDefault="000E6E04" w:rsidP="00700B4C">
            <w:pPr>
              <w:pStyle w:val="Tabulka"/>
              <w:rPr>
                <w:rFonts w:cs="Calibri"/>
              </w:rPr>
            </w:pPr>
            <w:r w:rsidRPr="00DD47DF">
              <w:rPr>
                <w:rFonts w:cs="Calibri"/>
              </w:rPr>
              <w:t>FINMT</w:t>
            </w:r>
          </w:p>
        </w:tc>
        <w:tc>
          <w:tcPr>
            <w:tcW w:w="547" w:type="pct"/>
            <w:shd w:val="clear" w:color="auto" w:fill="auto"/>
            <w:tcMar>
              <w:top w:w="0" w:type="dxa"/>
              <w:left w:w="108" w:type="dxa"/>
              <w:bottom w:w="0" w:type="dxa"/>
              <w:right w:w="108" w:type="dxa"/>
            </w:tcMar>
            <w:vAlign w:val="center"/>
          </w:tcPr>
          <w:p w14:paraId="6905D10B" w14:textId="77777777" w:rsidR="000E6E04" w:rsidRPr="00DD47DF" w:rsidRDefault="000E6E04" w:rsidP="00700B4C">
            <w:pPr>
              <w:pStyle w:val="Tabulka"/>
              <w:rPr>
                <w:rFonts w:cs="Calibri"/>
              </w:rPr>
            </w:pPr>
            <w:r w:rsidRPr="00DD47DF">
              <w:rPr>
                <w:rFonts w:cs="Calibri"/>
              </w:rPr>
              <w:t>Celkové způsobilé certifikované finanční prostředky</w:t>
            </w:r>
          </w:p>
        </w:tc>
        <w:tc>
          <w:tcPr>
            <w:tcW w:w="447" w:type="pct"/>
            <w:shd w:val="clear" w:color="auto" w:fill="auto"/>
            <w:tcMar>
              <w:top w:w="0" w:type="dxa"/>
              <w:left w:w="108" w:type="dxa"/>
              <w:bottom w:w="0" w:type="dxa"/>
              <w:right w:w="108" w:type="dxa"/>
            </w:tcMar>
            <w:vAlign w:val="center"/>
          </w:tcPr>
          <w:p w14:paraId="1F3174EE" w14:textId="77777777" w:rsidR="000E6E04" w:rsidRPr="00DD47DF" w:rsidRDefault="000E6E04" w:rsidP="00700B4C">
            <w:pPr>
              <w:pStyle w:val="Tabulka"/>
              <w:rPr>
                <w:rFonts w:cs="Calibri"/>
              </w:rPr>
            </w:pPr>
            <w:r w:rsidRPr="00DD47DF">
              <w:rPr>
                <w:rFonts w:cs="Calibri"/>
              </w:rPr>
              <w:t>EUR</w:t>
            </w:r>
          </w:p>
        </w:tc>
        <w:tc>
          <w:tcPr>
            <w:tcW w:w="269" w:type="pct"/>
            <w:shd w:val="clear" w:color="auto" w:fill="auto"/>
            <w:tcMar>
              <w:top w:w="0" w:type="dxa"/>
              <w:left w:w="108" w:type="dxa"/>
              <w:bottom w:w="0" w:type="dxa"/>
              <w:right w:w="108" w:type="dxa"/>
            </w:tcMar>
            <w:vAlign w:val="center"/>
          </w:tcPr>
          <w:p w14:paraId="475F9172" w14:textId="77777777" w:rsidR="000E6E04" w:rsidRPr="00DD47DF" w:rsidRDefault="000E6E04" w:rsidP="00700B4C">
            <w:pPr>
              <w:pStyle w:val="Tabulka"/>
              <w:rPr>
                <w:rFonts w:cs="Calibri"/>
              </w:rPr>
            </w:pPr>
            <w:r w:rsidRPr="00DD47DF">
              <w:rPr>
                <w:rFonts w:cs="Calibri"/>
              </w:rPr>
              <w:t>EFRR</w:t>
            </w:r>
          </w:p>
        </w:tc>
        <w:tc>
          <w:tcPr>
            <w:tcW w:w="402" w:type="pct"/>
            <w:shd w:val="clear" w:color="auto" w:fill="auto"/>
            <w:tcMar>
              <w:top w:w="0" w:type="dxa"/>
              <w:left w:w="108" w:type="dxa"/>
              <w:bottom w:w="0" w:type="dxa"/>
              <w:right w:w="108" w:type="dxa"/>
            </w:tcMar>
            <w:vAlign w:val="center"/>
          </w:tcPr>
          <w:p w14:paraId="385BAB17" w14:textId="77777777" w:rsidR="000E6E04" w:rsidRPr="00DD47DF" w:rsidRDefault="000E6E04" w:rsidP="00700B4C">
            <w:pPr>
              <w:pStyle w:val="Tabulka"/>
              <w:rPr>
                <w:rFonts w:cs="Calibri"/>
              </w:rPr>
            </w:pPr>
            <w:r w:rsidRPr="00DD47DF">
              <w:rPr>
                <w:rFonts w:cs="Calibri"/>
              </w:rPr>
              <w:t>Méně rozvinuté regiony</w:t>
            </w:r>
          </w:p>
        </w:tc>
        <w:tc>
          <w:tcPr>
            <w:tcW w:w="488" w:type="pct"/>
            <w:vAlign w:val="center"/>
          </w:tcPr>
          <w:p w14:paraId="2FBF61AE" w14:textId="77777777" w:rsidR="000E6E04" w:rsidRPr="00DD47DF" w:rsidRDefault="000E6E04" w:rsidP="00700B4C">
            <w:pPr>
              <w:pStyle w:val="Tabulka"/>
              <w:rPr>
                <w:rFonts w:cs="Calibri"/>
              </w:rPr>
            </w:pPr>
            <w:r w:rsidRPr="00DD47DF">
              <w:rPr>
                <w:rFonts w:cs="Calibri"/>
              </w:rPr>
              <w:t>26</w:t>
            </w:r>
            <w:r w:rsidR="00CC653D" w:rsidRPr="00DD47DF">
              <w:rPr>
                <w:rFonts w:cs="Calibri"/>
              </w:rPr>
              <w:t>8</w:t>
            </w:r>
            <w:r w:rsidRPr="00DD47DF">
              <w:rPr>
                <w:rFonts w:cs="Calibri"/>
              </w:rPr>
              <w:t> 400 000</w:t>
            </w:r>
          </w:p>
        </w:tc>
        <w:tc>
          <w:tcPr>
            <w:tcW w:w="481" w:type="pct"/>
            <w:shd w:val="clear" w:color="auto" w:fill="auto"/>
            <w:tcMar>
              <w:top w:w="0" w:type="dxa"/>
              <w:left w:w="108" w:type="dxa"/>
              <w:bottom w:w="0" w:type="dxa"/>
              <w:right w:w="108" w:type="dxa"/>
            </w:tcMar>
            <w:vAlign w:val="center"/>
          </w:tcPr>
          <w:p w14:paraId="5C131F42" w14:textId="62771119" w:rsidR="000E6E04" w:rsidRPr="00DD47DF" w:rsidRDefault="002C6227" w:rsidP="00700B4C">
            <w:pPr>
              <w:pStyle w:val="Tabulka"/>
              <w:rPr>
                <w:rFonts w:cs="Calibri"/>
              </w:rPr>
            </w:pPr>
            <w:r w:rsidRPr="00700E39">
              <w:t>1 893 030 864</w:t>
            </w:r>
          </w:p>
        </w:tc>
        <w:tc>
          <w:tcPr>
            <w:tcW w:w="249" w:type="pct"/>
            <w:vAlign w:val="center"/>
          </w:tcPr>
          <w:p w14:paraId="64A31904" w14:textId="77777777" w:rsidR="000E6E04" w:rsidRPr="00DD47DF" w:rsidRDefault="000E6E04" w:rsidP="00700B4C">
            <w:pPr>
              <w:pStyle w:val="Tabulka"/>
              <w:rPr>
                <w:rFonts w:cs="Calibri"/>
              </w:rPr>
            </w:pPr>
            <w:r w:rsidRPr="00DD47DF">
              <w:rPr>
                <w:rFonts w:cs="Calibri"/>
              </w:rPr>
              <w:t>ŘO</w:t>
            </w:r>
          </w:p>
        </w:tc>
        <w:tc>
          <w:tcPr>
            <w:tcW w:w="953" w:type="pct"/>
            <w:vAlign w:val="center"/>
          </w:tcPr>
          <w:p w14:paraId="600399D3" w14:textId="77777777" w:rsidR="000E6E04" w:rsidRPr="00DD47DF" w:rsidRDefault="000E6E04" w:rsidP="00700B4C">
            <w:pPr>
              <w:pStyle w:val="Tabulka"/>
              <w:rPr>
                <w:rFonts w:cs="Calibri"/>
              </w:rPr>
            </w:pPr>
            <w:r w:rsidRPr="00DD47DF">
              <w:rPr>
                <w:rFonts w:cs="Calibri"/>
              </w:rPr>
              <w:t>Objem celkových způsobilých výdajů zaslaných do účetního systému certifikačního orgánu a certifikovaných certifikačním orgánem.</w:t>
            </w:r>
          </w:p>
        </w:tc>
      </w:tr>
      <w:tr w:rsidR="000E6E04" w:rsidRPr="00DD47DF" w14:paraId="09FD685C" w14:textId="77777777" w:rsidTr="00700B4C">
        <w:tc>
          <w:tcPr>
            <w:tcW w:w="345" w:type="pct"/>
            <w:vAlign w:val="center"/>
          </w:tcPr>
          <w:p w14:paraId="478BB92D" w14:textId="77777777" w:rsidR="000E6E04" w:rsidRPr="00DD47DF" w:rsidRDefault="000E6E04" w:rsidP="00700B4C">
            <w:pPr>
              <w:pStyle w:val="Tabulka"/>
              <w:rPr>
                <w:rFonts w:cs="Calibri"/>
              </w:rPr>
            </w:pPr>
            <w:r w:rsidRPr="00DD47DF">
              <w:rPr>
                <w:rFonts w:cs="Calibri"/>
              </w:rPr>
              <w:t>PO 2</w:t>
            </w:r>
          </w:p>
        </w:tc>
        <w:tc>
          <w:tcPr>
            <w:tcW w:w="620" w:type="pct"/>
            <w:vAlign w:val="center"/>
          </w:tcPr>
          <w:p w14:paraId="564BCC83" w14:textId="77777777" w:rsidR="000E6E04" w:rsidRPr="00DD47DF" w:rsidRDefault="000E6E04" w:rsidP="00700B4C">
            <w:pPr>
              <w:pStyle w:val="Tabulka"/>
              <w:rPr>
                <w:rFonts w:cs="Calibri"/>
              </w:rPr>
            </w:pPr>
            <w:r w:rsidRPr="00DD47DF">
              <w:rPr>
                <w:rFonts w:cs="Calibri"/>
              </w:rPr>
              <w:t>výstupový</w:t>
            </w:r>
          </w:p>
        </w:tc>
        <w:tc>
          <w:tcPr>
            <w:tcW w:w="199" w:type="pct"/>
            <w:vAlign w:val="center"/>
          </w:tcPr>
          <w:p w14:paraId="34F19D46" w14:textId="1A7B1470" w:rsidR="000E6E04" w:rsidRPr="00DD47DF" w:rsidRDefault="000E6E04" w:rsidP="00700B4C">
            <w:pPr>
              <w:pStyle w:val="Tabulka"/>
              <w:rPr>
                <w:rFonts w:cs="Calibri"/>
              </w:rPr>
            </w:pPr>
            <w:r w:rsidRPr="00DD47DF">
              <w:rPr>
                <w:rFonts w:cs="Calibri"/>
              </w:rPr>
              <w:t>CO 01</w:t>
            </w:r>
          </w:p>
        </w:tc>
        <w:tc>
          <w:tcPr>
            <w:tcW w:w="547" w:type="pct"/>
            <w:shd w:val="clear" w:color="auto" w:fill="auto"/>
            <w:tcMar>
              <w:top w:w="0" w:type="dxa"/>
              <w:left w:w="108" w:type="dxa"/>
              <w:bottom w:w="0" w:type="dxa"/>
              <w:right w:w="108" w:type="dxa"/>
            </w:tcMar>
            <w:vAlign w:val="center"/>
          </w:tcPr>
          <w:p w14:paraId="342B5E8C" w14:textId="77777777" w:rsidR="000E6E04" w:rsidRPr="00DD47DF" w:rsidRDefault="000E6E04" w:rsidP="00700B4C">
            <w:pPr>
              <w:pStyle w:val="Tabulka"/>
              <w:rPr>
                <w:rFonts w:cs="Calibri"/>
              </w:rPr>
            </w:pPr>
            <w:r w:rsidRPr="00DD47DF">
              <w:rPr>
                <w:rFonts w:cs="Calibri"/>
              </w:rPr>
              <w:t>Počet podniků pobírajících podporu</w:t>
            </w:r>
          </w:p>
        </w:tc>
        <w:tc>
          <w:tcPr>
            <w:tcW w:w="447" w:type="pct"/>
            <w:shd w:val="clear" w:color="auto" w:fill="auto"/>
            <w:tcMar>
              <w:top w:w="0" w:type="dxa"/>
              <w:left w:w="108" w:type="dxa"/>
              <w:bottom w:w="0" w:type="dxa"/>
              <w:right w:w="108" w:type="dxa"/>
            </w:tcMar>
            <w:vAlign w:val="center"/>
          </w:tcPr>
          <w:p w14:paraId="7ED6EBB6" w14:textId="77777777" w:rsidR="000E6E04" w:rsidRPr="00DD47DF" w:rsidRDefault="000E6E04" w:rsidP="00700B4C">
            <w:pPr>
              <w:pStyle w:val="Tabulka"/>
              <w:rPr>
                <w:rFonts w:cs="Calibri"/>
              </w:rPr>
            </w:pPr>
            <w:r w:rsidRPr="00DD47DF">
              <w:rPr>
                <w:rFonts w:cs="Calibri"/>
              </w:rPr>
              <w:t>Podniky</w:t>
            </w:r>
          </w:p>
        </w:tc>
        <w:tc>
          <w:tcPr>
            <w:tcW w:w="269" w:type="pct"/>
            <w:shd w:val="clear" w:color="auto" w:fill="auto"/>
            <w:tcMar>
              <w:top w:w="0" w:type="dxa"/>
              <w:left w:w="108" w:type="dxa"/>
              <w:bottom w:w="0" w:type="dxa"/>
              <w:right w:w="108" w:type="dxa"/>
            </w:tcMar>
            <w:vAlign w:val="center"/>
          </w:tcPr>
          <w:p w14:paraId="161D9091" w14:textId="77777777" w:rsidR="000E6E04" w:rsidRPr="00DD47DF" w:rsidRDefault="000E6E04" w:rsidP="00700B4C">
            <w:pPr>
              <w:pStyle w:val="Tabulka"/>
              <w:rPr>
                <w:rFonts w:cs="Calibri"/>
              </w:rPr>
            </w:pPr>
            <w:r w:rsidRPr="00DD47DF">
              <w:rPr>
                <w:rFonts w:cs="Calibri"/>
              </w:rPr>
              <w:t>EFRR</w:t>
            </w:r>
          </w:p>
        </w:tc>
        <w:tc>
          <w:tcPr>
            <w:tcW w:w="402" w:type="pct"/>
            <w:shd w:val="clear" w:color="auto" w:fill="auto"/>
            <w:tcMar>
              <w:top w:w="0" w:type="dxa"/>
              <w:left w:w="108" w:type="dxa"/>
              <w:bottom w:w="0" w:type="dxa"/>
              <w:right w:w="108" w:type="dxa"/>
            </w:tcMar>
            <w:vAlign w:val="center"/>
          </w:tcPr>
          <w:p w14:paraId="073FD070" w14:textId="77777777" w:rsidR="000E6E04" w:rsidRPr="00DD47DF" w:rsidRDefault="000E6E04" w:rsidP="00700B4C">
            <w:pPr>
              <w:pStyle w:val="Tabulka"/>
              <w:rPr>
                <w:rFonts w:cs="Calibri"/>
              </w:rPr>
            </w:pPr>
            <w:r w:rsidRPr="00DD47DF">
              <w:rPr>
                <w:rFonts w:cs="Calibri"/>
              </w:rPr>
              <w:t>Méně rozvinuté regiony</w:t>
            </w:r>
          </w:p>
        </w:tc>
        <w:tc>
          <w:tcPr>
            <w:tcW w:w="488" w:type="pct"/>
            <w:vAlign w:val="center"/>
          </w:tcPr>
          <w:p w14:paraId="362C1049" w14:textId="77777777" w:rsidR="000E6E04" w:rsidRPr="00DD47DF" w:rsidRDefault="000E6E04" w:rsidP="00700B4C">
            <w:pPr>
              <w:pStyle w:val="Tabulka"/>
              <w:rPr>
                <w:rFonts w:cs="Calibri"/>
              </w:rPr>
            </w:pPr>
            <w:r w:rsidRPr="00DD47DF">
              <w:rPr>
                <w:rFonts w:cs="Calibri"/>
              </w:rPr>
              <w:t>1 350</w:t>
            </w:r>
          </w:p>
        </w:tc>
        <w:tc>
          <w:tcPr>
            <w:tcW w:w="481" w:type="pct"/>
            <w:shd w:val="clear" w:color="auto" w:fill="auto"/>
            <w:tcMar>
              <w:top w:w="0" w:type="dxa"/>
              <w:left w:w="108" w:type="dxa"/>
              <w:bottom w:w="0" w:type="dxa"/>
              <w:right w:w="108" w:type="dxa"/>
            </w:tcMar>
            <w:vAlign w:val="center"/>
          </w:tcPr>
          <w:p w14:paraId="537991D1" w14:textId="0CD7E4CC" w:rsidR="000E6E04" w:rsidRPr="00DD47DF" w:rsidRDefault="005C71BD" w:rsidP="000A0ABC">
            <w:pPr>
              <w:pStyle w:val="Tabulka"/>
              <w:rPr>
                <w:rFonts w:cs="Calibri"/>
              </w:rPr>
            </w:pPr>
            <w:r>
              <w:rPr>
                <w:rFonts w:cs="Calibri"/>
              </w:rPr>
              <w:t xml:space="preserve">7 </w:t>
            </w:r>
            <w:r w:rsidR="002F2192">
              <w:rPr>
                <w:rFonts w:cs="Calibri"/>
              </w:rPr>
              <w:t>3</w:t>
            </w:r>
            <w:r w:rsidR="000A0ABC">
              <w:rPr>
                <w:rFonts w:cs="Calibri"/>
              </w:rPr>
              <w:t>31</w:t>
            </w:r>
          </w:p>
        </w:tc>
        <w:tc>
          <w:tcPr>
            <w:tcW w:w="249" w:type="pct"/>
            <w:vAlign w:val="center"/>
          </w:tcPr>
          <w:p w14:paraId="79DBDBD5" w14:textId="77777777" w:rsidR="000E6E04" w:rsidRPr="00DD47DF" w:rsidRDefault="00FC7054" w:rsidP="00700B4C">
            <w:pPr>
              <w:pStyle w:val="Tabulka"/>
              <w:rPr>
                <w:rFonts w:cs="Calibri"/>
              </w:rPr>
            </w:pPr>
            <w:r>
              <w:rPr>
                <w:rFonts w:cs="Calibri"/>
              </w:rPr>
              <w:t>MS2014+</w:t>
            </w:r>
          </w:p>
        </w:tc>
        <w:tc>
          <w:tcPr>
            <w:tcW w:w="953" w:type="pct"/>
            <w:vAlign w:val="center"/>
          </w:tcPr>
          <w:p w14:paraId="028D8394" w14:textId="77777777" w:rsidR="000E6E04" w:rsidRPr="00DD47DF" w:rsidRDefault="000E6E04" w:rsidP="00700B4C">
            <w:pPr>
              <w:pStyle w:val="Tabulka"/>
              <w:rPr>
                <w:rFonts w:cs="Calibri"/>
              </w:rPr>
            </w:pPr>
            <w:r w:rsidRPr="00DD47DF">
              <w:rPr>
                <w:rFonts w:cs="Calibri"/>
              </w:rPr>
              <w:t>Indikátor sleduje počet podpořených firem a pokrývá finančně nejobjemnější část intervence v rámci prioritní osy 2. Rozhodujícím okamžikem pro započítání hodnoty milníku bude počet podpořených firem s ukončenou fyzickou realizací tzn. dosažením cílů projektů.</w:t>
            </w:r>
          </w:p>
        </w:tc>
      </w:tr>
    </w:tbl>
    <w:p w14:paraId="59994F9D" w14:textId="77777777" w:rsidR="000E6E04" w:rsidRPr="00DD47DF" w:rsidRDefault="000E6E04" w:rsidP="000E6E04">
      <w:pPr>
        <w:pStyle w:val="Titulek"/>
      </w:pPr>
      <w:r w:rsidRPr="00DD47DF">
        <w:lastRenderedPageBreak/>
        <w:t>Další kvalitativní informace o stanovení výkonnostního rámce</w:t>
      </w:r>
    </w:p>
    <w:p w14:paraId="699021B9" w14:textId="77777777" w:rsidR="000E6E04" w:rsidRPr="00DD47DF" w:rsidRDefault="000E6E04" w:rsidP="000E6E04">
      <w:pPr>
        <w:pStyle w:val="Standardntext"/>
      </w:pPr>
      <w:r w:rsidRPr="00DD47DF">
        <w:t>Pro OP PIK byly stanoveny hodnoty milníků pro rok 2018 a 2023 (finanční ukazatele a „certifikované finanční prostředky“, ukazatele výstupů).</w:t>
      </w:r>
    </w:p>
    <w:p w14:paraId="596AB61C" w14:textId="77777777" w:rsidR="000E6E04" w:rsidRPr="00DD47DF" w:rsidRDefault="000E6E04" w:rsidP="000E6E04">
      <w:pPr>
        <w:pStyle w:val="Standardntext"/>
      </w:pPr>
      <w:r w:rsidRPr="00DD47DF">
        <w:t xml:space="preserve">Při kvantifikaci milníků </w:t>
      </w:r>
      <w:r w:rsidRPr="00DD47DF">
        <w:rPr>
          <w:b/>
          <w:bCs/>
        </w:rPr>
        <w:t>pro rok 2018</w:t>
      </w:r>
      <w:r w:rsidRPr="00DD47DF">
        <w:t xml:space="preserve"> byly zohledněny dále uvedené klíčové předpoklady:</w:t>
      </w:r>
    </w:p>
    <w:p w14:paraId="6DD92C55" w14:textId="77777777" w:rsidR="000E6E04" w:rsidRPr="00DD47DF" w:rsidRDefault="000E6E04" w:rsidP="00DA3512">
      <w:pPr>
        <w:pStyle w:val="Standardntext"/>
        <w:numPr>
          <w:ilvl w:val="0"/>
          <w:numId w:val="84"/>
        </w:numPr>
        <w:rPr>
          <w:strike/>
        </w:rPr>
      </w:pPr>
      <w:r w:rsidRPr="00DD47DF">
        <w:t>Zohledněn je aktuální finanční plán OP PIK;</w:t>
      </w:r>
    </w:p>
    <w:p w14:paraId="3F86A2C1" w14:textId="77777777" w:rsidR="000E6E04" w:rsidRPr="00DD47DF" w:rsidRDefault="000E6E04" w:rsidP="00DA3512">
      <w:pPr>
        <w:pStyle w:val="Standardntext"/>
        <w:numPr>
          <w:ilvl w:val="0"/>
          <w:numId w:val="84"/>
        </w:numPr>
      </w:pPr>
      <w:r w:rsidRPr="00DD47DF">
        <w:t>Při stanovení milníku bylo v maximální možné míře vycházeno ze zkušeností s OPPI;</w:t>
      </w:r>
    </w:p>
    <w:p w14:paraId="2B1E92EB" w14:textId="77777777" w:rsidR="000E6E04" w:rsidRPr="00DD47DF" w:rsidRDefault="000E6E04" w:rsidP="00DA3512">
      <w:pPr>
        <w:pStyle w:val="Standardntext"/>
        <w:numPr>
          <w:ilvl w:val="0"/>
          <w:numId w:val="84"/>
        </w:numPr>
      </w:pPr>
      <w:r w:rsidRPr="00DD47DF">
        <w:t>První výzvy budou vyhlášeny pravděpodobně nejdříve až ve 2.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až ve 3. čtvrtletí 2015;</w:t>
      </w:r>
    </w:p>
    <w:p w14:paraId="4EF6FBD1" w14:textId="77777777" w:rsidR="000E6E04" w:rsidRPr="00DD47DF" w:rsidRDefault="000E6E04" w:rsidP="00DA3512">
      <w:pPr>
        <w:pStyle w:val="Standardntext"/>
        <w:numPr>
          <w:ilvl w:val="0"/>
          <w:numId w:val="84"/>
        </w:numPr>
      </w:pPr>
      <w:r w:rsidRPr="00DD47DF">
        <w:t xml:space="preserve">Při možném předpokladu, že projekty budou dvouleté, to znamená, že první z nich ukončí realizaci nejdříve koncem roku 2017 a finanční prostředky tak budou předkládány k certifikaci až v průběhu roku 2018 (u delších projektů však až počátkem roku 2019); </w:t>
      </w:r>
    </w:p>
    <w:p w14:paraId="74274E79" w14:textId="77777777" w:rsidR="000E6E04" w:rsidRPr="00DD47DF" w:rsidRDefault="000E6E04" w:rsidP="00DA3512">
      <w:pPr>
        <w:pStyle w:val="Standardntext"/>
        <w:numPr>
          <w:ilvl w:val="0"/>
          <w:numId w:val="84"/>
        </w:numPr>
      </w:pPr>
      <w:r w:rsidRPr="00DD47DF">
        <w:t>Ukazatelé výstupů stanovené ve výkonnostním rámci odpovídají více než 50 % finančního přídělu na prioritu (v souladu se čl. 5 Prováděcího nařízení komise (EU) č. 215/2014);</w:t>
      </w:r>
    </w:p>
    <w:p w14:paraId="22FA7816" w14:textId="77777777" w:rsidR="000E6E04" w:rsidRPr="00DD47DF" w:rsidRDefault="000E6E04" w:rsidP="00DA3512">
      <w:pPr>
        <w:pStyle w:val="Standardntext"/>
        <w:numPr>
          <w:ilvl w:val="0"/>
          <w:numId w:val="84"/>
        </w:numPr>
      </w:pPr>
      <w:r w:rsidRPr="00DD47DF">
        <w:t>Není započítána výkonnostní rezerva stanovená ŘO OP PIK na roky 2014 a 2015;</w:t>
      </w:r>
    </w:p>
    <w:p w14:paraId="7DDDAED8" w14:textId="77777777" w:rsidR="000E6E04" w:rsidRPr="00DD47DF" w:rsidRDefault="000E6E04" w:rsidP="00DA3512">
      <w:pPr>
        <w:pStyle w:val="Standardntext"/>
        <w:numPr>
          <w:ilvl w:val="0"/>
          <w:numId w:val="84"/>
        </w:numPr>
      </w:pPr>
      <w:r w:rsidRPr="00DD47DF">
        <w:t>Pravidlo n+3, na základě kterého je nutné vzít v úvahu, že na konci roku 2018 by měla být vyčerpána alokace let 2014, 2015;</w:t>
      </w:r>
    </w:p>
    <w:p w14:paraId="3C897FEB" w14:textId="77777777" w:rsidR="000E6E04" w:rsidRPr="00DD47DF" w:rsidRDefault="000E6E04" w:rsidP="00DA3512">
      <w:pPr>
        <w:pStyle w:val="Standardntext"/>
        <w:numPr>
          <w:ilvl w:val="0"/>
          <w:numId w:val="84"/>
        </w:numPr>
      </w:pPr>
      <w:r w:rsidRPr="00DD47DF">
        <w:t>Nové typy aktivit v této prioritní ose OP PIK,</w:t>
      </w:r>
    </w:p>
    <w:p w14:paraId="01FD2022" w14:textId="77777777" w:rsidR="000E6E04" w:rsidRPr="00DD47DF" w:rsidRDefault="000E6E04" w:rsidP="00DA3512">
      <w:pPr>
        <w:pStyle w:val="Standardntext"/>
        <w:numPr>
          <w:ilvl w:val="0"/>
          <w:numId w:val="84"/>
        </w:numPr>
      </w:pPr>
      <w:r w:rsidRPr="00DD47DF">
        <w:t>Využití finančních nástrojů v SC 2.1, rizikovým je v tomto případě např. časový rámec pro přípravu projektu, lze tak předpokládat pomalejší rozjezd aktivit.</w:t>
      </w:r>
    </w:p>
    <w:p w14:paraId="66C66FF2" w14:textId="77777777" w:rsidR="000E6E04" w:rsidRPr="00DD47DF" w:rsidRDefault="000E6E04" w:rsidP="00DA3512">
      <w:pPr>
        <w:pStyle w:val="Standardntext"/>
        <w:numPr>
          <w:ilvl w:val="0"/>
          <w:numId w:val="84"/>
        </w:numPr>
      </w:pPr>
      <w:r w:rsidRPr="00DD47DF">
        <w:t>Výše alokace na jednotlivé aktivity SC včetně předpokládané výše veřejné podpory.</w:t>
      </w:r>
    </w:p>
    <w:p w14:paraId="65C18E93" w14:textId="77777777" w:rsidR="000E6E04" w:rsidRPr="00DD47DF" w:rsidRDefault="000E6E04" w:rsidP="00DA3512">
      <w:pPr>
        <w:pStyle w:val="Standardntext"/>
        <w:numPr>
          <w:ilvl w:val="0"/>
          <w:numId w:val="84"/>
        </w:numPr>
      </w:pPr>
      <w:r w:rsidRPr="00DD47DF">
        <w:t>Předpokládaná realizace kratších typů projektů (cca 1 rok) v některých aktivitách.</w:t>
      </w:r>
    </w:p>
    <w:p w14:paraId="4D879151" w14:textId="77777777" w:rsidR="000E6E04" w:rsidRPr="00DD47DF" w:rsidRDefault="000E6E04" w:rsidP="00466CFC">
      <w:pPr>
        <w:pStyle w:val="Standardntext"/>
        <w:ind w:left="720"/>
      </w:pPr>
    </w:p>
    <w:p w14:paraId="64DEAA30" w14:textId="77777777" w:rsidR="000E6E04" w:rsidRPr="00DD47DF" w:rsidRDefault="000E6E04" w:rsidP="00DA3512">
      <w:pPr>
        <w:pStyle w:val="Standardntext"/>
        <w:numPr>
          <w:ilvl w:val="0"/>
          <w:numId w:val="84"/>
        </w:numPr>
      </w:pPr>
      <w:r w:rsidRPr="00DD47DF">
        <w:rPr>
          <w:i/>
        </w:rPr>
        <w:t>Milník</w:t>
      </w:r>
      <w:r w:rsidRPr="00DD47DF">
        <w:rPr>
          <w:i/>
          <w:vertAlign w:val="superscript"/>
        </w:rPr>
        <w:t>2018 P2</w:t>
      </w:r>
      <w:r w:rsidRPr="00DD47DF">
        <w:rPr>
          <w:i/>
        </w:rPr>
        <w:t>= (celkové způsobilé výdaje na PO 2 v roce 2014 + celkové způsobilé výdaje na PO 2 v roce 2015) – (10% finančních prostředků ERDF na PO 2 + podíl výkonnostní rezervy za roky 2014 a 2015 na PO 2)</w:t>
      </w:r>
    </w:p>
    <w:p w14:paraId="4D33E481" w14:textId="77777777" w:rsidR="000E6E04" w:rsidRPr="00DD47DF" w:rsidRDefault="000E6E04" w:rsidP="000E6E04">
      <w:pPr>
        <w:pStyle w:val="Standardntext"/>
      </w:pPr>
      <w:r w:rsidRPr="00DD47DF">
        <w:lastRenderedPageBreak/>
        <w:t xml:space="preserve">Při kvantifikaci milníků </w:t>
      </w:r>
      <w:r w:rsidRPr="00DD47DF">
        <w:rPr>
          <w:b/>
          <w:bCs/>
        </w:rPr>
        <w:t>pro rok 2023</w:t>
      </w:r>
      <w:r w:rsidRPr="00DD47DF">
        <w:t xml:space="preserve"> byly zohledněny ještě dále uvedené klíčové předpoklady:</w:t>
      </w:r>
    </w:p>
    <w:p w14:paraId="5AD2065F" w14:textId="77777777" w:rsidR="000E6E04" w:rsidRPr="00DD47DF" w:rsidRDefault="000E6E04" w:rsidP="00DA3512">
      <w:pPr>
        <w:pStyle w:val="Standardntext"/>
        <w:numPr>
          <w:ilvl w:val="0"/>
          <w:numId w:val="85"/>
        </w:numPr>
      </w:pPr>
      <w:r w:rsidRPr="00DD47DF">
        <w:t>Klíčovým předpokladem je naplnění stanovených cílů programu v jednotlivých prioritních osách (finanční i věcné plnění);</w:t>
      </w:r>
    </w:p>
    <w:p w14:paraId="464B5EBA" w14:textId="77777777" w:rsidR="000E6E04" w:rsidRPr="00DD47DF" w:rsidRDefault="000E6E04" w:rsidP="00DA3512">
      <w:pPr>
        <w:pStyle w:val="Standardntext"/>
        <w:numPr>
          <w:ilvl w:val="0"/>
          <w:numId w:val="85"/>
        </w:numPr>
      </w:pPr>
      <w:r w:rsidRPr="00DD47DF">
        <w:t xml:space="preserve">Započítána je již i výkonnostní rezerva. </w:t>
      </w:r>
    </w:p>
    <w:p w14:paraId="547DD4D8" w14:textId="77777777" w:rsidR="000E6E04" w:rsidRPr="00DD47DF" w:rsidRDefault="000E6E04" w:rsidP="000E6E04">
      <w:pPr>
        <w:jc w:val="both"/>
      </w:pPr>
      <w:r w:rsidRPr="00DD47DF">
        <w:rPr>
          <w:sz w:val="24"/>
          <w:szCs w:val="24"/>
        </w:rPr>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 Téma výkonnostní rezervy a milníků je dále rozpracováno v Nepovinné příloze č. 3.</w:t>
      </w:r>
    </w:p>
    <w:p w14:paraId="7A5B430C" w14:textId="77777777" w:rsidR="004126CC" w:rsidRPr="00DD47DF" w:rsidRDefault="004126CC" w:rsidP="000E6E04">
      <w:pPr>
        <w:pStyle w:val="kapitola2A0"/>
        <w:numPr>
          <w:ilvl w:val="0"/>
          <w:numId w:val="0"/>
        </w:numPr>
        <w:sectPr w:rsidR="004126CC" w:rsidRPr="00DD47DF" w:rsidSect="004126CC">
          <w:headerReference w:type="default" r:id="rId35"/>
          <w:footerReference w:type="default" r:id="rId36"/>
          <w:pgSz w:w="16838" w:h="11906" w:orient="landscape" w:code="9"/>
          <w:pgMar w:top="1418" w:right="1418" w:bottom="1276" w:left="1276" w:header="709" w:footer="709" w:gutter="0"/>
          <w:cols w:space="708"/>
          <w:docGrid w:linePitch="272"/>
        </w:sectPr>
      </w:pPr>
    </w:p>
    <w:p w14:paraId="1A2828BC" w14:textId="77777777" w:rsidR="000E3FBB" w:rsidRPr="00DD47DF" w:rsidRDefault="000E3FBB" w:rsidP="00441D67">
      <w:pPr>
        <w:pStyle w:val="kapitola2A0"/>
        <w:numPr>
          <w:ilvl w:val="2"/>
          <w:numId w:val="133"/>
        </w:numPr>
      </w:pPr>
      <w:bookmarkStart w:id="56" w:name="_Toc506885005"/>
      <w:r w:rsidRPr="00DD47DF">
        <w:lastRenderedPageBreak/>
        <w:t xml:space="preserve">Kategorie </w:t>
      </w:r>
      <w:r w:rsidR="00F2469F" w:rsidRPr="00DD47DF">
        <w:t>zásahů</w:t>
      </w:r>
      <w:bookmarkEnd w:id="56"/>
    </w:p>
    <w:p w14:paraId="11AF7410" w14:textId="77D6EBDF" w:rsidR="00505E76" w:rsidRPr="00DD47DF" w:rsidRDefault="00505E76" w:rsidP="00D45051">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7</w:t>
      </w:r>
      <w:r w:rsidR="002756E7" w:rsidRPr="00DD47DF">
        <w:rPr>
          <w:noProof/>
        </w:rPr>
        <w:fldChar w:fldCharType="end"/>
      </w:r>
      <w:r w:rsidRPr="00DD47DF">
        <w:t xml:space="preserve"> - </w:t>
      </w:r>
      <w:r w:rsidR="00CE361F">
        <w:t>10</w:t>
      </w:r>
      <w:r w:rsidRPr="00DD47DF">
        <w:t xml:space="preserve">: Kategorie </w:t>
      </w:r>
      <w:r w:rsidR="00F2469F" w:rsidRPr="00DD47DF">
        <w:t>zásahů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1707"/>
        <w:gridCol w:w="561"/>
        <w:gridCol w:w="1771"/>
        <w:gridCol w:w="639"/>
        <w:gridCol w:w="1692"/>
        <w:gridCol w:w="576"/>
        <w:gridCol w:w="1756"/>
      </w:tblGrid>
      <w:tr w:rsidR="000B2315" w:rsidRPr="00DD47DF" w14:paraId="24C253B9" w14:textId="77777777">
        <w:tc>
          <w:tcPr>
            <w:tcW w:w="9326" w:type="dxa"/>
            <w:gridSpan w:val="8"/>
            <w:shd w:val="clear" w:color="auto" w:fill="B8CCE4"/>
            <w:vAlign w:val="center"/>
          </w:tcPr>
          <w:p w14:paraId="13045365" w14:textId="77777777" w:rsidR="009F18F5" w:rsidRPr="00DD47DF" w:rsidRDefault="009F18F5" w:rsidP="009F18F5">
            <w:pPr>
              <w:pStyle w:val="Tabulka"/>
              <w:keepNext/>
              <w:keepLines/>
              <w:rPr>
                <w:rFonts w:cs="Calibri"/>
                <w:b/>
              </w:rPr>
            </w:pPr>
            <w:r w:rsidRPr="00DD47DF">
              <w:rPr>
                <w:rFonts w:cs="Calibri"/>
                <w:b/>
              </w:rPr>
              <w:t xml:space="preserve">Fond: </w:t>
            </w:r>
            <w:r w:rsidRPr="00DD47DF">
              <w:rPr>
                <w:rFonts w:cs="Calibri"/>
              </w:rPr>
              <w:t>EFRR</w:t>
            </w:r>
          </w:p>
          <w:p w14:paraId="28000B68" w14:textId="77777777" w:rsidR="000B2315" w:rsidRPr="00DD47DF" w:rsidRDefault="009F18F5" w:rsidP="009F18F5">
            <w:pPr>
              <w:pStyle w:val="Tabulka"/>
              <w:keepNext/>
              <w:keepLines/>
              <w:rPr>
                <w:rFonts w:cs="Calibri"/>
                <w:i/>
              </w:rPr>
            </w:pPr>
            <w:r w:rsidRPr="00DD47DF">
              <w:rPr>
                <w:rFonts w:cs="Calibri"/>
                <w:b/>
              </w:rPr>
              <w:t xml:space="preserve">Kategorie regionů: </w:t>
            </w:r>
            <w:r w:rsidRPr="00DD47DF">
              <w:rPr>
                <w:rFonts w:cs="Calibri"/>
              </w:rPr>
              <w:t>Méně rozvinuté regiony</w:t>
            </w:r>
          </w:p>
        </w:tc>
      </w:tr>
      <w:tr w:rsidR="000B2315" w:rsidRPr="00DD47DF" w14:paraId="6243AB52" w14:textId="77777777">
        <w:tc>
          <w:tcPr>
            <w:tcW w:w="2331" w:type="dxa"/>
            <w:gridSpan w:val="2"/>
            <w:shd w:val="clear" w:color="auto" w:fill="B8CCE4"/>
            <w:vAlign w:val="center"/>
          </w:tcPr>
          <w:p w14:paraId="4E12A9DC" w14:textId="77777777" w:rsidR="000B2315" w:rsidRPr="00DD47DF" w:rsidRDefault="000B2315" w:rsidP="00450475">
            <w:pPr>
              <w:pStyle w:val="Tabulka"/>
              <w:keepNext/>
              <w:keepLines/>
              <w:rPr>
                <w:rFonts w:cs="Calibri"/>
              </w:rPr>
            </w:pPr>
            <w:r w:rsidRPr="00DD47DF">
              <w:rPr>
                <w:rFonts w:cs="Calibri"/>
              </w:rPr>
              <w:t>Tabulka č. 7:</w:t>
            </w:r>
          </w:p>
          <w:p w14:paraId="3D0B4BF7" w14:textId="77777777" w:rsidR="000B2315" w:rsidRPr="00DD47DF" w:rsidRDefault="000B2315" w:rsidP="00450475">
            <w:pPr>
              <w:pStyle w:val="Tabulka"/>
              <w:keepNext/>
              <w:keepLines/>
              <w:rPr>
                <w:rFonts w:cs="Calibri"/>
              </w:rPr>
            </w:pPr>
            <w:r w:rsidRPr="00DD47DF">
              <w:rPr>
                <w:rFonts w:cs="Calibri"/>
              </w:rPr>
              <w:t>Dimenze 1</w:t>
            </w:r>
          </w:p>
          <w:p w14:paraId="756E23E9" w14:textId="77777777" w:rsidR="000B2315" w:rsidRPr="00DD47DF" w:rsidRDefault="000B2315" w:rsidP="00450475">
            <w:pPr>
              <w:pStyle w:val="Tabulka"/>
              <w:keepNext/>
              <w:keepLines/>
              <w:rPr>
                <w:rFonts w:cs="Calibri"/>
              </w:rPr>
            </w:pPr>
            <w:r w:rsidRPr="00DD47DF">
              <w:rPr>
                <w:rFonts w:cs="Calibri"/>
              </w:rPr>
              <w:t>Oblast zásahu</w:t>
            </w:r>
          </w:p>
        </w:tc>
        <w:tc>
          <w:tcPr>
            <w:tcW w:w="2332" w:type="dxa"/>
            <w:gridSpan w:val="2"/>
            <w:shd w:val="clear" w:color="auto" w:fill="B8CCE4"/>
            <w:vAlign w:val="center"/>
          </w:tcPr>
          <w:p w14:paraId="1D64920A" w14:textId="77777777" w:rsidR="000B2315" w:rsidRPr="00DD47DF" w:rsidRDefault="000B2315" w:rsidP="00450475">
            <w:pPr>
              <w:pStyle w:val="Tabulka"/>
              <w:keepNext/>
              <w:keepLines/>
              <w:rPr>
                <w:rFonts w:cs="Calibri"/>
              </w:rPr>
            </w:pPr>
            <w:r w:rsidRPr="00DD47DF">
              <w:rPr>
                <w:rFonts w:cs="Calibri"/>
              </w:rPr>
              <w:t>Tabulka č. 8:</w:t>
            </w:r>
          </w:p>
          <w:p w14:paraId="36434ECB" w14:textId="77777777" w:rsidR="000B2315" w:rsidRPr="00DD47DF" w:rsidRDefault="000B2315" w:rsidP="00450475">
            <w:pPr>
              <w:pStyle w:val="Tabulka"/>
              <w:keepNext/>
              <w:keepLines/>
              <w:rPr>
                <w:rFonts w:cs="Calibri"/>
              </w:rPr>
            </w:pPr>
            <w:r w:rsidRPr="00DD47DF">
              <w:rPr>
                <w:rFonts w:cs="Calibri"/>
              </w:rPr>
              <w:t>Dimenze 2</w:t>
            </w:r>
          </w:p>
          <w:p w14:paraId="4F328E52" w14:textId="77777777" w:rsidR="000B2315" w:rsidRPr="00DD47DF" w:rsidRDefault="000B2315" w:rsidP="00450475">
            <w:pPr>
              <w:pStyle w:val="Tabulka"/>
              <w:keepNext/>
              <w:keepLines/>
              <w:rPr>
                <w:rFonts w:cs="Calibri"/>
              </w:rPr>
            </w:pPr>
            <w:r w:rsidRPr="00DD47DF">
              <w:rPr>
                <w:rFonts w:cs="Calibri"/>
              </w:rPr>
              <w:t>Forma financování</w:t>
            </w:r>
          </w:p>
        </w:tc>
        <w:tc>
          <w:tcPr>
            <w:tcW w:w="2331" w:type="dxa"/>
            <w:gridSpan w:val="2"/>
            <w:shd w:val="clear" w:color="auto" w:fill="B8CCE4"/>
            <w:vAlign w:val="center"/>
          </w:tcPr>
          <w:p w14:paraId="618AD20E" w14:textId="77777777" w:rsidR="000B2315" w:rsidRPr="00DD47DF" w:rsidRDefault="000B2315" w:rsidP="00450475">
            <w:pPr>
              <w:pStyle w:val="Tabulka"/>
              <w:keepNext/>
              <w:keepLines/>
              <w:rPr>
                <w:rFonts w:cs="Calibri"/>
              </w:rPr>
            </w:pPr>
            <w:r w:rsidRPr="00DD47DF">
              <w:rPr>
                <w:rFonts w:cs="Calibri"/>
              </w:rPr>
              <w:t>Tabulka č. 9:</w:t>
            </w:r>
          </w:p>
          <w:p w14:paraId="25A93D00" w14:textId="77777777" w:rsidR="000B2315" w:rsidRPr="00DD47DF" w:rsidRDefault="000B2315" w:rsidP="00450475">
            <w:pPr>
              <w:pStyle w:val="Tabulka"/>
              <w:keepNext/>
              <w:keepLines/>
              <w:rPr>
                <w:rFonts w:cs="Calibri"/>
              </w:rPr>
            </w:pPr>
            <w:r w:rsidRPr="00DD47DF">
              <w:rPr>
                <w:rFonts w:cs="Calibri"/>
              </w:rPr>
              <w:t>Dimenze 3</w:t>
            </w:r>
          </w:p>
          <w:p w14:paraId="689601A3" w14:textId="77777777" w:rsidR="000B2315" w:rsidRPr="00DD47DF" w:rsidRDefault="000B2315" w:rsidP="00450475">
            <w:pPr>
              <w:pStyle w:val="Tabulka"/>
              <w:keepNext/>
              <w:keepLines/>
              <w:rPr>
                <w:rFonts w:cs="Calibri"/>
              </w:rPr>
            </w:pPr>
            <w:r w:rsidRPr="00DD47DF">
              <w:rPr>
                <w:rFonts w:cs="Calibri"/>
              </w:rPr>
              <w:t>Typ území</w:t>
            </w:r>
          </w:p>
        </w:tc>
        <w:tc>
          <w:tcPr>
            <w:tcW w:w="2332" w:type="dxa"/>
            <w:gridSpan w:val="2"/>
            <w:shd w:val="clear" w:color="auto" w:fill="B8CCE4"/>
            <w:vAlign w:val="center"/>
          </w:tcPr>
          <w:p w14:paraId="5DC9C5D8" w14:textId="77777777" w:rsidR="000B2315" w:rsidRPr="00DD47DF" w:rsidRDefault="000B2315" w:rsidP="00450475">
            <w:pPr>
              <w:pStyle w:val="Tabulka"/>
              <w:keepNext/>
              <w:keepLines/>
              <w:rPr>
                <w:rFonts w:cs="Calibri"/>
              </w:rPr>
            </w:pPr>
            <w:r w:rsidRPr="00DD47DF">
              <w:rPr>
                <w:rFonts w:cs="Calibri"/>
              </w:rPr>
              <w:t>Tabulka č. 10:</w:t>
            </w:r>
          </w:p>
          <w:p w14:paraId="20B7E46F" w14:textId="77777777" w:rsidR="000B2315" w:rsidRPr="00DD47DF" w:rsidRDefault="000B2315" w:rsidP="00450475">
            <w:pPr>
              <w:pStyle w:val="Tabulka"/>
              <w:keepNext/>
              <w:keepLines/>
              <w:rPr>
                <w:rFonts w:cs="Calibri"/>
              </w:rPr>
            </w:pPr>
            <w:r w:rsidRPr="00DD47DF">
              <w:rPr>
                <w:rFonts w:cs="Calibri"/>
              </w:rPr>
              <w:t>Dimenze 4</w:t>
            </w:r>
          </w:p>
          <w:p w14:paraId="49C33E8E" w14:textId="77777777" w:rsidR="000B2315" w:rsidRPr="00DD47DF" w:rsidRDefault="000B2315" w:rsidP="00450475">
            <w:pPr>
              <w:pStyle w:val="Tabulka"/>
              <w:keepNext/>
              <w:keepLines/>
              <w:rPr>
                <w:rFonts w:cs="Calibri"/>
              </w:rPr>
            </w:pPr>
            <w:r w:rsidRPr="00DD47DF">
              <w:rPr>
                <w:rFonts w:cs="Calibri"/>
              </w:rPr>
              <w:t>Mechanismus územního plnění</w:t>
            </w:r>
          </w:p>
        </w:tc>
      </w:tr>
      <w:tr w:rsidR="000B2315" w:rsidRPr="00DD47DF" w14:paraId="25A4559F" w14:textId="77777777">
        <w:tc>
          <w:tcPr>
            <w:tcW w:w="624" w:type="dxa"/>
            <w:shd w:val="clear" w:color="auto" w:fill="DBE5F1"/>
            <w:vAlign w:val="center"/>
          </w:tcPr>
          <w:p w14:paraId="59104B8B" w14:textId="77777777" w:rsidR="000B2315" w:rsidRPr="00DD47DF" w:rsidRDefault="000B2315" w:rsidP="00450475">
            <w:pPr>
              <w:pStyle w:val="Tabulka"/>
              <w:keepNext/>
              <w:keepLines/>
              <w:rPr>
                <w:rFonts w:cs="Calibri"/>
              </w:rPr>
            </w:pPr>
            <w:r w:rsidRPr="00DD47DF">
              <w:rPr>
                <w:rFonts w:cs="Calibri"/>
              </w:rPr>
              <w:t>Kód</w:t>
            </w:r>
          </w:p>
        </w:tc>
        <w:tc>
          <w:tcPr>
            <w:tcW w:w="1707" w:type="dxa"/>
            <w:shd w:val="clear" w:color="auto" w:fill="DBE5F1"/>
            <w:vAlign w:val="center"/>
          </w:tcPr>
          <w:p w14:paraId="612EFCC5" w14:textId="77777777" w:rsidR="000B2315" w:rsidRPr="00DD47DF" w:rsidRDefault="00D16DE9" w:rsidP="00450475">
            <w:pPr>
              <w:pStyle w:val="Tabulka"/>
              <w:keepNext/>
              <w:keepLines/>
              <w:rPr>
                <w:rFonts w:cs="Calibri"/>
              </w:rPr>
            </w:pPr>
            <w:r w:rsidRPr="00DD47DF">
              <w:rPr>
                <w:rFonts w:cs="Calibri"/>
              </w:rPr>
              <w:t>Částka (v EUR)</w:t>
            </w:r>
          </w:p>
        </w:tc>
        <w:tc>
          <w:tcPr>
            <w:tcW w:w="561" w:type="dxa"/>
            <w:shd w:val="clear" w:color="auto" w:fill="DBE5F1"/>
            <w:vAlign w:val="center"/>
          </w:tcPr>
          <w:p w14:paraId="62A3F345" w14:textId="77777777" w:rsidR="000B2315" w:rsidRPr="00DD47DF" w:rsidRDefault="000B2315" w:rsidP="00450475">
            <w:pPr>
              <w:pStyle w:val="Tabulka"/>
              <w:keepNext/>
              <w:keepLines/>
              <w:rPr>
                <w:rFonts w:cs="Calibri"/>
              </w:rPr>
            </w:pPr>
            <w:r w:rsidRPr="00DD47DF">
              <w:rPr>
                <w:rFonts w:cs="Calibri"/>
              </w:rPr>
              <w:t>Kód</w:t>
            </w:r>
          </w:p>
        </w:tc>
        <w:tc>
          <w:tcPr>
            <w:tcW w:w="1771" w:type="dxa"/>
            <w:shd w:val="clear" w:color="auto" w:fill="DBE5F1"/>
            <w:vAlign w:val="center"/>
          </w:tcPr>
          <w:p w14:paraId="46B898E0" w14:textId="77777777" w:rsidR="000B2315" w:rsidRPr="00DD47DF" w:rsidRDefault="00D16DE9" w:rsidP="00450475">
            <w:pPr>
              <w:pStyle w:val="Tabulka"/>
              <w:keepNext/>
              <w:keepLines/>
              <w:rPr>
                <w:rFonts w:cs="Calibri"/>
              </w:rPr>
            </w:pPr>
            <w:r w:rsidRPr="00DD47DF">
              <w:rPr>
                <w:rFonts w:cs="Calibri"/>
              </w:rPr>
              <w:t>Částka (v EUR)</w:t>
            </w:r>
          </w:p>
        </w:tc>
        <w:tc>
          <w:tcPr>
            <w:tcW w:w="639" w:type="dxa"/>
            <w:shd w:val="clear" w:color="auto" w:fill="DBE5F1"/>
            <w:vAlign w:val="center"/>
          </w:tcPr>
          <w:p w14:paraId="32CD980D" w14:textId="77777777" w:rsidR="000B2315" w:rsidRPr="00DD47DF" w:rsidRDefault="000B2315" w:rsidP="00450475">
            <w:pPr>
              <w:pStyle w:val="Tabulka"/>
              <w:keepNext/>
              <w:keepLines/>
              <w:rPr>
                <w:rFonts w:cs="Calibri"/>
              </w:rPr>
            </w:pPr>
            <w:r w:rsidRPr="00DD47DF">
              <w:rPr>
                <w:rFonts w:cs="Calibri"/>
              </w:rPr>
              <w:t>Kód</w:t>
            </w:r>
          </w:p>
        </w:tc>
        <w:tc>
          <w:tcPr>
            <w:tcW w:w="1692" w:type="dxa"/>
            <w:shd w:val="clear" w:color="auto" w:fill="DBE5F1"/>
            <w:vAlign w:val="center"/>
          </w:tcPr>
          <w:p w14:paraId="144EF9ED" w14:textId="77777777" w:rsidR="000B2315" w:rsidRPr="00DD47DF" w:rsidRDefault="00D16DE9" w:rsidP="00450475">
            <w:pPr>
              <w:pStyle w:val="Tabulka"/>
              <w:keepNext/>
              <w:keepLines/>
              <w:rPr>
                <w:rFonts w:cs="Calibri"/>
              </w:rPr>
            </w:pPr>
            <w:r w:rsidRPr="00DD47DF">
              <w:rPr>
                <w:rFonts w:cs="Calibri"/>
              </w:rPr>
              <w:t>Částka (v EUR)</w:t>
            </w:r>
          </w:p>
        </w:tc>
        <w:tc>
          <w:tcPr>
            <w:tcW w:w="576" w:type="dxa"/>
            <w:shd w:val="clear" w:color="auto" w:fill="DBE5F1"/>
            <w:vAlign w:val="center"/>
          </w:tcPr>
          <w:p w14:paraId="34D6AC5A" w14:textId="77777777" w:rsidR="000B2315" w:rsidRPr="00DD47DF" w:rsidRDefault="000B2315" w:rsidP="00450475">
            <w:pPr>
              <w:pStyle w:val="Tabulka"/>
              <w:keepNext/>
              <w:keepLines/>
              <w:rPr>
                <w:rFonts w:cs="Calibri"/>
              </w:rPr>
            </w:pPr>
            <w:r w:rsidRPr="00DD47DF">
              <w:rPr>
                <w:rFonts w:cs="Calibri"/>
              </w:rPr>
              <w:t>Kód</w:t>
            </w:r>
          </w:p>
        </w:tc>
        <w:tc>
          <w:tcPr>
            <w:tcW w:w="1756" w:type="dxa"/>
            <w:shd w:val="clear" w:color="auto" w:fill="DBE5F1"/>
            <w:vAlign w:val="center"/>
          </w:tcPr>
          <w:p w14:paraId="2A9EB577" w14:textId="77777777" w:rsidR="000B2315" w:rsidRPr="00DD47DF" w:rsidRDefault="00D16DE9" w:rsidP="00450475">
            <w:pPr>
              <w:pStyle w:val="Tabulka"/>
              <w:keepNext/>
              <w:keepLines/>
              <w:rPr>
                <w:rFonts w:cs="Calibri"/>
              </w:rPr>
            </w:pPr>
            <w:r w:rsidRPr="00DD47DF">
              <w:rPr>
                <w:rFonts w:cs="Calibri"/>
              </w:rPr>
              <w:t>Částka (v EUR)</w:t>
            </w:r>
          </w:p>
        </w:tc>
      </w:tr>
      <w:tr w:rsidR="007A1261" w:rsidRPr="00DD47DF" w14:paraId="2024C9A6" w14:textId="77777777">
        <w:tc>
          <w:tcPr>
            <w:tcW w:w="624" w:type="dxa"/>
            <w:shd w:val="clear" w:color="auto" w:fill="auto"/>
            <w:vAlign w:val="center"/>
          </w:tcPr>
          <w:p w14:paraId="2C7581DD" w14:textId="77777777" w:rsidR="007A1261" w:rsidRPr="00DD47DF" w:rsidRDefault="007A1261" w:rsidP="007A1261">
            <w:pPr>
              <w:pStyle w:val="Tabulka"/>
              <w:rPr>
                <w:rFonts w:cs="Calibri"/>
              </w:rPr>
            </w:pPr>
            <w:r w:rsidRPr="00DD47DF">
              <w:rPr>
                <w:rFonts w:cs="Calibri"/>
              </w:rPr>
              <w:t>050</w:t>
            </w:r>
          </w:p>
        </w:tc>
        <w:tc>
          <w:tcPr>
            <w:tcW w:w="1707" w:type="dxa"/>
            <w:shd w:val="clear" w:color="auto" w:fill="auto"/>
            <w:vAlign w:val="center"/>
          </w:tcPr>
          <w:p w14:paraId="3303D19B" w14:textId="583F3440" w:rsidR="007A1261" w:rsidRPr="00DD47DF" w:rsidRDefault="007A1261" w:rsidP="007A1261">
            <w:pPr>
              <w:pStyle w:val="Tabulka"/>
              <w:jc w:val="right"/>
              <w:rPr>
                <w:rFonts w:cs="Calibri"/>
              </w:rPr>
            </w:pPr>
            <w:r>
              <w:rPr>
                <w:rFonts w:cs="Calibri"/>
              </w:rPr>
              <w:t>29 094 827</w:t>
            </w:r>
          </w:p>
        </w:tc>
        <w:tc>
          <w:tcPr>
            <w:tcW w:w="561" w:type="dxa"/>
            <w:shd w:val="clear" w:color="auto" w:fill="auto"/>
            <w:vAlign w:val="center"/>
          </w:tcPr>
          <w:p w14:paraId="348CE460" w14:textId="77777777" w:rsidR="007A1261" w:rsidRPr="00DD47DF" w:rsidRDefault="007A1261" w:rsidP="007A1261">
            <w:pPr>
              <w:pStyle w:val="Tabulka"/>
              <w:rPr>
                <w:rFonts w:cs="Calibri"/>
              </w:rPr>
            </w:pPr>
            <w:r w:rsidRPr="00DD47DF">
              <w:rPr>
                <w:rFonts w:cs="Calibri"/>
              </w:rPr>
              <w:t>01</w:t>
            </w:r>
          </w:p>
        </w:tc>
        <w:tc>
          <w:tcPr>
            <w:tcW w:w="1771" w:type="dxa"/>
            <w:shd w:val="clear" w:color="auto" w:fill="auto"/>
            <w:vAlign w:val="center"/>
          </w:tcPr>
          <w:p w14:paraId="1C221224" w14:textId="51710B20" w:rsidR="007A1261" w:rsidRPr="00DD47DF" w:rsidRDefault="009A263F" w:rsidP="007A1261">
            <w:pPr>
              <w:pStyle w:val="Tabulka"/>
              <w:jc w:val="right"/>
              <w:rPr>
                <w:rFonts w:cs="Calibri"/>
              </w:rPr>
            </w:pPr>
            <w:r w:rsidRPr="00700E39">
              <w:rPr>
                <w:rFonts w:cs="Calibri"/>
              </w:rPr>
              <w:t>473 630 143</w:t>
            </w:r>
          </w:p>
        </w:tc>
        <w:tc>
          <w:tcPr>
            <w:tcW w:w="639" w:type="dxa"/>
            <w:shd w:val="clear" w:color="auto" w:fill="auto"/>
            <w:vAlign w:val="center"/>
          </w:tcPr>
          <w:p w14:paraId="621EABB2" w14:textId="77777777" w:rsidR="007A1261" w:rsidRPr="00DD47DF" w:rsidRDefault="007A1261" w:rsidP="007A1261">
            <w:pPr>
              <w:pStyle w:val="Tabulka"/>
              <w:rPr>
                <w:rFonts w:cs="Calibri"/>
              </w:rPr>
            </w:pPr>
            <w:r w:rsidRPr="00DD47DF">
              <w:rPr>
                <w:rFonts w:cs="Calibri"/>
              </w:rPr>
              <w:t>01</w:t>
            </w:r>
          </w:p>
        </w:tc>
        <w:tc>
          <w:tcPr>
            <w:tcW w:w="1692" w:type="dxa"/>
            <w:shd w:val="clear" w:color="auto" w:fill="auto"/>
            <w:vAlign w:val="center"/>
          </w:tcPr>
          <w:p w14:paraId="4DADA37B" w14:textId="77777777" w:rsidR="007A1261" w:rsidRPr="00DD47DF" w:rsidRDefault="007A1261" w:rsidP="007A1261">
            <w:pPr>
              <w:pStyle w:val="Tabulka"/>
              <w:jc w:val="right"/>
              <w:rPr>
                <w:rFonts w:cs="Calibri"/>
              </w:rPr>
            </w:pPr>
            <w:r w:rsidRPr="00DD47DF">
              <w:rPr>
                <w:rFonts w:cs="Calibri"/>
              </w:rPr>
              <w:t>164 272 891</w:t>
            </w:r>
          </w:p>
        </w:tc>
        <w:tc>
          <w:tcPr>
            <w:tcW w:w="576" w:type="dxa"/>
            <w:shd w:val="clear" w:color="auto" w:fill="auto"/>
            <w:vAlign w:val="center"/>
          </w:tcPr>
          <w:p w14:paraId="19657B08" w14:textId="77777777" w:rsidR="007A1261" w:rsidRPr="00DD47DF" w:rsidRDefault="007A1261" w:rsidP="007A1261">
            <w:pPr>
              <w:pStyle w:val="Tabulka"/>
              <w:keepNext/>
              <w:keepLines/>
              <w:rPr>
                <w:rFonts w:cs="Calibri"/>
              </w:rPr>
            </w:pPr>
            <w:r w:rsidRPr="00DD47DF">
              <w:rPr>
                <w:rFonts w:cs="Calibri"/>
              </w:rPr>
              <w:t>01</w:t>
            </w:r>
          </w:p>
        </w:tc>
        <w:tc>
          <w:tcPr>
            <w:tcW w:w="1756" w:type="dxa"/>
            <w:shd w:val="clear" w:color="auto" w:fill="auto"/>
            <w:vAlign w:val="center"/>
          </w:tcPr>
          <w:p w14:paraId="652D911C" w14:textId="78C49A1F" w:rsidR="007A1261" w:rsidRPr="00DD47DF" w:rsidRDefault="007E5166" w:rsidP="007A1261">
            <w:pPr>
              <w:pStyle w:val="Tabulka"/>
              <w:keepNext/>
              <w:keepLines/>
              <w:jc w:val="right"/>
              <w:rPr>
                <w:rFonts w:cs="Calibri"/>
              </w:rPr>
            </w:pPr>
            <w:r w:rsidRPr="00700E39">
              <w:rPr>
                <w:rFonts w:cs="Calibri"/>
              </w:rPr>
              <w:t>56 866 147</w:t>
            </w:r>
          </w:p>
        </w:tc>
      </w:tr>
      <w:tr w:rsidR="007A1261" w:rsidRPr="00DD47DF" w14:paraId="26E2C4AF" w14:textId="77777777">
        <w:tc>
          <w:tcPr>
            <w:tcW w:w="624" w:type="dxa"/>
            <w:shd w:val="clear" w:color="auto" w:fill="auto"/>
            <w:vAlign w:val="center"/>
          </w:tcPr>
          <w:p w14:paraId="3E589D0D" w14:textId="77777777" w:rsidR="007A1261" w:rsidRPr="00DD47DF" w:rsidRDefault="007A1261" w:rsidP="007A1261">
            <w:pPr>
              <w:pStyle w:val="Tabulka"/>
              <w:rPr>
                <w:rFonts w:cs="Calibri"/>
              </w:rPr>
            </w:pPr>
            <w:r w:rsidRPr="00DD47DF">
              <w:rPr>
                <w:rFonts w:cs="Calibri"/>
              </w:rPr>
              <w:t>066</w:t>
            </w:r>
          </w:p>
        </w:tc>
        <w:tc>
          <w:tcPr>
            <w:tcW w:w="1707" w:type="dxa"/>
            <w:shd w:val="clear" w:color="auto" w:fill="auto"/>
            <w:vAlign w:val="center"/>
          </w:tcPr>
          <w:p w14:paraId="688DDAF4" w14:textId="0334D797" w:rsidR="007A1261" w:rsidRPr="00DD47DF" w:rsidRDefault="007A1261" w:rsidP="007A1261">
            <w:pPr>
              <w:pStyle w:val="Tabulka"/>
              <w:jc w:val="right"/>
              <w:rPr>
                <w:rFonts w:cs="Calibri"/>
              </w:rPr>
            </w:pPr>
            <w:r w:rsidRPr="00DD47DF">
              <w:rPr>
                <w:rFonts w:cs="Calibri"/>
              </w:rPr>
              <w:t>56 540 420</w:t>
            </w:r>
          </w:p>
        </w:tc>
        <w:tc>
          <w:tcPr>
            <w:tcW w:w="561" w:type="dxa"/>
            <w:shd w:val="clear" w:color="auto" w:fill="auto"/>
            <w:vAlign w:val="center"/>
          </w:tcPr>
          <w:p w14:paraId="2515BDAD" w14:textId="77777777" w:rsidR="007A1261" w:rsidRPr="00DD47DF" w:rsidRDefault="007A1261" w:rsidP="007A1261">
            <w:pPr>
              <w:pStyle w:val="Tabulka"/>
              <w:rPr>
                <w:rFonts w:cs="Calibri"/>
              </w:rPr>
            </w:pPr>
            <w:r w:rsidRPr="00DD47DF">
              <w:rPr>
                <w:rFonts w:cs="Calibri"/>
              </w:rPr>
              <w:t>03</w:t>
            </w:r>
          </w:p>
        </w:tc>
        <w:tc>
          <w:tcPr>
            <w:tcW w:w="1771" w:type="dxa"/>
            <w:shd w:val="clear" w:color="auto" w:fill="auto"/>
            <w:vAlign w:val="bottom"/>
          </w:tcPr>
          <w:p w14:paraId="4E1A5310" w14:textId="29598CC0" w:rsidR="007A1261" w:rsidRPr="00DD47DF" w:rsidRDefault="009A263F" w:rsidP="007A1261">
            <w:pPr>
              <w:pStyle w:val="Tabulka"/>
              <w:jc w:val="right"/>
              <w:rPr>
                <w:rFonts w:cs="Calibri"/>
              </w:rPr>
            </w:pPr>
            <w:r>
              <w:rPr>
                <w:rFonts w:cs="Calibri"/>
              </w:rPr>
              <w:t xml:space="preserve">72 </w:t>
            </w:r>
            <w:r w:rsidR="007A1261">
              <w:rPr>
                <w:rFonts w:cs="Calibri"/>
              </w:rPr>
              <w:t>000 000</w:t>
            </w:r>
          </w:p>
        </w:tc>
        <w:tc>
          <w:tcPr>
            <w:tcW w:w="639" w:type="dxa"/>
            <w:shd w:val="clear" w:color="auto" w:fill="auto"/>
            <w:vAlign w:val="center"/>
          </w:tcPr>
          <w:p w14:paraId="62F17603" w14:textId="77777777" w:rsidR="007A1261" w:rsidRPr="00DD47DF" w:rsidRDefault="007A1261" w:rsidP="007A1261">
            <w:pPr>
              <w:pStyle w:val="Tabulka"/>
              <w:rPr>
                <w:rFonts w:cs="Calibri"/>
              </w:rPr>
            </w:pPr>
            <w:r w:rsidRPr="00DD47DF">
              <w:rPr>
                <w:rFonts w:cs="Calibri"/>
              </w:rPr>
              <w:t>02</w:t>
            </w:r>
          </w:p>
        </w:tc>
        <w:tc>
          <w:tcPr>
            <w:tcW w:w="1692" w:type="dxa"/>
            <w:shd w:val="clear" w:color="auto" w:fill="auto"/>
            <w:vAlign w:val="center"/>
          </w:tcPr>
          <w:p w14:paraId="64492BD3" w14:textId="77777777" w:rsidR="007A1261" w:rsidRPr="00DD47DF" w:rsidRDefault="007A1261" w:rsidP="007A1261">
            <w:pPr>
              <w:pStyle w:val="Tabulka"/>
              <w:jc w:val="right"/>
              <w:rPr>
                <w:rFonts w:cs="Calibri"/>
              </w:rPr>
            </w:pPr>
            <w:r w:rsidRPr="00DD47DF">
              <w:rPr>
                <w:rFonts w:cs="Calibri"/>
              </w:rPr>
              <w:t>405 976 616</w:t>
            </w:r>
          </w:p>
        </w:tc>
        <w:tc>
          <w:tcPr>
            <w:tcW w:w="576" w:type="dxa"/>
            <w:shd w:val="clear" w:color="auto" w:fill="auto"/>
            <w:vAlign w:val="center"/>
          </w:tcPr>
          <w:p w14:paraId="66233C94" w14:textId="77777777" w:rsidR="007A1261" w:rsidRPr="00DD47DF" w:rsidRDefault="007A1261" w:rsidP="007A1261">
            <w:pPr>
              <w:pStyle w:val="Tabulka"/>
              <w:rPr>
                <w:rFonts w:cs="Calibri"/>
              </w:rPr>
            </w:pPr>
            <w:r w:rsidRPr="00DD47DF">
              <w:rPr>
                <w:rFonts w:cs="Calibri"/>
              </w:rPr>
              <w:t>07</w:t>
            </w:r>
          </w:p>
        </w:tc>
        <w:tc>
          <w:tcPr>
            <w:tcW w:w="1756" w:type="dxa"/>
            <w:shd w:val="clear" w:color="auto" w:fill="auto"/>
            <w:vAlign w:val="center"/>
          </w:tcPr>
          <w:p w14:paraId="70D7EE6D" w14:textId="6B797465" w:rsidR="007A1261" w:rsidRPr="00DD47DF" w:rsidRDefault="007E5166" w:rsidP="007A1261">
            <w:pPr>
              <w:pStyle w:val="Tabulka"/>
              <w:jc w:val="right"/>
              <w:rPr>
                <w:rFonts w:cs="Calibri"/>
              </w:rPr>
            </w:pPr>
            <w:r w:rsidRPr="00700E39">
              <w:rPr>
                <w:rFonts w:cs="Calibri"/>
              </w:rPr>
              <w:t>835 263 996</w:t>
            </w:r>
          </w:p>
        </w:tc>
      </w:tr>
      <w:tr w:rsidR="007A1261" w:rsidRPr="00DD47DF" w14:paraId="0E41F198" w14:textId="77777777">
        <w:tc>
          <w:tcPr>
            <w:tcW w:w="624" w:type="dxa"/>
            <w:shd w:val="clear" w:color="auto" w:fill="auto"/>
            <w:vAlign w:val="center"/>
          </w:tcPr>
          <w:p w14:paraId="64A0356E" w14:textId="77777777" w:rsidR="007A1261" w:rsidRPr="00DD47DF" w:rsidRDefault="007A1261" w:rsidP="007A1261">
            <w:pPr>
              <w:pStyle w:val="Tabulka"/>
              <w:rPr>
                <w:rFonts w:cs="Calibri"/>
              </w:rPr>
            </w:pPr>
            <w:r w:rsidRPr="00DD47DF">
              <w:rPr>
                <w:rFonts w:cs="Calibri"/>
              </w:rPr>
              <w:t>067</w:t>
            </w:r>
          </w:p>
        </w:tc>
        <w:tc>
          <w:tcPr>
            <w:tcW w:w="1707" w:type="dxa"/>
            <w:shd w:val="clear" w:color="auto" w:fill="auto"/>
            <w:vAlign w:val="center"/>
          </w:tcPr>
          <w:p w14:paraId="712E9E37" w14:textId="344CD930" w:rsidR="007A1261" w:rsidRPr="00DD47DF" w:rsidRDefault="007A1261" w:rsidP="007A1261">
            <w:pPr>
              <w:pStyle w:val="Tabulka"/>
              <w:jc w:val="right"/>
              <w:rPr>
                <w:rFonts w:cs="Calibri"/>
              </w:rPr>
            </w:pPr>
            <w:r w:rsidRPr="00DD47DF">
              <w:rPr>
                <w:rFonts w:cs="Calibri"/>
              </w:rPr>
              <w:t>609 428 042</w:t>
            </w:r>
          </w:p>
        </w:tc>
        <w:tc>
          <w:tcPr>
            <w:tcW w:w="561" w:type="dxa"/>
            <w:shd w:val="clear" w:color="auto" w:fill="auto"/>
            <w:vAlign w:val="center"/>
          </w:tcPr>
          <w:p w14:paraId="24789B58" w14:textId="77777777" w:rsidR="007A1261" w:rsidRPr="00DD47DF" w:rsidRDefault="007A1261" w:rsidP="007A1261">
            <w:pPr>
              <w:pStyle w:val="Tabulka"/>
              <w:rPr>
                <w:rFonts w:cs="Calibri"/>
              </w:rPr>
            </w:pPr>
            <w:r w:rsidRPr="00DD47DF">
              <w:rPr>
                <w:rFonts w:cs="Calibri"/>
              </w:rPr>
              <w:t>04</w:t>
            </w:r>
          </w:p>
        </w:tc>
        <w:tc>
          <w:tcPr>
            <w:tcW w:w="1771" w:type="dxa"/>
            <w:shd w:val="clear" w:color="auto" w:fill="auto"/>
            <w:vAlign w:val="bottom"/>
          </w:tcPr>
          <w:p w14:paraId="41EC4015" w14:textId="2D732DF2" w:rsidR="007A1261" w:rsidRPr="00DD47DF" w:rsidRDefault="0089207E" w:rsidP="007A1261">
            <w:pPr>
              <w:pStyle w:val="Tabulka"/>
              <w:jc w:val="right"/>
              <w:rPr>
                <w:rFonts w:cs="Calibri"/>
              </w:rPr>
            </w:pPr>
            <w:r w:rsidRPr="00700E39">
              <w:rPr>
                <w:color w:val="000000"/>
              </w:rPr>
              <w:t>341 550 000</w:t>
            </w:r>
          </w:p>
        </w:tc>
        <w:tc>
          <w:tcPr>
            <w:tcW w:w="639" w:type="dxa"/>
            <w:shd w:val="clear" w:color="auto" w:fill="auto"/>
            <w:vAlign w:val="center"/>
          </w:tcPr>
          <w:p w14:paraId="1F63398D" w14:textId="77777777" w:rsidR="007A1261" w:rsidRPr="00DD47DF" w:rsidRDefault="007A1261" w:rsidP="007A1261">
            <w:pPr>
              <w:pStyle w:val="Tabulka"/>
              <w:rPr>
                <w:rFonts w:cs="Calibri"/>
              </w:rPr>
            </w:pPr>
            <w:r w:rsidRPr="00DD47DF">
              <w:rPr>
                <w:rFonts w:cs="Calibri"/>
              </w:rPr>
              <w:t>03</w:t>
            </w:r>
          </w:p>
        </w:tc>
        <w:tc>
          <w:tcPr>
            <w:tcW w:w="1692" w:type="dxa"/>
            <w:shd w:val="clear" w:color="auto" w:fill="auto"/>
            <w:vAlign w:val="center"/>
          </w:tcPr>
          <w:p w14:paraId="3CA39A7C" w14:textId="77777777" w:rsidR="007A1261" w:rsidRPr="00DD47DF" w:rsidRDefault="007A1261" w:rsidP="007A1261">
            <w:pPr>
              <w:pStyle w:val="Tabulka"/>
              <w:jc w:val="right"/>
              <w:rPr>
                <w:rFonts w:cs="Calibri"/>
              </w:rPr>
            </w:pPr>
            <w:r w:rsidRPr="00DD47DF">
              <w:rPr>
                <w:rFonts w:cs="Calibri"/>
              </w:rPr>
              <w:t>321 880 636</w:t>
            </w:r>
          </w:p>
        </w:tc>
        <w:tc>
          <w:tcPr>
            <w:tcW w:w="576" w:type="dxa"/>
            <w:shd w:val="clear" w:color="auto" w:fill="auto"/>
            <w:vAlign w:val="center"/>
          </w:tcPr>
          <w:p w14:paraId="6B6A4CBA" w14:textId="77777777" w:rsidR="007A1261" w:rsidRPr="00DD47DF" w:rsidRDefault="007A1261" w:rsidP="007A1261">
            <w:pPr>
              <w:pStyle w:val="Tabulka"/>
              <w:rPr>
                <w:rFonts w:cs="Calibri"/>
              </w:rPr>
            </w:pPr>
          </w:p>
        </w:tc>
        <w:tc>
          <w:tcPr>
            <w:tcW w:w="1756" w:type="dxa"/>
            <w:shd w:val="clear" w:color="auto" w:fill="auto"/>
            <w:vAlign w:val="center"/>
          </w:tcPr>
          <w:p w14:paraId="680E78EC" w14:textId="77777777" w:rsidR="007A1261" w:rsidRPr="00DD47DF" w:rsidRDefault="007A1261" w:rsidP="007A1261">
            <w:pPr>
              <w:pStyle w:val="Tabulka"/>
              <w:jc w:val="right"/>
              <w:rPr>
                <w:rFonts w:cs="Calibri"/>
              </w:rPr>
            </w:pPr>
          </w:p>
        </w:tc>
      </w:tr>
      <w:tr w:rsidR="007A1261" w:rsidRPr="00DD47DF" w14:paraId="34AA1D1A" w14:textId="77777777">
        <w:tc>
          <w:tcPr>
            <w:tcW w:w="624" w:type="dxa"/>
            <w:shd w:val="clear" w:color="auto" w:fill="auto"/>
            <w:vAlign w:val="center"/>
          </w:tcPr>
          <w:p w14:paraId="12DE115D" w14:textId="77777777" w:rsidR="007A1261" w:rsidRPr="00DD47DF" w:rsidRDefault="007A1261" w:rsidP="007A1261">
            <w:pPr>
              <w:pStyle w:val="Tabulka"/>
              <w:rPr>
                <w:rFonts w:cs="Calibri"/>
              </w:rPr>
            </w:pPr>
            <w:r w:rsidRPr="00DD47DF">
              <w:rPr>
                <w:rFonts w:cs="Calibri"/>
              </w:rPr>
              <w:t>072</w:t>
            </w:r>
          </w:p>
        </w:tc>
        <w:tc>
          <w:tcPr>
            <w:tcW w:w="1707" w:type="dxa"/>
            <w:shd w:val="clear" w:color="auto" w:fill="auto"/>
            <w:vAlign w:val="center"/>
          </w:tcPr>
          <w:p w14:paraId="6C4CD8A7" w14:textId="36B65C14" w:rsidR="007A1261" w:rsidRPr="00DD47DF" w:rsidRDefault="00F20E1F" w:rsidP="007A1261">
            <w:pPr>
              <w:pStyle w:val="Tabulka"/>
              <w:jc w:val="right"/>
              <w:rPr>
                <w:rFonts w:cs="Calibri"/>
              </w:rPr>
            </w:pPr>
            <w:r w:rsidRPr="00700E39">
              <w:rPr>
                <w:color w:val="000000"/>
              </w:rPr>
              <w:t>173 629 354</w:t>
            </w:r>
          </w:p>
        </w:tc>
        <w:tc>
          <w:tcPr>
            <w:tcW w:w="561" w:type="dxa"/>
            <w:shd w:val="clear" w:color="auto" w:fill="auto"/>
            <w:vAlign w:val="center"/>
          </w:tcPr>
          <w:p w14:paraId="5B205D87" w14:textId="77777777" w:rsidR="007A1261" w:rsidRPr="00DD47DF" w:rsidRDefault="007A1261" w:rsidP="007A1261">
            <w:pPr>
              <w:pStyle w:val="Tabulka"/>
              <w:rPr>
                <w:rFonts w:cs="Calibri"/>
              </w:rPr>
            </w:pPr>
            <w:r w:rsidRPr="00DD47DF">
              <w:rPr>
                <w:rFonts w:cs="Calibri"/>
              </w:rPr>
              <w:t>05</w:t>
            </w:r>
          </w:p>
        </w:tc>
        <w:tc>
          <w:tcPr>
            <w:tcW w:w="1771" w:type="dxa"/>
            <w:shd w:val="clear" w:color="auto" w:fill="auto"/>
            <w:vAlign w:val="bottom"/>
          </w:tcPr>
          <w:p w14:paraId="03B0DC63" w14:textId="321C00D6" w:rsidR="007A1261" w:rsidRPr="00DD47DF" w:rsidRDefault="00907A2F" w:rsidP="007A1261">
            <w:pPr>
              <w:pStyle w:val="Tabulka"/>
              <w:jc w:val="right"/>
              <w:rPr>
                <w:rFonts w:cs="Calibri"/>
              </w:rPr>
            </w:pPr>
            <w:r>
              <w:rPr>
                <w:color w:val="000000"/>
              </w:rPr>
              <w:t>0</w:t>
            </w:r>
          </w:p>
        </w:tc>
        <w:tc>
          <w:tcPr>
            <w:tcW w:w="639" w:type="dxa"/>
            <w:shd w:val="clear" w:color="auto" w:fill="auto"/>
            <w:vAlign w:val="center"/>
          </w:tcPr>
          <w:p w14:paraId="33037B5C" w14:textId="77777777" w:rsidR="007A1261" w:rsidRPr="00DD47DF" w:rsidRDefault="007A1261" w:rsidP="007A1261">
            <w:pPr>
              <w:pStyle w:val="Tabulka"/>
              <w:rPr>
                <w:rFonts w:cs="Calibri"/>
              </w:rPr>
            </w:pPr>
          </w:p>
        </w:tc>
        <w:tc>
          <w:tcPr>
            <w:tcW w:w="1692" w:type="dxa"/>
            <w:shd w:val="clear" w:color="auto" w:fill="auto"/>
            <w:vAlign w:val="center"/>
          </w:tcPr>
          <w:p w14:paraId="27A05782" w14:textId="77777777" w:rsidR="007A1261" w:rsidRPr="00DD47DF" w:rsidRDefault="007A1261" w:rsidP="007A1261">
            <w:pPr>
              <w:pStyle w:val="Tabulka"/>
              <w:jc w:val="right"/>
              <w:rPr>
                <w:rFonts w:cs="Calibri"/>
              </w:rPr>
            </w:pPr>
          </w:p>
        </w:tc>
        <w:tc>
          <w:tcPr>
            <w:tcW w:w="576" w:type="dxa"/>
            <w:shd w:val="clear" w:color="auto" w:fill="auto"/>
            <w:vAlign w:val="center"/>
          </w:tcPr>
          <w:p w14:paraId="4D49DCF5" w14:textId="77777777" w:rsidR="007A1261" w:rsidRPr="00DD47DF" w:rsidRDefault="007A1261" w:rsidP="007A1261">
            <w:pPr>
              <w:pStyle w:val="Tabulka"/>
              <w:rPr>
                <w:rFonts w:cs="Calibri"/>
              </w:rPr>
            </w:pPr>
          </w:p>
        </w:tc>
        <w:tc>
          <w:tcPr>
            <w:tcW w:w="1756" w:type="dxa"/>
            <w:shd w:val="clear" w:color="auto" w:fill="auto"/>
            <w:vAlign w:val="center"/>
          </w:tcPr>
          <w:p w14:paraId="25AE8ED4" w14:textId="77777777" w:rsidR="007A1261" w:rsidRPr="00DD47DF" w:rsidRDefault="007A1261" w:rsidP="007A1261">
            <w:pPr>
              <w:pStyle w:val="Tabulka"/>
              <w:jc w:val="right"/>
              <w:rPr>
                <w:rFonts w:cs="Calibri"/>
              </w:rPr>
            </w:pPr>
          </w:p>
        </w:tc>
      </w:tr>
      <w:tr w:rsidR="00AC043C" w:rsidRPr="00DD47DF" w14:paraId="1B41A93B" w14:textId="77777777">
        <w:tc>
          <w:tcPr>
            <w:tcW w:w="624" w:type="dxa"/>
            <w:shd w:val="clear" w:color="auto" w:fill="auto"/>
            <w:vAlign w:val="center"/>
          </w:tcPr>
          <w:p w14:paraId="7D2B5039" w14:textId="3F13B88F" w:rsidR="00AC043C" w:rsidRPr="00DD47DF" w:rsidRDefault="00F20E1F" w:rsidP="00DD63AD">
            <w:pPr>
              <w:pStyle w:val="Tabulka"/>
              <w:rPr>
                <w:rFonts w:cs="Calibri"/>
              </w:rPr>
            </w:pPr>
            <w:r>
              <w:rPr>
                <w:rFonts w:cs="Calibri"/>
              </w:rPr>
              <w:t>074</w:t>
            </w:r>
          </w:p>
        </w:tc>
        <w:tc>
          <w:tcPr>
            <w:tcW w:w="1707" w:type="dxa"/>
            <w:shd w:val="clear" w:color="auto" w:fill="auto"/>
            <w:vAlign w:val="center"/>
          </w:tcPr>
          <w:p w14:paraId="01B19C7D" w14:textId="6AC57E21" w:rsidR="00AC043C" w:rsidRPr="00DD47DF" w:rsidRDefault="00F20E1F" w:rsidP="009F18F5">
            <w:pPr>
              <w:pStyle w:val="Tabulka"/>
              <w:jc w:val="right"/>
              <w:rPr>
                <w:rFonts w:cs="Calibri"/>
              </w:rPr>
            </w:pPr>
            <w:r w:rsidRPr="00700E39">
              <w:rPr>
                <w:rFonts w:cs="Calibri"/>
              </w:rPr>
              <w:t>23 437 500</w:t>
            </w:r>
          </w:p>
        </w:tc>
        <w:tc>
          <w:tcPr>
            <w:tcW w:w="561" w:type="dxa"/>
            <w:shd w:val="clear" w:color="auto" w:fill="auto"/>
            <w:vAlign w:val="center"/>
          </w:tcPr>
          <w:p w14:paraId="15CD0B9A" w14:textId="77777777" w:rsidR="00AC043C" w:rsidRPr="00DD47DF" w:rsidRDefault="00AC043C" w:rsidP="00DD63AD">
            <w:pPr>
              <w:pStyle w:val="Tabulka"/>
              <w:rPr>
                <w:rFonts w:cs="Calibri"/>
              </w:rPr>
            </w:pPr>
            <w:r w:rsidRPr="00DD47DF">
              <w:rPr>
                <w:rFonts w:cs="Calibri"/>
              </w:rPr>
              <w:t>06</w:t>
            </w:r>
          </w:p>
        </w:tc>
        <w:tc>
          <w:tcPr>
            <w:tcW w:w="1771" w:type="dxa"/>
            <w:shd w:val="clear" w:color="auto" w:fill="auto"/>
            <w:vAlign w:val="bottom"/>
          </w:tcPr>
          <w:p w14:paraId="7642E285" w14:textId="0CF749D4" w:rsidR="00AC043C" w:rsidRPr="00DD47DF" w:rsidRDefault="0089207E" w:rsidP="0027176B">
            <w:pPr>
              <w:pStyle w:val="Tabulka"/>
              <w:jc w:val="right"/>
              <w:rPr>
                <w:rFonts w:cs="Calibri"/>
              </w:rPr>
            </w:pPr>
            <w:r w:rsidRPr="00700E39">
              <w:rPr>
                <w:color w:val="000000"/>
              </w:rPr>
              <w:t>4 950 000</w:t>
            </w:r>
          </w:p>
        </w:tc>
        <w:tc>
          <w:tcPr>
            <w:tcW w:w="639" w:type="dxa"/>
            <w:shd w:val="clear" w:color="auto" w:fill="auto"/>
            <w:vAlign w:val="center"/>
          </w:tcPr>
          <w:p w14:paraId="7EF8F569" w14:textId="77777777" w:rsidR="00AC043C" w:rsidRPr="00DD47DF" w:rsidRDefault="00AC043C" w:rsidP="00DD63AD">
            <w:pPr>
              <w:pStyle w:val="Tabulka"/>
              <w:rPr>
                <w:rFonts w:cs="Calibri"/>
              </w:rPr>
            </w:pPr>
          </w:p>
        </w:tc>
        <w:tc>
          <w:tcPr>
            <w:tcW w:w="1692" w:type="dxa"/>
            <w:shd w:val="clear" w:color="auto" w:fill="auto"/>
            <w:vAlign w:val="center"/>
          </w:tcPr>
          <w:p w14:paraId="2FEBA8F8" w14:textId="77777777" w:rsidR="00AC043C" w:rsidRPr="00DD47DF" w:rsidRDefault="00AC043C" w:rsidP="009F18F5">
            <w:pPr>
              <w:pStyle w:val="Tabulka"/>
              <w:jc w:val="right"/>
              <w:rPr>
                <w:rFonts w:cs="Calibri"/>
              </w:rPr>
            </w:pPr>
          </w:p>
        </w:tc>
        <w:tc>
          <w:tcPr>
            <w:tcW w:w="576" w:type="dxa"/>
            <w:shd w:val="clear" w:color="auto" w:fill="auto"/>
            <w:vAlign w:val="center"/>
          </w:tcPr>
          <w:p w14:paraId="7EBDF440" w14:textId="77777777" w:rsidR="00AC043C" w:rsidRPr="00DD47DF" w:rsidRDefault="00AC043C" w:rsidP="00450475">
            <w:pPr>
              <w:pStyle w:val="Tabulka"/>
              <w:rPr>
                <w:rFonts w:cs="Calibri"/>
              </w:rPr>
            </w:pPr>
          </w:p>
        </w:tc>
        <w:tc>
          <w:tcPr>
            <w:tcW w:w="1756" w:type="dxa"/>
            <w:shd w:val="clear" w:color="auto" w:fill="auto"/>
            <w:vAlign w:val="center"/>
          </w:tcPr>
          <w:p w14:paraId="58504A5D" w14:textId="77777777" w:rsidR="00AC043C" w:rsidRPr="00DD47DF" w:rsidRDefault="00AC043C" w:rsidP="009F18F5">
            <w:pPr>
              <w:pStyle w:val="Tabulka"/>
              <w:jc w:val="right"/>
              <w:rPr>
                <w:rFonts w:cs="Calibri"/>
              </w:rPr>
            </w:pPr>
          </w:p>
        </w:tc>
      </w:tr>
    </w:tbl>
    <w:p w14:paraId="4105EEEF" w14:textId="77777777" w:rsidR="00527A16" w:rsidRPr="00DD47DF" w:rsidRDefault="00DF23DE" w:rsidP="00441D67">
      <w:pPr>
        <w:pStyle w:val="kapitola2A0"/>
        <w:numPr>
          <w:ilvl w:val="2"/>
          <w:numId w:val="133"/>
        </w:numPr>
      </w:pPr>
      <w:bookmarkStart w:id="57" w:name="_Toc506885006"/>
      <w:bookmarkStart w:id="58" w:name="_Toc351464386"/>
      <w:r w:rsidRPr="00DD47DF">
        <w:t>Přehled plánovaného využití technické pomoci, je-li to nutné, včetně opatření na posílení správní kapacity orgánů zapojených do řízení a kontroly programů a příjemců (použije-li se)</w:t>
      </w:r>
      <w:bookmarkEnd w:id="57"/>
      <w:r w:rsidR="00527A16" w:rsidRPr="00DD47DF">
        <w:t xml:space="preserve"> </w:t>
      </w:r>
      <w:bookmarkEnd w:id="58"/>
    </w:p>
    <w:p w14:paraId="1BAC3100" w14:textId="77777777" w:rsidR="000E634D" w:rsidRPr="00DD47DF" w:rsidRDefault="00B25D99" w:rsidP="000E3FBB">
      <w:pPr>
        <w:pStyle w:val="Standardntext"/>
      </w:pPr>
      <w:r w:rsidRPr="00DD47DF">
        <w:t>Není relevantní pro OP PIK.</w:t>
      </w:r>
    </w:p>
    <w:p w14:paraId="37E08F3D" w14:textId="77777777" w:rsidR="000E3FBB" w:rsidRPr="00DD47DF" w:rsidRDefault="000E3FBB" w:rsidP="000E3FBB">
      <w:pPr>
        <w:pStyle w:val="Standardntext"/>
      </w:pPr>
      <w:r w:rsidRPr="00DD47DF">
        <w:t xml:space="preserve"> </w:t>
      </w:r>
      <w:r w:rsidRPr="00DD47DF">
        <w:br w:type="page"/>
      </w:r>
    </w:p>
    <w:p w14:paraId="3CE3E084" w14:textId="77777777" w:rsidR="008C7D72" w:rsidRPr="00DD47DF" w:rsidRDefault="008C7D72" w:rsidP="005F43DF">
      <w:pPr>
        <w:pStyle w:val="kapitola2A0"/>
        <w:numPr>
          <w:ilvl w:val="2"/>
          <w:numId w:val="17"/>
        </w:numPr>
      </w:pPr>
      <w:bookmarkStart w:id="59" w:name="_Toc506885007"/>
      <w:bookmarkStart w:id="60" w:name="_Toc351464389"/>
      <w:r w:rsidRPr="00DD47DF">
        <w:lastRenderedPageBreak/>
        <w:t>PRIORITNÍ OSA 3: Účinné nakládání energií, rozvoj energetické infrastruktury a obnovitelných zdrojů energie, podpora zavádění nových technologií v oblasti nakládání energií a druhotných surovin</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8C7D72" w:rsidRPr="00DD47DF" w14:paraId="685403FD" w14:textId="77777777">
        <w:tc>
          <w:tcPr>
            <w:tcW w:w="4736" w:type="pct"/>
            <w:shd w:val="clear" w:color="auto" w:fill="auto"/>
            <w:vAlign w:val="center"/>
          </w:tcPr>
          <w:p w14:paraId="0D28FB21" w14:textId="77777777" w:rsidR="008C7D72" w:rsidRPr="00DD47DF" w:rsidRDefault="008C7D72" w:rsidP="008C7D72">
            <w:pPr>
              <w:pStyle w:val="Tabulka"/>
              <w:jc w:val="left"/>
              <w:rPr>
                <w:rFonts w:cs="Calibri"/>
              </w:rPr>
            </w:pPr>
            <w:r w:rsidRPr="00DD47DF">
              <w:rPr>
                <w:rFonts w:cs="Calibri"/>
              </w:rPr>
              <w:t>Celá prioritní osa bude realizována výhradně prostřednictvím finančních nástrojů</w:t>
            </w:r>
          </w:p>
        </w:tc>
        <w:tc>
          <w:tcPr>
            <w:tcW w:w="264" w:type="pct"/>
            <w:shd w:val="clear" w:color="auto" w:fill="auto"/>
            <w:vAlign w:val="center"/>
          </w:tcPr>
          <w:p w14:paraId="7836C5ED" w14:textId="77777777" w:rsidR="008C7D72" w:rsidRPr="00DD47DF" w:rsidRDefault="002756E7" w:rsidP="008C7D72">
            <w:pPr>
              <w:pStyle w:val="Tabulka"/>
              <w:rPr>
                <w:rFonts w:cs="Calibri"/>
              </w:rPr>
            </w:pPr>
            <w:r w:rsidRPr="00DD47DF">
              <w:rPr>
                <w:rFonts w:cs="Calibri"/>
              </w:rPr>
              <w:fldChar w:fldCharType="begin">
                <w:ffData>
                  <w:name w:val="Check1"/>
                  <w:enabled/>
                  <w:calcOnExit w:val="0"/>
                  <w:checkBox>
                    <w:sizeAuto/>
                    <w:default w:val="0"/>
                  </w:checkBox>
                </w:ffData>
              </w:fldChar>
            </w:r>
            <w:r w:rsidR="008C7D72" w:rsidRPr="00DD47DF">
              <w:rPr>
                <w:rFonts w:cs="Calibri"/>
              </w:rPr>
              <w:instrText xml:space="preserve"> FORMCHECKBOX </w:instrText>
            </w:r>
            <w:r w:rsidR="00580034">
              <w:rPr>
                <w:rFonts w:cs="Calibri"/>
              </w:rPr>
            </w:r>
            <w:r w:rsidR="00580034">
              <w:rPr>
                <w:rFonts w:cs="Calibri"/>
              </w:rPr>
              <w:fldChar w:fldCharType="separate"/>
            </w:r>
            <w:r w:rsidRPr="00DD47DF">
              <w:rPr>
                <w:rFonts w:cs="Calibri"/>
              </w:rPr>
              <w:fldChar w:fldCharType="end"/>
            </w:r>
          </w:p>
        </w:tc>
      </w:tr>
      <w:tr w:rsidR="008C7D72" w:rsidRPr="00DD47DF" w14:paraId="41106F6A" w14:textId="77777777">
        <w:tc>
          <w:tcPr>
            <w:tcW w:w="4736" w:type="pct"/>
            <w:shd w:val="clear" w:color="auto" w:fill="auto"/>
            <w:vAlign w:val="center"/>
          </w:tcPr>
          <w:p w14:paraId="7A29FA84" w14:textId="77777777" w:rsidR="008C7D72" w:rsidRPr="00DD47DF" w:rsidRDefault="008C7D72" w:rsidP="008C7D72">
            <w:pPr>
              <w:pStyle w:val="Tabulka"/>
              <w:jc w:val="left"/>
              <w:rPr>
                <w:rFonts w:cs="Calibri"/>
              </w:rPr>
            </w:pPr>
            <w:r w:rsidRPr="00DD47DF">
              <w:rPr>
                <w:rFonts w:cs="Calibri"/>
              </w:rPr>
              <w:t>Celá prioritní osa bude realizována výhradně prostřednictvím finančních nástrojů zřízených na úrovni Unie</w:t>
            </w:r>
          </w:p>
        </w:tc>
        <w:tc>
          <w:tcPr>
            <w:tcW w:w="264" w:type="pct"/>
            <w:shd w:val="clear" w:color="auto" w:fill="auto"/>
            <w:vAlign w:val="center"/>
          </w:tcPr>
          <w:p w14:paraId="377C9297" w14:textId="77777777" w:rsidR="008C7D72" w:rsidRPr="00DD47DF" w:rsidRDefault="002756E7" w:rsidP="008C7D72">
            <w:pPr>
              <w:pStyle w:val="Tabulka"/>
              <w:rPr>
                <w:rFonts w:cs="Calibri"/>
              </w:rPr>
            </w:pPr>
            <w:r w:rsidRPr="00DD47DF">
              <w:rPr>
                <w:rFonts w:cs="Calibri"/>
              </w:rPr>
              <w:fldChar w:fldCharType="begin">
                <w:ffData>
                  <w:name w:val="Check1"/>
                  <w:enabled/>
                  <w:calcOnExit w:val="0"/>
                  <w:checkBox>
                    <w:sizeAuto/>
                    <w:default w:val="0"/>
                  </w:checkBox>
                </w:ffData>
              </w:fldChar>
            </w:r>
            <w:r w:rsidR="008C7D72" w:rsidRPr="00DD47DF">
              <w:rPr>
                <w:rFonts w:cs="Calibri"/>
              </w:rPr>
              <w:instrText xml:space="preserve"> FORMCHECKBOX </w:instrText>
            </w:r>
            <w:r w:rsidR="00580034">
              <w:rPr>
                <w:rFonts w:cs="Calibri"/>
              </w:rPr>
            </w:r>
            <w:r w:rsidR="00580034">
              <w:rPr>
                <w:rFonts w:cs="Calibri"/>
              </w:rPr>
              <w:fldChar w:fldCharType="separate"/>
            </w:r>
            <w:r w:rsidRPr="00DD47DF">
              <w:rPr>
                <w:rFonts w:cs="Calibri"/>
              </w:rPr>
              <w:fldChar w:fldCharType="end"/>
            </w:r>
          </w:p>
        </w:tc>
      </w:tr>
      <w:tr w:rsidR="008C7D72" w:rsidRPr="00DD47DF" w14:paraId="1137E97F" w14:textId="77777777">
        <w:tc>
          <w:tcPr>
            <w:tcW w:w="4736" w:type="pct"/>
            <w:shd w:val="clear" w:color="auto" w:fill="auto"/>
            <w:vAlign w:val="center"/>
          </w:tcPr>
          <w:p w14:paraId="2E8F1711" w14:textId="77777777" w:rsidR="008C7D72" w:rsidRPr="00DD47DF" w:rsidRDefault="008C7D72" w:rsidP="008C7D72">
            <w:pPr>
              <w:pStyle w:val="Tabulka"/>
              <w:jc w:val="left"/>
              <w:rPr>
                <w:rFonts w:cs="Calibri"/>
              </w:rPr>
            </w:pPr>
            <w:r w:rsidRPr="00DD47DF">
              <w:rPr>
                <w:rFonts w:cs="Calibri"/>
              </w:rPr>
              <w:t>Celá prioritní osa bude realizována výhradně prostřednictvím komunitně vedeného místního rozvoje</w:t>
            </w:r>
          </w:p>
        </w:tc>
        <w:tc>
          <w:tcPr>
            <w:tcW w:w="264" w:type="pct"/>
            <w:shd w:val="clear" w:color="auto" w:fill="auto"/>
            <w:vAlign w:val="center"/>
          </w:tcPr>
          <w:p w14:paraId="4274ADAF" w14:textId="77777777" w:rsidR="008C7D72" w:rsidRPr="00DD47DF" w:rsidRDefault="002756E7" w:rsidP="008C7D72">
            <w:pPr>
              <w:pStyle w:val="Tabulka"/>
              <w:rPr>
                <w:rFonts w:cs="Calibri"/>
              </w:rPr>
            </w:pPr>
            <w:r w:rsidRPr="00DD47DF">
              <w:rPr>
                <w:rFonts w:cs="Calibri"/>
              </w:rPr>
              <w:fldChar w:fldCharType="begin">
                <w:ffData>
                  <w:name w:val="Check1"/>
                  <w:enabled/>
                  <w:calcOnExit w:val="0"/>
                  <w:checkBox>
                    <w:sizeAuto/>
                    <w:default w:val="0"/>
                  </w:checkBox>
                </w:ffData>
              </w:fldChar>
            </w:r>
            <w:r w:rsidR="008C7D72" w:rsidRPr="00DD47DF">
              <w:rPr>
                <w:rFonts w:cs="Calibri"/>
              </w:rPr>
              <w:instrText xml:space="preserve"> FORMCHECKBOX </w:instrText>
            </w:r>
            <w:r w:rsidR="00580034">
              <w:rPr>
                <w:rFonts w:cs="Calibri"/>
              </w:rPr>
            </w:r>
            <w:r w:rsidR="00580034">
              <w:rPr>
                <w:rFonts w:cs="Calibri"/>
              </w:rPr>
              <w:fldChar w:fldCharType="separate"/>
            </w:r>
            <w:r w:rsidRPr="00DD47DF">
              <w:rPr>
                <w:rFonts w:cs="Calibri"/>
              </w:rPr>
              <w:fldChar w:fldCharType="end"/>
            </w:r>
          </w:p>
        </w:tc>
      </w:tr>
    </w:tbl>
    <w:p w14:paraId="2905553A" w14:textId="77777777" w:rsidR="008C7D72" w:rsidRPr="00DD47DF" w:rsidRDefault="008C7D72" w:rsidP="005F43DF">
      <w:pPr>
        <w:pStyle w:val="kapitola2A0"/>
        <w:numPr>
          <w:ilvl w:val="2"/>
          <w:numId w:val="17"/>
        </w:numPr>
      </w:pPr>
      <w:bookmarkStart w:id="61" w:name="_Toc506885008"/>
      <w:r w:rsidRPr="00DD47DF">
        <w:t>Odůvodnění pro vytvoření prioritní osy, která zahrnuje více než jednu kategorii regionů nebo více než jeden tematický cíl či fond</w:t>
      </w:r>
      <w:bookmarkEnd w:id="61"/>
      <w:r w:rsidRPr="00DD47DF">
        <w:t xml:space="preserve"> </w:t>
      </w:r>
    </w:p>
    <w:p w14:paraId="4CA34C5D" w14:textId="77777777" w:rsidR="000B16DC" w:rsidRPr="00DD47DF" w:rsidRDefault="000B16DC" w:rsidP="000B16DC">
      <w:pPr>
        <w:pStyle w:val="Standardntext"/>
      </w:pPr>
      <w:r w:rsidRPr="00DD47DF">
        <w:t xml:space="preserve">V souladu s čl. 96 odst. 1 písm. c) kombinuje tato prioritní osa investiční priority z různých tematických cílů. Za základní tematický cíl této prioritní </w:t>
      </w:r>
      <w:r w:rsidR="00127389" w:rsidRPr="00DD47DF">
        <w:t xml:space="preserve">osy </w:t>
      </w:r>
      <w:r w:rsidRPr="00DD47DF">
        <w:t>lze považovat TC 4, který je doplněn investiční prioritou „zvyšování energetické účinnosti a zabezpečení dodávek prostřednictvím rozvoje inteligentních systémů pro distribuci, skladování a přenos energie a prostřednictvím integrace distribuované výroby z obnovitelných zdrojů“ v rámci TC 7.</w:t>
      </w:r>
    </w:p>
    <w:p w14:paraId="2FB571C4" w14:textId="77777777" w:rsidR="004C3774" w:rsidRPr="00DD47DF" w:rsidRDefault="00DA19E2" w:rsidP="004C3774">
      <w:pPr>
        <w:pStyle w:val="Standardntext"/>
      </w:pPr>
      <w:r w:rsidRPr="00DD47DF">
        <w:t>Řídící orgán přistoupil ke kombinaci tematických cílů TC 4 a TC 7 z důvodu potřeby komplexních intervencí v celé elektrizační soustavě (přenosová soustava a distribuční soustavy). Tento komplexní přístup přinese kvalitativně vyšší přínosy pro posílení bezpečnosti, spolehlivosti</w:t>
      </w:r>
      <w:r w:rsidR="00BA4E72" w:rsidRPr="00DD47DF">
        <w:t xml:space="preserve"> </w:t>
      </w:r>
      <w:r w:rsidRPr="00DD47DF">
        <w:t>a kvality dodávky elektrické energie a zároveň umožní dobudovat vnitřní trh s elektřinou, umožní integrac</w:t>
      </w:r>
      <w:r w:rsidR="009D1769" w:rsidRPr="00DD47DF">
        <w:t>i</w:t>
      </w:r>
      <w:r w:rsidRPr="00DD47DF">
        <w:t xml:space="preserve"> decentrálních zdrojů včetně OZE do distribučních soustav a efektivnější nakládání energií. Toto </w:t>
      </w:r>
      <w:r w:rsidR="009D1769" w:rsidRPr="00DD47DF">
        <w:t>komplexní</w:t>
      </w:r>
      <w:r w:rsidRPr="00DD47DF">
        <w:t xml:space="preserve"> řešení přinese vyšší kvalitu přínosů, než kdyby byly intervence realizovány pouze v oblasti distribuce či přenosu</w:t>
      </w:r>
      <w:r w:rsidR="00A72338" w:rsidRPr="00DD47DF">
        <w:t xml:space="preserve"> samostatně</w:t>
      </w:r>
      <w:r w:rsidRPr="00DD47DF">
        <w:t xml:space="preserve"> anebo by byly obě oblasti separátně podporovány z různých operačních programů.</w:t>
      </w:r>
    </w:p>
    <w:p w14:paraId="5EDA27D8" w14:textId="77777777" w:rsidR="008C7D72" w:rsidRPr="00DD47DF" w:rsidRDefault="008C7D72" w:rsidP="005F43DF">
      <w:pPr>
        <w:pStyle w:val="kapitola2A0"/>
        <w:numPr>
          <w:ilvl w:val="2"/>
          <w:numId w:val="17"/>
        </w:numPr>
      </w:pPr>
      <w:bookmarkStart w:id="62" w:name="_Toc506885009"/>
      <w:r w:rsidRPr="00DD47DF">
        <w:t>Fond, kategorie regionů a základ pro výpočet podpory Unie</w:t>
      </w:r>
      <w:bookmarkEnd w:id="62"/>
    </w:p>
    <w:p w14:paraId="723779C9" w14:textId="77777777" w:rsidR="008C7D72" w:rsidRPr="00DD47DF" w:rsidRDefault="008C7D72" w:rsidP="008C7D72">
      <w:pPr>
        <w:pStyle w:val="Standardntext"/>
      </w:pPr>
      <w:r w:rsidRPr="00DD47DF">
        <w:t>Fond: Evropský fond pro regionální rozvoj</w:t>
      </w:r>
    </w:p>
    <w:p w14:paraId="5547F893" w14:textId="77777777" w:rsidR="008C7D72" w:rsidRPr="00DD47DF" w:rsidRDefault="008C7D72" w:rsidP="008C7D72">
      <w:pPr>
        <w:pStyle w:val="Standardntext"/>
      </w:pPr>
      <w:r w:rsidRPr="00DD47DF">
        <w:t>Kategorie regionů: Méně rozvinuté regiony</w:t>
      </w:r>
    </w:p>
    <w:p w14:paraId="4517F040" w14:textId="77777777" w:rsidR="008C7D72" w:rsidRPr="00DD47DF" w:rsidRDefault="008668C8" w:rsidP="008C7D72">
      <w:pPr>
        <w:pStyle w:val="Standardntext"/>
      </w:pPr>
      <w:r w:rsidRPr="00DD47DF">
        <w:t xml:space="preserve">Základ pro výpočet: </w:t>
      </w:r>
      <w:r w:rsidR="009B6147" w:rsidRPr="00DD47DF">
        <w:t>celkové způsobilé výdaje</w:t>
      </w:r>
    </w:p>
    <w:p w14:paraId="4268A0B7" w14:textId="77777777" w:rsidR="008C7D72" w:rsidRPr="00DD47DF" w:rsidRDefault="008C7D72" w:rsidP="005F43DF">
      <w:pPr>
        <w:pStyle w:val="kapitola2A0"/>
        <w:numPr>
          <w:ilvl w:val="2"/>
          <w:numId w:val="17"/>
        </w:numPr>
      </w:pPr>
      <w:bookmarkStart w:id="63" w:name="_Toc506885010"/>
      <w:r w:rsidRPr="00DD47DF">
        <w:t xml:space="preserve">INVESTIČNÍ PRIORITA 1 prioritní osy </w:t>
      </w:r>
      <w:r w:rsidR="00AA66A2" w:rsidRPr="00DD47DF">
        <w:t>3</w:t>
      </w:r>
      <w:r w:rsidRPr="00DD47DF">
        <w:t xml:space="preserve">: Podpora výroby a distribuce energie </w:t>
      </w:r>
      <w:r w:rsidR="00AA66A2" w:rsidRPr="00DD47DF">
        <w:t>pocházející</w:t>
      </w:r>
      <w:r w:rsidRPr="00DD47DF">
        <w:t xml:space="preserve"> z obnovitelných zdrojů</w:t>
      </w:r>
      <w:bookmarkEnd w:id="63"/>
    </w:p>
    <w:p w14:paraId="42EA61AD" w14:textId="77777777" w:rsidR="00FB38B2" w:rsidRPr="00DD47DF" w:rsidRDefault="008C7D72" w:rsidP="005F43DF">
      <w:pPr>
        <w:pStyle w:val="kapitola2A0"/>
        <w:numPr>
          <w:ilvl w:val="2"/>
          <w:numId w:val="17"/>
        </w:numPr>
      </w:pPr>
      <w:bookmarkStart w:id="64" w:name="_Toc506885011"/>
      <w:r w:rsidRPr="00DD47DF">
        <w:t>Specifické cíle odpovídající investiční prioritě a očekávané výsledky</w:t>
      </w:r>
      <w:bookmarkEnd w:id="64"/>
    </w:p>
    <w:p w14:paraId="34B1F17B" w14:textId="77777777" w:rsidR="00EC0F1D" w:rsidRPr="00DD47DF" w:rsidRDefault="00EC0F1D" w:rsidP="00396141">
      <w:pPr>
        <w:pStyle w:val="Modrnadpis"/>
      </w:pPr>
      <w:r w:rsidRPr="00DD47DF">
        <w:t xml:space="preserve">SPECIFICKÝ CÍL </w:t>
      </w:r>
      <w:r w:rsidR="00C71E6F" w:rsidRPr="00DD47DF">
        <w:t>3.</w:t>
      </w:r>
      <w:r w:rsidRPr="00DD47DF">
        <w:t xml:space="preserve">1: </w:t>
      </w:r>
      <w:r w:rsidR="00B75515" w:rsidRPr="00DD47DF">
        <w:t>Zvýšit podíl výroby energie z obnovitelných zdrojů na hrubé konečné spotřebě ČR</w:t>
      </w:r>
    </w:p>
    <w:bookmarkEnd w:id="60"/>
    <w:p w14:paraId="2989C80A" w14:textId="77777777" w:rsidR="00047389" w:rsidRPr="00DD47DF" w:rsidRDefault="004B5246" w:rsidP="00B73547">
      <w:pPr>
        <w:pStyle w:val="Standardntext"/>
      </w:pPr>
      <w:r w:rsidRPr="00DD47DF">
        <w:t>V energetickém mixu Č</w:t>
      </w:r>
      <w:r w:rsidR="00E97809" w:rsidRPr="00DD47DF">
        <w:t>R</w:t>
      </w:r>
      <w:r w:rsidRPr="00DD47DF">
        <w:t xml:space="preserve"> hrají dlouhodobě nejvýznamnější roli klasické zdroje energie na úkor zdrojů moderních, obnovitelných, šetrných k životnímu prostředí.</w:t>
      </w:r>
      <w:r w:rsidR="00B73547" w:rsidRPr="00DD47DF">
        <w:t xml:space="preserve"> </w:t>
      </w:r>
      <w:r w:rsidRPr="00DD47DF">
        <w:t xml:space="preserve">Širšímu zavedení výroby energie z OZE brání vyšší nákladovost prvotní investice, která je stále vyšší než náklady na </w:t>
      </w:r>
      <w:r w:rsidR="00320FE6" w:rsidRPr="00DD47DF">
        <w:t>konvenční</w:t>
      </w:r>
      <w:r w:rsidRPr="00DD47DF">
        <w:t xml:space="preserve"> zdroje. </w:t>
      </w:r>
      <w:r w:rsidR="00510368" w:rsidRPr="00DD47DF">
        <w:t xml:space="preserve">Hlavním cílem je podpora </w:t>
      </w:r>
      <w:r w:rsidRPr="00DD47DF">
        <w:t>udržitelnosti české ekonomiky</w:t>
      </w:r>
      <w:r w:rsidR="00510368" w:rsidRPr="00DD47DF">
        <w:t xml:space="preserve"> prostřednictvím využívání </w:t>
      </w:r>
      <w:r w:rsidR="00E97809" w:rsidRPr="00DD47DF">
        <w:t>OZE</w:t>
      </w:r>
      <w:r w:rsidR="0056661C" w:rsidRPr="00DD47DF">
        <w:t xml:space="preserve"> s největší efektivitou a bez negativního vlivu na elektrizační soustavu.</w:t>
      </w:r>
    </w:p>
    <w:p w14:paraId="25CBDEA2" w14:textId="77777777" w:rsidR="003F4488" w:rsidRPr="00DD47DF" w:rsidRDefault="003508A9" w:rsidP="0056661C">
      <w:pPr>
        <w:pStyle w:val="Modrnadpis"/>
      </w:pPr>
      <w:r w:rsidRPr="00DD47DF">
        <w:lastRenderedPageBreak/>
        <w:t>Výsledky, kterých chce ČR dosáhnout s podporou Unie</w:t>
      </w:r>
    </w:p>
    <w:p w14:paraId="1928ACC5" w14:textId="77777777" w:rsidR="00DF4F92" w:rsidRPr="00DD47DF" w:rsidRDefault="001F2A61" w:rsidP="00D927A2">
      <w:pPr>
        <w:pStyle w:val="Standardntext"/>
        <w:numPr>
          <w:ilvl w:val="0"/>
          <w:numId w:val="38"/>
        </w:numPr>
      </w:pPr>
      <w:r w:rsidRPr="00DD47DF">
        <w:t>Pří</w:t>
      </w:r>
      <w:r w:rsidR="00DF4F92" w:rsidRPr="00DD47DF">
        <w:t>sp</w:t>
      </w:r>
      <w:r w:rsidRPr="00DD47DF">
        <w:t>ěvek</w:t>
      </w:r>
      <w:r w:rsidR="00DF4F92" w:rsidRPr="00DD47DF">
        <w:t xml:space="preserve"> k naplnění cíle </w:t>
      </w:r>
      <w:r w:rsidR="003A5BAE" w:rsidRPr="00DD47DF">
        <w:t>dosáhnout podílu energie z OZE na hrubé koneč</w:t>
      </w:r>
      <w:r w:rsidR="00D95417" w:rsidRPr="00DD47DF">
        <w:t>né spotřebě energie ve výši 13</w:t>
      </w:r>
      <w:r w:rsidR="003A5BAE" w:rsidRPr="00DD47DF">
        <w:t xml:space="preserve"> % do r. 2020</w:t>
      </w:r>
      <w:r w:rsidR="00DF4F92" w:rsidRPr="00DD47DF">
        <w:t>.</w:t>
      </w:r>
      <w:r w:rsidR="004B5246" w:rsidRPr="00DD47DF">
        <w:t xml:space="preserve"> S tím souvisí snížení spotřeby primárních zdrojů.</w:t>
      </w:r>
    </w:p>
    <w:p w14:paraId="4878B2B8" w14:textId="77777777" w:rsidR="0056661C" w:rsidRPr="00DD47DF" w:rsidRDefault="0056661C" w:rsidP="00D927A2">
      <w:pPr>
        <w:pStyle w:val="Standardntext"/>
        <w:numPr>
          <w:ilvl w:val="0"/>
          <w:numId w:val="38"/>
        </w:numPr>
      </w:pPr>
      <w:r w:rsidRPr="00DD47DF">
        <w:t>Zvýšení efektivnosti využití všech typů energetických zdrojů OZE relevantních pro ČR.</w:t>
      </w:r>
    </w:p>
    <w:p w14:paraId="596D1CAD" w14:textId="77777777" w:rsidR="00510368" w:rsidRPr="00DD47DF" w:rsidRDefault="00510368" w:rsidP="00D927A2">
      <w:pPr>
        <w:pStyle w:val="Standardntext"/>
        <w:numPr>
          <w:ilvl w:val="0"/>
          <w:numId w:val="38"/>
        </w:numPr>
      </w:pPr>
      <w:r w:rsidRPr="00DD47DF">
        <w:t>Sníž</w:t>
      </w:r>
      <w:r w:rsidR="004B5246" w:rsidRPr="00DD47DF">
        <w:t>ení</w:t>
      </w:r>
      <w:r w:rsidRPr="00DD47DF">
        <w:t xml:space="preserve"> dovozní závislost</w:t>
      </w:r>
      <w:r w:rsidR="004B5246" w:rsidRPr="00DD47DF">
        <w:t>i</w:t>
      </w:r>
      <w:r w:rsidRPr="00DD47DF">
        <w:t xml:space="preserve"> na palivech z geopoliticky nestabilních regionů.</w:t>
      </w:r>
    </w:p>
    <w:p w14:paraId="49F1FEE6" w14:textId="77777777" w:rsidR="00510368" w:rsidRPr="00DD47DF" w:rsidRDefault="00510368" w:rsidP="00D927A2">
      <w:pPr>
        <w:pStyle w:val="Standardntext"/>
        <w:numPr>
          <w:ilvl w:val="0"/>
          <w:numId w:val="38"/>
        </w:numPr>
      </w:pPr>
      <w:r w:rsidRPr="00DD47DF">
        <w:t>Rozvoj podnikatelských aktivit v dodavatelském řetězci od vývoje, výroby, přes instalaci zdroje energie až po výrobu energie.</w:t>
      </w:r>
    </w:p>
    <w:p w14:paraId="63CCA687" w14:textId="77777777" w:rsidR="00320FE6" w:rsidRPr="00DD47DF" w:rsidRDefault="00320FE6" w:rsidP="00D927A2">
      <w:pPr>
        <w:pStyle w:val="Standardntext"/>
        <w:numPr>
          <w:ilvl w:val="0"/>
          <w:numId w:val="38"/>
        </w:numPr>
      </w:pPr>
      <w:r w:rsidRPr="00DD47DF">
        <w:t>Pozitivní dopad využívání OZE na životní prostředí a ochranu klimatu, např. v podobě snížení emisí skleníkových plynů.</w:t>
      </w:r>
    </w:p>
    <w:p w14:paraId="3D1D753D" w14:textId="77777777" w:rsidR="00002031" w:rsidRPr="00DD47DF" w:rsidRDefault="00002031" w:rsidP="00C71E6F">
      <w:pPr>
        <w:pStyle w:val="Titulek"/>
        <w:keepNext/>
        <w:keepLines/>
        <w:rPr>
          <w:rFonts w:cs="Calibri"/>
        </w:rPr>
      </w:pPr>
      <w:r w:rsidRPr="00DD47DF">
        <w:rPr>
          <w:rFonts w:cs="Calibri"/>
        </w:rPr>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909"/>
        <w:gridCol w:w="1533"/>
        <w:gridCol w:w="1003"/>
        <w:gridCol w:w="1207"/>
        <w:gridCol w:w="885"/>
        <w:gridCol w:w="873"/>
        <w:gridCol w:w="1017"/>
        <w:gridCol w:w="901"/>
        <w:gridCol w:w="998"/>
      </w:tblGrid>
      <w:tr w:rsidR="00CF739D" w:rsidRPr="00DD47DF" w14:paraId="5A12D6BF" w14:textId="77777777" w:rsidTr="008F259C">
        <w:trPr>
          <w:trHeight w:hRule="exact" w:val="1297"/>
        </w:trPr>
        <w:tc>
          <w:tcPr>
            <w:tcW w:w="48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E278A17" w14:textId="77777777" w:rsidR="00CF739D" w:rsidRPr="00DD47DF" w:rsidRDefault="00CF739D" w:rsidP="00CF739D">
            <w:pPr>
              <w:pStyle w:val="Tabulka"/>
              <w:keepNext/>
              <w:keepLines/>
              <w:rPr>
                <w:rFonts w:cs="Calibri"/>
                <w:b/>
                <w:bCs/>
              </w:rPr>
            </w:pPr>
            <w:r w:rsidRPr="00DD47DF">
              <w:rPr>
                <w:rFonts w:cs="Calibri"/>
                <w:b/>
                <w:bCs/>
              </w:rPr>
              <w:t>ID</w:t>
            </w:r>
          </w:p>
        </w:tc>
        <w:tc>
          <w:tcPr>
            <w:tcW w:w="82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DE96188" w14:textId="77777777" w:rsidR="00CF739D" w:rsidRPr="00DD47DF" w:rsidRDefault="00CF739D" w:rsidP="00CF739D">
            <w:pPr>
              <w:pStyle w:val="Tabulka"/>
              <w:keepNext/>
              <w:keepLines/>
              <w:rPr>
                <w:rFonts w:cs="Calibri"/>
                <w:b/>
                <w:bCs/>
              </w:rPr>
            </w:pPr>
            <w:r w:rsidRPr="00DD47DF">
              <w:rPr>
                <w:rFonts w:cs="Calibri"/>
                <w:b/>
                <w:bCs/>
              </w:rPr>
              <w:t>Ukazatel</w:t>
            </w:r>
          </w:p>
        </w:tc>
        <w:tc>
          <w:tcPr>
            <w:tcW w:w="53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D4F7BB1" w14:textId="77777777" w:rsidR="00CF739D" w:rsidRPr="00DD47DF" w:rsidRDefault="00CF739D" w:rsidP="00CF739D">
            <w:pPr>
              <w:pStyle w:val="Tabulka"/>
              <w:keepNext/>
              <w:keepLines/>
              <w:rPr>
                <w:rFonts w:cs="Calibri"/>
                <w:b/>
                <w:bCs/>
              </w:rPr>
            </w:pPr>
            <w:r w:rsidRPr="00DD47DF">
              <w:rPr>
                <w:rFonts w:cs="Calibri"/>
                <w:b/>
                <w:bCs/>
              </w:rPr>
              <w:t>Měrná</w:t>
            </w:r>
          </w:p>
          <w:p w14:paraId="2D49149C" w14:textId="77777777" w:rsidR="00CF739D" w:rsidRPr="00DD47DF" w:rsidRDefault="00CF739D" w:rsidP="00CF739D">
            <w:pPr>
              <w:pStyle w:val="Tabulka"/>
              <w:keepNext/>
              <w:keepLines/>
              <w:rPr>
                <w:rFonts w:cs="Calibri"/>
                <w:b/>
                <w:bCs/>
              </w:rPr>
            </w:pPr>
            <w:r w:rsidRPr="00DD47DF">
              <w:rPr>
                <w:rFonts w:cs="Calibri"/>
                <w:b/>
                <w:bCs/>
              </w:rPr>
              <w:t>jednotka</w:t>
            </w:r>
          </w:p>
        </w:tc>
        <w:tc>
          <w:tcPr>
            <w:tcW w:w="64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7A8804F" w14:textId="77777777" w:rsidR="00CF739D" w:rsidRPr="00DD47DF" w:rsidRDefault="00CF739D" w:rsidP="00CF739D">
            <w:pPr>
              <w:pStyle w:val="Tabulka"/>
              <w:keepNext/>
              <w:keepLines/>
              <w:rPr>
                <w:rFonts w:cs="Calibri"/>
                <w:b/>
                <w:bCs/>
              </w:rPr>
            </w:pPr>
            <w:r w:rsidRPr="00DD47DF">
              <w:rPr>
                <w:rFonts w:cs="Calibri"/>
                <w:b/>
                <w:bCs/>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64F3628" w14:textId="77777777" w:rsidR="00CF739D" w:rsidRPr="00DD47DF" w:rsidRDefault="004B0854" w:rsidP="00CF739D">
            <w:pPr>
              <w:pStyle w:val="Tabulka"/>
              <w:keepNext/>
              <w:keepLines/>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7DD861A" w14:textId="77777777" w:rsidR="00CF739D" w:rsidRPr="00DD47DF" w:rsidRDefault="004B0854" w:rsidP="004B0854">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54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86E9107" w14:textId="77777777" w:rsidR="00CF739D" w:rsidRPr="00DD47DF" w:rsidRDefault="00CF739D" w:rsidP="00CF739D">
            <w:pPr>
              <w:pStyle w:val="Tabulka"/>
              <w:keepNext/>
              <w:keepLines/>
              <w:rPr>
                <w:rFonts w:cs="Calibri"/>
                <w:b/>
                <w:bCs/>
              </w:rPr>
            </w:pPr>
            <w:r w:rsidRPr="00DD47DF">
              <w:rPr>
                <w:rFonts w:cs="Calibri"/>
                <w:b/>
                <w:bCs/>
              </w:rPr>
              <w:t>Cílová hodnota (2023)</w:t>
            </w:r>
          </w:p>
        </w:tc>
        <w:tc>
          <w:tcPr>
            <w:tcW w:w="48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4BE7D82" w14:textId="77777777" w:rsidR="00CF739D" w:rsidRPr="00DD47DF" w:rsidRDefault="00CF739D" w:rsidP="00CF739D">
            <w:pPr>
              <w:pStyle w:val="Tabulka"/>
              <w:keepNext/>
              <w:keepLines/>
              <w:rPr>
                <w:rFonts w:cs="Calibri"/>
                <w:b/>
                <w:bCs/>
              </w:rPr>
            </w:pPr>
            <w:r w:rsidRPr="00DD47DF">
              <w:rPr>
                <w:rFonts w:cs="Calibri"/>
                <w:b/>
                <w:bCs/>
              </w:rPr>
              <w:t>Zdroj údajů</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AE18E0A" w14:textId="77777777" w:rsidR="00CF739D" w:rsidRPr="00DD47DF" w:rsidRDefault="00CF739D" w:rsidP="00CF739D">
            <w:pPr>
              <w:pStyle w:val="Tabulka"/>
              <w:keepNext/>
              <w:keepLines/>
              <w:rPr>
                <w:rFonts w:cs="Calibri"/>
                <w:b/>
                <w:bCs/>
              </w:rPr>
            </w:pPr>
            <w:r w:rsidRPr="00DD47DF">
              <w:rPr>
                <w:rFonts w:cs="Calibri"/>
                <w:b/>
                <w:bCs/>
              </w:rPr>
              <w:t>Četnost podávání zpráv</w:t>
            </w:r>
          </w:p>
        </w:tc>
      </w:tr>
      <w:tr w:rsidR="00B75CCB" w:rsidRPr="00DD47DF" w14:paraId="648B029E" w14:textId="77777777" w:rsidTr="008F259C">
        <w:trPr>
          <w:trHeight w:hRule="exact" w:val="1751"/>
        </w:trPr>
        <w:tc>
          <w:tcPr>
            <w:tcW w:w="487" w:type="pct"/>
            <w:tcBorders>
              <w:top w:val="single" w:sz="4" w:space="0" w:color="000000"/>
              <w:left w:val="single" w:sz="4" w:space="0" w:color="000000"/>
              <w:bottom w:val="single" w:sz="4" w:space="0" w:color="000000"/>
              <w:right w:val="single" w:sz="4" w:space="0" w:color="000000"/>
            </w:tcBorders>
            <w:vAlign w:val="center"/>
          </w:tcPr>
          <w:p w14:paraId="1FC5314F" w14:textId="77777777" w:rsidR="00B75CCB" w:rsidRPr="00DD47DF" w:rsidRDefault="0061119C" w:rsidP="00C71E6F">
            <w:pPr>
              <w:pStyle w:val="Tabulka"/>
              <w:keepNext/>
              <w:keepLines/>
              <w:rPr>
                <w:rFonts w:cs="Calibri"/>
              </w:rPr>
            </w:pPr>
            <w:r w:rsidRPr="00DD47DF">
              <w:rPr>
                <w:rFonts w:cs="Calibri"/>
              </w:rPr>
              <w:t>33910</w:t>
            </w:r>
          </w:p>
        </w:tc>
        <w:tc>
          <w:tcPr>
            <w:tcW w:w="822" w:type="pct"/>
            <w:tcBorders>
              <w:top w:val="single" w:sz="4" w:space="0" w:color="000000"/>
              <w:left w:val="single" w:sz="4" w:space="0" w:color="000000"/>
              <w:bottom w:val="single" w:sz="4" w:space="0" w:color="000000"/>
              <w:right w:val="single" w:sz="4" w:space="0" w:color="000000"/>
            </w:tcBorders>
            <w:vAlign w:val="center"/>
          </w:tcPr>
          <w:p w14:paraId="6B0167F5" w14:textId="77777777" w:rsidR="00B75CCB" w:rsidRPr="00DD47DF" w:rsidRDefault="00B75CCB" w:rsidP="00C71E6F">
            <w:pPr>
              <w:pStyle w:val="Tabulka"/>
              <w:keepNext/>
              <w:keepLines/>
              <w:jc w:val="left"/>
              <w:rPr>
                <w:rFonts w:cs="Calibri"/>
              </w:rPr>
            </w:pPr>
            <w:r w:rsidRPr="00DD47DF">
              <w:rPr>
                <w:rFonts w:cs="Calibri"/>
              </w:rPr>
              <w:t>Celkový instalovaný výkon</w:t>
            </w:r>
            <w:r w:rsidR="009F214F" w:rsidRPr="00DD47DF">
              <w:rPr>
                <w:rFonts w:cs="Calibri"/>
              </w:rPr>
              <w:t xml:space="preserve"> z OZE</w:t>
            </w:r>
          </w:p>
        </w:tc>
        <w:tc>
          <w:tcPr>
            <w:tcW w:w="538" w:type="pct"/>
            <w:tcBorders>
              <w:top w:val="single" w:sz="4" w:space="0" w:color="000000"/>
              <w:left w:val="single" w:sz="4" w:space="0" w:color="000000"/>
              <w:bottom w:val="single" w:sz="4" w:space="0" w:color="000000"/>
              <w:right w:val="single" w:sz="4" w:space="0" w:color="000000"/>
            </w:tcBorders>
            <w:vAlign w:val="center"/>
          </w:tcPr>
          <w:p w14:paraId="2FFE0E0D" w14:textId="77777777" w:rsidR="00B75CCB" w:rsidRPr="00DD47DF" w:rsidRDefault="00B75CCB" w:rsidP="00C71E6F">
            <w:pPr>
              <w:pStyle w:val="Tabulka"/>
              <w:keepNext/>
              <w:keepLines/>
              <w:rPr>
                <w:rFonts w:cs="Calibri"/>
              </w:rPr>
            </w:pPr>
            <w:r w:rsidRPr="00DD47DF">
              <w:rPr>
                <w:rFonts w:cs="Calibri"/>
              </w:rPr>
              <w:t>MW</w:t>
            </w:r>
          </w:p>
        </w:tc>
        <w:tc>
          <w:tcPr>
            <w:tcW w:w="647" w:type="pct"/>
            <w:tcBorders>
              <w:top w:val="single" w:sz="4" w:space="0" w:color="000000"/>
              <w:left w:val="single" w:sz="4" w:space="0" w:color="000000"/>
              <w:bottom w:val="single" w:sz="4" w:space="0" w:color="000000"/>
              <w:right w:val="single" w:sz="4" w:space="0" w:color="000000"/>
            </w:tcBorders>
            <w:vAlign w:val="center"/>
          </w:tcPr>
          <w:p w14:paraId="406DDFDD" w14:textId="77777777" w:rsidR="00B75CCB" w:rsidRPr="00DD47DF" w:rsidRDefault="00B75CCB" w:rsidP="00C71E6F">
            <w:pPr>
              <w:pStyle w:val="Tabulka"/>
              <w:keepNext/>
              <w:keepLines/>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523204A4" w14:textId="77777777" w:rsidR="00B75CCB" w:rsidRPr="00DD47DF" w:rsidRDefault="00B75CCB" w:rsidP="00C71E6F">
            <w:pPr>
              <w:pStyle w:val="Tabulka"/>
              <w:keepNext/>
              <w:keepLines/>
              <w:rPr>
                <w:rFonts w:cs="Calibri"/>
              </w:rPr>
            </w:pPr>
            <w:r w:rsidRPr="00DD47DF">
              <w:rPr>
                <w:rFonts w:cs="Calibri"/>
              </w:rPr>
              <w:t>667,1</w:t>
            </w:r>
          </w:p>
        </w:tc>
        <w:tc>
          <w:tcPr>
            <w:tcW w:w="468" w:type="pct"/>
            <w:tcBorders>
              <w:top w:val="single" w:sz="4" w:space="0" w:color="000000"/>
              <w:left w:val="single" w:sz="4" w:space="0" w:color="000000"/>
              <w:bottom w:val="single" w:sz="4" w:space="0" w:color="000000"/>
              <w:right w:val="single" w:sz="4" w:space="0" w:color="000000"/>
            </w:tcBorders>
            <w:vAlign w:val="center"/>
          </w:tcPr>
          <w:p w14:paraId="63E8DBDF" w14:textId="77777777" w:rsidR="00B75CCB" w:rsidRPr="00DD47DF" w:rsidRDefault="005C7984" w:rsidP="00C71E6F">
            <w:pPr>
              <w:pStyle w:val="Tabulka"/>
              <w:keepNext/>
              <w:keepLines/>
              <w:rPr>
                <w:rFonts w:cs="Calibri"/>
              </w:rPr>
            </w:pPr>
            <w:r w:rsidRPr="00DD47DF">
              <w:rPr>
                <w:rFonts w:cs="Calibri"/>
              </w:rPr>
              <w:t>2013</w:t>
            </w:r>
          </w:p>
        </w:tc>
        <w:tc>
          <w:tcPr>
            <w:tcW w:w="545" w:type="pct"/>
            <w:tcBorders>
              <w:top w:val="single" w:sz="4" w:space="0" w:color="000000"/>
              <w:left w:val="single" w:sz="4" w:space="0" w:color="000000"/>
              <w:bottom w:val="single" w:sz="4" w:space="0" w:color="000000"/>
              <w:right w:val="single" w:sz="4" w:space="0" w:color="000000"/>
            </w:tcBorders>
            <w:vAlign w:val="center"/>
          </w:tcPr>
          <w:p w14:paraId="7747E11C" w14:textId="77777777" w:rsidR="00B75CCB" w:rsidRPr="00DD47DF" w:rsidRDefault="00D92892" w:rsidP="00C71E6F">
            <w:pPr>
              <w:pStyle w:val="Tabulka"/>
              <w:keepNext/>
              <w:keepLines/>
              <w:rPr>
                <w:rFonts w:cs="Calibri"/>
              </w:rPr>
            </w:pPr>
            <w:r w:rsidRPr="00DD47DF">
              <w:rPr>
                <w:rFonts w:cs="Calibri"/>
              </w:rPr>
              <w:t>720</w:t>
            </w:r>
          </w:p>
        </w:tc>
        <w:tc>
          <w:tcPr>
            <w:tcW w:w="483" w:type="pct"/>
            <w:tcBorders>
              <w:top w:val="single" w:sz="4" w:space="0" w:color="000000"/>
              <w:left w:val="single" w:sz="4" w:space="0" w:color="000000"/>
              <w:bottom w:val="single" w:sz="4" w:space="0" w:color="000000"/>
              <w:right w:val="single" w:sz="4" w:space="0" w:color="000000"/>
            </w:tcBorders>
            <w:vAlign w:val="center"/>
          </w:tcPr>
          <w:p w14:paraId="1B93ECFB" w14:textId="77777777" w:rsidR="00B75CCB" w:rsidRPr="00DD47DF" w:rsidRDefault="00B75CCB" w:rsidP="00AB615E">
            <w:pPr>
              <w:pStyle w:val="Tabulka"/>
              <w:keepNext/>
              <w:keepLines/>
              <w:rPr>
                <w:rFonts w:cs="Calibri"/>
              </w:rPr>
            </w:pPr>
            <w:r w:rsidRPr="00DD47DF">
              <w:rPr>
                <w:rFonts w:cs="Calibri"/>
              </w:rPr>
              <w:t>MPO</w:t>
            </w:r>
          </w:p>
        </w:tc>
        <w:tc>
          <w:tcPr>
            <w:tcW w:w="535" w:type="pct"/>
            <w:tcBorders>
              <w:top w:val="single" w:sz="4" w:space="0" w:color="000000"/>
              <w:left w:val="single" w:sz="4" w:space="0" w:color="000000"/>
              <w:bottom w:val="single" w:sz="4" w:space="0" w:color="000000"/>
              <w:right w:val="single" w:sz="4" w:space="0" w:color="000000"/>
            </w:tcBorders>
            <w:vAlign w:val="center"/>
          </w:tcPr>
          <w:p w14:paraId="14F70BC3" w14:textId="77777777" w:rsidR="00B75CCB" w:rsidRPr="00DD47DF" w:rsidRDefault="00B75CCB" w:rsidP="00C71E6F">
            <w:pPr>
              <w:pStyle w:val="Tabulka"/>
              <w:keepNext/>
              <w:keepLines/>
              <w:rPr>
                <w:rFonts w:cs="Calibri"/>
              </w:rPr>
            </w:pPr>
            <w:r w:rsidRPr="00DD47DF">
              <w:rPr>
                <w:rFonts w:cs="Calibri"/>
              </w:rPr>
              <w:t>ročně</w:t>
            </w:r>
          </w:p>
        </w:tc>
      </w:tr>
    </w:tbl>
    <w:p w14:paraId="43F04BE1" w14:textId="77777777" w:rsidR="00B5004C" w:rsidRPr="00DD47DF" w:rsidRDefault="001B2E5C" w:rsidP="005F43DF">
      <w:pPr>
        <w:pStyle w:val="kapitola2A0"/>
        <w:numPr>
          <w:ilvl w:val="2"/>
          <w:numId w:val="17"/>
        </w:numPr>
      </w:pPr>
      <w:bookmarkStart w:id="65" w:name="_Toc506885012"/>
      <w:r w:rsidRPr="00DD47DF">
        <w:t>Opatření, jež má být podpořeno v rámci investiční priority</w:t>
      </w:r>
      <w:bookmarkEnd w:id="65"/>
    </w:p>
    <w:p w14:paraId="749BC077" w14:textId="77777777" w:rsidR="00B5004C" w:rsidRPr="00DD47DF" w:rsidRDefault="00D479AF" w:rsidP="005F43DF">
      <w:pPr>
        <w:pStyle w:val="Nadpis5"/>
        <w:numPr>
          <w:ilvl w:val="4"/>
          <w:numId w:val="18"/>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16338B3F" w14:textId="77777777" w:rsidR="00B5004C" w:rsidRPr="00DD47DF" w:rsidRDefault="000A2EB4" w:rsidP="00DF4F92">
      <w:pPr>
        <w:pStyle w:val="Standardntext"/>
        <w:rPr>
          <w:b/>
        </w:rPr>
      </w:pPr>
      <w:r w:rsidRPr="00DD47DF">
        <w:rPr>
          <w:b/>
        </w:rPr>
        <w:t>Aktivity pro tento specifický cíl:</w:t>
      </w:r>
    </w:p>
    <w:p w14:paraId="5271A6A9" w14:textId="763EA3CC" w:rsidR="00B36879" w:rsidRPr="00DD47DF" w:rsidRDefault="003E3D99" w:rsidP="00D927A2">
      <w:pPr>
        <w:pStyle w:val="Standardntext"/>
        <w:numPr>
          <w:ilvl w:val="0"/>
          <w:numId w:val="43"/>
        </w:numPr>
      </w:pPr>
      <w:r w:rsidRPr="00DD47DF">
        <w:t xml:space="preserve">Výstavba nových a rekonstrukce </w:t>
      </w:r>
      <w:r w:rsidR="00305CD5" w:rsidRPr="00DD47DF">
        <w:t xml:space="preserve">/ </w:t>
      </w:r>
      <w:r w:rsidRPr="00DD47DF">
        <w:t>modernizace stávajících výroben elektřiny a tepla z OZE</w:t>
      </w:r>
      <w:r w:rsidR="00B36879" w:rsidRPr="00DD47DF">
        <w:t>; z</w:t>
      </w:r>
      <w:r w:rsidRPr="00DD47DF">
        <w:t>ejména se bude jednat o</w:t>
      </w:r>
      <w:r w:rsidR="00B36879" w:rsidRPr="00DD47DF">
        <w:t>:</w:t>
      </w:r>
    </w:p>
    <w:p w14:paraId="6D1372C4" w14:textId="77777777" w:rsidR="00B36879" w:rsidRPr="00DD47DF" w:rsidRDefault="00B36879" w:rsidP="00D927A2">
      <w:pPr>
        <w:pStyle w:val="Standardntext"/>
        <w:numPr>
          <w:ilvl w:val="1"/>
          <w:numId w:val="43"/>
        </w:numPr>
      </w:pPr>
      <w:r w:rsidRPr="00DD47DF">
        <w:t xml:space="preserve">podporu výstavby a rekonstrukce </w:t>
      </w:r>
      <w:r w:rsidR="00305CD5" w:rsidRPr="00DD47DF">
        <w:t>/ </w:t>
      </w:r>
      <w:r w:rsidRPr="00DD47DF">
        <w:t xml:space="preserve">modernizace </w:t>
      </w:r>
      <w:r w:rsidR="0036276B" w:rsidRPr="00DD47DF">
        <w:t xml:space="preserve">malých </w:t>
      </w:r>
      <w:r w:rsidRPr="00DD47DF">
        <w:t>vodních elektráren</w:t>
      </w:r>
      <w:r w:rsidR="00305CD5" w:rsidRPr="00DD47DF">
        <w:t xml:space="preserve"> (do 10 MWe instalovaného výkonu)</w:t>
      </w:r>
      <w:r w:rsidRPr="00DD47DF">
        <w:t>,</w:t>
      </w:r>
    </w:p>
    <w:p w14:paraId="1E26AD16" w14:textId="77777777" w:rsidR="00B36879" w:rsidRPr="00DD47DF" w:rsidRDefault="0036276B" w:rsidP="00D927A2">
      <w:pPr>
        <w:pStyle w:val="Standardntext"/>
        <w:numPr>
          <w:ilvl w:val="1"/>
          <w:numId w:val="43"/>
        </w:numPr>
      </w:pPr>
      <w:r w:rsidRPr="00DD47DF">
        <w:t>vyvedení tepla ze stávajících bioplynových stanic pomocí tepelných rozvodných zařízení do místa spotřeby, instalac</w:t>
      </w:r>
      <w:r w:rsidR="00B36879" w:rsidRPr="00DD47DF">
        <w:t>e</w:t>
      </w:r>
      <w:r w:rsidRPr="00DD47DF">
        <w:t xml:space="preserve"> vzdálené kogenerační jednotky využívající bioplyn ze stávající bioplynové stanice za účelem využití užitečného tepla v soustavě zásobování teplem či ji</w:t>
      </w:r>
      <w:r w:rsidR="00B36879" w:rsidRPr="00DD47DF">
        <w:t>ným vysoce efektivním způsobem,</w:t>
      </w:r>
    </w:p>
    <w:p w14:paraId="4CCADD6A" w14:textId="77777777" w:rsidR="00B5004C" w:rsidRPr="00DD47DF" w:rsidRDefault="0036276B" w:rsidP="00D927A2">
      <w:pPr>
        <w:pStyle w:val="Standardntext"/>
        <w:numPr>
          <w:ilvl w:val="1"/>
          <w:numId w:val="43"/>
        </w:numPr>
      </w:pPr>
      <w:r w:rsidRPr="00DD47DF">
        <w:t>výstavb</w:t>
      </w:r>
      <w:r w:rsidR="00B36879" w:rsidRPr="00DD47DF">
        <w:t>u</w:t>
      </w:r>
      <w:r w:rsidRPr="00DD47DF">
        <w:t xml:space="preserve"> a rekonstrukc</w:t>
      </w:r>
      <w:r w:rsidR="00B36879" w:rsidRPr="00DD47DF">
        <w:t>i</w:t>
      </w:r>
      <w:r w:rsidRPr="00DD47DF">
        <w:t xml:space="preserve"> zdrojů tepla a kombinované výroby elektřiny a tepla z</w:t>
      </w:r>
      <w:r w:rsidR="00A5734F" w:rsidRPr="00DD47DF">
        <w:t> </w:t>
      </w:r>
      <w:r w:rsidRPr="00DD47DF">
        <w:t>biomasy</w:t>
      </w:r>
      <w:r w:rsidR="00A5734F" w:rsidRPr="00DD47DF">
        <w:t xml:space="preserve"> a vyvedení tepla</w:t>
      </w:r>
      <w:r w:rsidRPr="00DD47DF">
        <w:t>.</w:t>
      </w:r>
    </w:p>
    <w:p w14:paraId="1D9CFCBC" w14:textId="77777777" w:rsidR="001B4E71" w:rsidRPr="00DD47DF" w:rsidRDefault="00A72338" w:rsidP="00E00F77">
      <w:pPr>
        <w:pStyle w:val="Standardntext"/>
      </w:pPr>
      <w:r w:rsidRPr="00DD47DF">
        <w:t>V kontextu</w:t>
      </w:r>
      <w:r w:rsidR="009D1769" w:rsidRPr="00DD47DF">
        <w:t xml:space="preserve"> zkušeností získaných v programovacím období 2007 – 2013 v</w:t>
      </w:r>
      <w:r w:rsidRPr="00DD47DF">
        <w:t xml:space="preserve"> oblasti podpory obnovitelných zdrojů energie jsou podporované aktivity zaměřeny zejména na zdroje se stabilní </w:t>
      </w:r>
      <w:r w:rsidRPr="00DD47DF">
        <w:lastRenderedPageBreak/>
        <w:t>dodávkou energie, maximálně efektivním poměrem nákladů k vyrobené energii, a to s ohledem na potenciál klimatických podmínek v ČR. Dále je kladen důraz na aplikaci vysokoúčinné kombinované výroby elektřiny a tepla s maximálně efektivním využitím tepelné energie. Půjde o menší až střední zařízení</w:t>
      </w:r>
      <w:r w:rsidR="001B4E71" w:rsidRPr="00DD47DF">
        <w:t xml:space="preserve"> s maximálním instalovaným výkonem do </w:t>
      </w:r>
      <w:r w:rsidR="00453052" w:rsidRPr="00DD47DF">
        <w:t>1</w:t>
      </w:r>
      <w:r w:rsidR="001B4E71" w:rsidRPr="00DD47DF">
        <w:t>0 MW</w:t>
      </w:r>
      <w:r w:rsidRPr="00DD47DF">
        <w:t>, kter</w:t>
      </w:r>
      <w:r w:rsidR="00435AB7" w:rsidRPr="00DD47DF">
        <w:t>á</w:t>
      </w:r>
      <w:r w:rsidRPr="00DD47DF">
        <w:t xml:space="preserve"> respektuj</w:t>
      </w:r>
      <w:r w:rsidR="00435AB7" w:rsidRPr="00DD47DF">
        <w:t>í</w:t>
      </w:r>
      <w:r w:rsidRPr="00DD47DF">
        <w:t xml:space="preserve"> potenciál biomasy v daném regionu</w:t>
      </w:r>
      <w:r w:rsidR="00435AB7" w:rsidRPr="00DD47DF">
        <w:t xml:space="preserve"> v souladu s udržitelností zdrojů a ochranou přírody a krajiny (např. malé městské či komunitní zdroje tepla)</w:t>
      </w:r>
      <w:r w:rsidRPr="00DD47DF">
        <w:t xml:space="preserve">. </w:t>
      </w:r>
      <w:r w:rsidR="001B4E71" w:rsidRPr="00DD47DF">
        <w:t>Nicméně v </w:t>
      </w:r>
      <w:r w:rsidR="00622C4A" w:rsidRPr="00DD47DF">
        <w:t>relevantních</w:t>
      </w:r>
      <w:r w:rsidR="001B4E71" w:rsidRPr="00DD47DF">
        <w:t xml:space="preserve"> případech budou podporovány i zdroje </w:t>
      </w:r>
      <w:r w:rsidR="0020357B" w:rsidRPr="00DD47DF">
        <w:t>na monovýrobu tepla bez kombinované výroby elektřiny a tepla.  (Malé instalace, kde nelze již technicky instalovat parní turbínu ani turbínu ORC. Současně také v lokalitě nemusí být zajištěn celoročně dostatečný odběr tepla, tudíž provoz v kombinované výrobě v letních měsících by byl neefektivní.)</w:t>
      </w:r>
      <w:r w:rsidR="001B4E71" w:rsidRPr="00DD47DF">
        <w:t>.</w:t>
      </w:r>
    </w:p>
    <w:p w14:paraId="2A9867E1" w14:textId="77777777" w:rsidR="00F41B56" w:rsidRPr="00DD47DF" w:rsidRDefault="00F41B56" w:rsidP="00E00F77">
      <w:pPr>
        <w:pStyle w:val="Standardntext"/>
      </w:pPr>
      <w:r w:rsidRPr="00DD47DF">
        <w:t xml:space="preserve">Typovým projektem v rámci tohoto specifického cíle bude např. výstavba malé vodní elektrárny, či </w:t>
      </w:r>
      <w:r w:rsidR="00A72338" w:rsidRPr="00DD47DF">
        <w:t>teplárny</w:t>
      </w:r>
      <w:r w:rsidRPr="00DD47DF">
        <w:t xml:space="preserve"> spalující biomasu a vyrábějící elektřinu a teplo</w:t>
      </w:r>
      <w:r w:rsidR="00E00F77" w:rsidRPr="00DD47DF">
        <w:t xml:space="preserve">. </w:t>
      </w:r>
      <w:r w:rsidR="00B36879" w:rsidRPr="00DD47DF">
        <w:t>Další a</w:t>
      </w:r>
      <w:r w:rsidR="00E00F77" w:rsidRPr="00DD47DF">
        <w:t xml:space="preserve">ktivitou </w:t>
      </w:r>
      <w:r w:rsidR="00B36879" w:rsidRPr="00DD47DF">
        <w:t>je vyšší využití tepla, které bude realizováno prostřednictvím</w:t>
      </w:r>
      <w:r w:rsidR="00E00F77" w:rsidRPr="00DD47DF">
        <w:t xml:space="preserve"> vzdálené kogenerační</w:t>
      </w:r>
      <w:r w:rsidRPr="00DD47DF">
        <w:t xml:space="preserve"> </w:t>
      </w:r>
      <w:r w:rsidR="00E00F77" w:rsidRPr="00DD47DF">
        <w:t>jednotky</w:t>
      </w:r>
      <w:r w:rsidR="00B36879" w:rsidRPr="00DD47DF">
        <w:t>, a to</w:t>
      </w:r>
      <w:r w:rsidR="00E00F77" w:rsidRPr="00DD47DF">
        <w:t xml:space="preserve"> </w:t>
      </w:r>
      <w:r w:rsidR="00335A15" w:rsidRPr="00DD47DF">
        <w:t xml:space="preserve">prostřednictvím </w:t>
      </w:r>
      <w:r w:rsidRPr="00DD47DF">
        <w:t>výstavb</w:t>
      </w:r>
      <w:r w:rsidR="00335A15" w:rsidRPr="00DD47DF">
        <w:t>y</w:t>
      </w:r>
      <w:r w:rsidRPr="00DD47DF">
        <w:t xml:space="preserve"> plynovodu </w:t>
      </w:r>
      <w:r w:rsidR="00335A15" w:rsidRPr="00DD47DF">
        <w:t xml:space="preserve">ze stávající bioplynové stanice </w:t>
      </w:r>
      <w:r w:rsidRPr="00DD47DF">
        <w:t xml:space="preserve">a přemístění kogenerační jednotky k místu spotřeby případně výstavba teplovodu k místu spotřeby. Způsobilé výdaje budou veškeré investiční náklady přímo spojené s výstavbou zařízení </w:t>
      </w:r>
      <w:r w:rsidR="00B36879" w:rsidRPr="00DD47DF">
        <w:t>a pořízení technologie, zpracování projektové dokumentace a energetického auditu</w:t>
      </w:r>
      <w:r w:rsidR="0020357B" w:rsidRPr="00DD47DF">
        <w:t xml:space="preserve"> atd</w:t>
      </w:r>
      <w:r w:rsidR="00B36879" w:rsidRPr="00DD47DF">
        <w:t>.</w:t>
      </w:r>
    </w:p>
    <w:p w14:paraId="33D5E354" w14:textId="77777777" w:rsidR="00F41B56" w:rsidRPr="00DD47DF" w:rsidRDefault="00FF7D38" w:rsidP="00E00F77">
      <w:pPr>
        <w:pStyle w:val="Standardntext"/>
      </w:pPr>
      <w:r w:rsidRPr="00DD47DF">
        <w:t>Výstupy výše uvedených aktivit přispějí k dosažení hlavního výsledku tohoto specifického cíle, kterým je</w:t>
      </w:r>
      <w:r w:rsidR="00F41B56" w:rsidRPr="00DD47DF">
        <w:t xml:space="preserve"> zvýšení podílu OZE na </w:t>
      </w:r>
      <w:r w:rsidRPr="00DD47DF">
        <w:t xml:space="preserve">hrubé </w:t>
      </w:r>
      <w:r w:rsidR="00F41B56" w:rsidRPr="00DD47DF">
        <w:t>konečné spotřebě energie, což přinese</w:t>
      </w:r>
      <w:r w:rsidR="00B36879" w:rsidRPr="00DD47DF">
        <w:t xml:space="preserve"> významný</w:t>
      </w:r>
      <w:r w:rsidR="00F41B56" w:rsidRPr="00DD47DF">
        <w:t xml:space="preserve"> příspěvek k naplňování </w:t>
      </w:r>
      <w:r w:rsidRPr="00DD47DF">
        <w:t>Národního akčního plánu ČR pro energii z obnovitelných zdrojů</w:t>
      </w:r>
      <w:r w:rsidR="00F41B56" w:rsidRPr="00DD47DF">
        <w:t>.</w:t>
      </w:r>
      <w:r w:rsidR="00947FAC" w:rsidRPr="00DD47DF">
        <w:t xml:space="preserve"> </w:t>
      </w:r>
      <w:r w:rsidR="00B95DC1" w:rsidRPr="00DD47DF">
        <w:t>V tomto specifickém cíli nebudou podpořeny zařízení na energetické využití odpadů nebo spaloven.</w:t>
      </w:r>
      <w:r w:rsidR="00947FAC" w:rsidRPr="00DD47DF">
        <w:t xml:space="preserve"> </w:t>
      </w:r>
    </w:p>
    <w:p w14:paraId="2F7ED706" w14:textId="77777777" w:rsidR="00B5004C" w:rsidRPr="00DD47DF" w:rsidRDefault="00B5004C" w:rsidP="001D35B1">
      <w:pPr>
        <w:pStyle w:val="Standardntext"/>
      </w:pPr>
      <w:r w:rsidRPr="00DD47DF">
        <w:rPr>
          <w:b/>
        </w:rPr>
        <w:t xml:space="preserve">Hlavní cílová skupina: </w:t>
      </w:r>
      <w:r w:rsidR="00127389" w:rsidRPr="00DD47DF">
        <w:t>P</w:t>
      </w:r>
      <w:r w:rsidR="0036276B" w:rsidRPr="00DD47DF">
        <w:t>odnikatelé z oblasti především MSP, kteří se hodlají soustředit/již soustředí na oblast výroby energie z OZE.</w:t>
      </w:r>
    </w:p>
    <w:p w14:paraId="300BBBED" w14:textId="77777777" w:rsidR="00B5004C" w:rsidRPr="00DD47DF" w:rsidRDefault="00B5004C" w:rsidP="001D35B1">
      <w:pPr>
        <w:pStyle w:val="Standardntext"/>
        <w:rPr>
          <w:color w:val="FF0000"/>
        </w:rPr>
      </w:pPr>
      <w:r w:rsidRPr="00DD47DF">
        <w:rPr>
          <w:b/>
        </w:rPr>
        <w:t xml:space="preserve">Cílové území: </w:t>
      </w:r>
      <w:r w:rsidR="009D1769" w:rsidRPr="00DD47DF">
        <w:t>V</w:t>
      </w:r>
      <w:r w:rsidR="0036276B" w:rsidRPr="00DD47DF">
        <w:t>šech</w:t>
      </w:r>
      <w:r w:rsidR="009D1769" w:rsidRPr="00DD47DF">
        <w:t>ny</w:t>
      </w:r>
      <w:r w:rsidR="0036276B" w:rsidRPr="00DD47DF">
        <w:t xml:space="preserve"> region</w:t>
      </w:r>
      <w:r w:rsidR="009D1769" w:rsidRPr="00DD47DF">
        <w:t>y</w:t>
      </w:r>
      <w:r w:rsidR="0036276B" w:rsidRPr="00DD47DF">
        <w:t xml:space="preserve"> v ČR kromě hl. m. Prahy.</w:t>
      </w:r>
      <w:r w:rsidR="00015039" w:rsidRPr="00DD47DF">
        <w:t xml:space="preserve"> </w:t>
      </w:r>
      <w:r w:rsidR="00A46CD6" w:rsidRPr="00DD47DF">
        <w:t>Předpokládá se plošné směrování intervencí bez vymezení územní dimenze.</w:t>
      </w:r>
      <w:r w:rsidR="00BA4E72" w:rsidRPr="00DD47DF">
        <w:t xml:space="preserve"> </w:t>
      </w:r>
      <w:r w:rsidR="00A46CD6" w:rsidRPr="00DD47DF">
        <w:t>Nicméně d</w:t>
      </w:r>
      <w:r w:rsidR="00BF1EEF" w:rsidRPr="00DD47DF">
        <w:t xml:space="preserve">ůležitým prvkem pro oblast OZE je krajinný charakter území (např. rurální, urbánní, nížinný, horský, podhorský) jako podmínka pro </w:t>
      </w:r>
      <w:r w:rsidR="00A46CD6" w:rsidRPr="00DD47DF">
        <w:t>realizaci</w:t>
      </w:r>
      <w:r w:rsidR="00BF1EEF" w:rsidRPr="00DD47DF">
        <w:t xml:space="preserve"> konkrétního projektu.</w:t>
      </w:r>
    </w:p>
    <w:p w14:paraId="4D353628" w14:textId="77777777" w:rsidR="00B5004C" w:rsidRPr="00DD47DF" w:rsidRDefault="00B5004C" w:rsidP="001D35B1">
      <w:pPr>
        <w:pStyle w:val="Standardntext"/>
      </w:pPr>
      <w:r w:rsidRPr="00DD47DF">
        <w:rPr>
          <w:b/>
        </w:rPr>
        <w:t xml:space="preserve">Typy příjemců: </w:t>
      </w:r>
      <w:r w:rsidRPr="00DD47DF">
        <w:t>Podnikatelské subjekty (malé, střední a případně velké podniky).</w:t>
      </w:r>
      <w:r w:rsidR="00B36879" w:rsidRPr="00DD47DF">
        <w:t xml:space="preserve"> </w:t>
      </w:r>
      <w:r w:rsidR="00B36879" w:rsidRPr="00DD47DF">
        <w:rPr>
          <w:szCs w:val="22"/>
        </w:rPr>
        <w:t xml:space="preserve">Zahrnutí podpory velkých firem </w:t>
      </w:r>
      <w:r w:rsidR="00B36879" w:rsidRPr="00DD47DF">
        <w:t xml:space="preserve">(dle čl. 3 odst. 1 písm. b) nařízení o EFRR) </w:t>
      </w:r>
      <w:r w:rsidR="00B36879" w:rsidRPr="00DD47DF">
        <w:rPr>
          <w:szCs w:val="22"/>
        </w:rPr>
        <w:t>v rámci tohoto specifického cíle je zdůvodněno maximální snahou o využití veškerého dostupného potenciálu nejefektivnějších obnovitelných zdrojů energie v ČR. Omezení bude nastaveno z technického hlediska projektu a nikoliv velikostí podniku, tak aby byly realizovaný menší a střední projekty s významným příspěvkem pro regionální rozvoj.</w:t>
      </w:r>
    </w:p>
    <w:p w14:paraId="0D6B8C2E" w14:textId="77777777" w:rsidR="00B5004C" w:rsidRPr="00DD47DF" w:rsidRDefault="00BA6461" w:rsidP="005F43DF">
      <w:pPr>
        <w:pStyle w:val="Nadpis5"/>
        <w:numPr>
          <w:ilvl w:val="4"/>
          <w:numId w:val="18"/>
        </w:numPr>
      </w:pPr>
      <w:r w:rsidRPr="00DD47DF">
        <w:t>Hlavní zásady pro výběr operací</w:t>
      </w:r>
    </w:p>
    <w:p w14:paraId="71ED668C"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3B83FEA6" w14:textId="77777777" w:rsidR="00BA0383" w:rsidRPr="00DD47DF" w:rsidRDefault="0036276B" w:rsidP="0036276B">
      <w:pPr>
        <w:pStyle w:val="Standardntext"/>
      </w:pPr>
      <w:r w:rsidRPr="00DD47DF">
        <w:t xml:space="preserve"> V rámci výběru a hodnocení projektů </w:t>
      </w:r>
      <w:r w:rsidR="00BA0383" w:rsidRPr="00DD47DF">
        <w:t xml:space="preserve">budou posuzována </w:t>
      </w:r>
      <w:r w:rsidR="00184371" w:rsidRPr="00DD47DF">
        <w:t xml:space="preserve">především </w:t>
      </w:r>
      <w:r w:rsidR="00BA0383" w:rsidRPr="00DD47DF">
        <w:t>následující kritéria</w:t>
      </w:r>
      <w:r w:rsidR="00A35694" w:rsidRPr="00DD47DF">
        <w:t>:</w:t>
      </w:r>
    </w:p>
    <w:p w14:paraId="51CCEE76" w14:textId="77777777" w:rsidR="00184371" w:rsidRPr="00DD47DF" w:rsidRDefault="00184371" w:rsidP="00D927A2">
      <w:pPr>
        <w:pStyle w:val="Standardntext"/>
        <w:numPr>
          <w:ilvl w:val="0"/>
          <w:numId w:val="43"/>
        </w:numPr>
      </w:pPr>
      <w:r w:rsidRPr="00DD47DF">
        <w:t xml:space="preserve">Kvalita a potřebnost </w:t>
      </w:r>
      <w:r w:rsidR="00BE7900" w:rsidRPr="00DD47DF">
        <w:t xml:space="preserve">projektu </w:t>
      </w:r>
      <w:r w:rsidRPr="00DD47DF">
        <w:t xml:space="preserve">s ohledem na </w:t>
      </w:r>
      <w:r w:rsidR="00BE7900" w:rsidRPr="00DD47DF">
        <w:t xml:space="preserve">jeho </w:t>
      </w:r>
      <w:r w:rsidRPr="00DD47DF">
        <w:t>ekologické přín</w:t>
      </w:r>
      <w:r w:rsidR="00DC4382" w:rsidRPr="00DD47DF">
        <w:t>osy a ekonomickou efektivnost; z</w:t>
      </w:r>
      <w:r w:rsidRPr="00DD47DF">
        <w:t>ejména bude kladen důraz na poměr investičních nákladů k instalovanému výkonu a vyrobené energii, poměrnou dobu ročního využití instalovaného výkonu a celkových ekologických přínosů projektu.</w:t>
      </w:r>
    </w:p>
    <w:p w14:paraId="3DE4FBA2" w14:textId="77777777" w:rsidR="00BA0383" w:rsidRPr="00DD47DF" w:rsidRDefault="00BA0383" w:rsidP="00D927A2">
      <w:pPr>
        <w:pStyle w:val="Standardntext"/>
        <w:numPr>
          <w:ilvl w:val="0"/>
          <w:numId w:val="43"/>
        </w:numPr>
      </w:pPr>
      <w:r w:rsidRPr="00DD47DF">
        <w:lastRenderedPageBreak/>
        <w:t>S</w:t>
      </w:r>
      <w:r w:rsidR="0036276B" w:rsidRPr="00DD47DF">
        <w:t xml:space="preserve">oulad </w:t>
      </w:r>
      <w:r w:rsidR="00BE7900" w:rsidRPr="00DD47DF">
        <w:t xml:space="preserve">projektu </w:t>
      </w:r>
      <w:r w:rsidR="0036276B" w:rsidRPr="00DD47DF">
        <w:t>s územní dimenzí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w:t>
      </w:r>
    </w:p>
    <w:p w14:paraId="14965CBB" w14:textId="77777777" w:rsidR="00184371" w:rsidRPr="00DD47DF" w:rsidRDefault="00BE7900" w:rsidP="00D927A2">
      <w:pPr>
        <w:pStyle w:val="Standardntext"/>
        <w:numPr>
          <w:ilvl w:val="0"/>
          <w:numId w:val="43"/>
        </w:numPr>
      </w:pPr>
      <w:r w:rsidRPr="00DD47DF">
        <w:t>Soulad projektu s</w:t>
      </w:r>
      <w:r w:rsidR="0036276B" w:rsidRPr="00DD47DF">
        <w:t xml:space="preserve"> horizontální</w:t>
      </w:r>
      <w:r w:rsidRPr="00DD47DF">
        <w:t>mi</w:t>
      </w:r>
      <w:r w:rsidR="0036276B" w:rsidRPr="00DD47DF">
        <w:t xml:space="preserve"> princip</w:t>
      </w:r>
      <w:r w:rsidRPr="00DD47DF">
        <w:t>y</w:t>
      </w:r>
      <w:r w:rsidR="0036276B" w:rsidRPr="00DD47DF">
        <w:t xml:space="preserve">. Projekt, který bude v rozporu s těmito principy, nebude v rámci OP </w:t>
      </w:r>
      <w:r w:rsidR="00FB0590" w:rsidRPr="00DD47DF">
        <w:t xml:space="preserve">PIK podpořen (blíže viz </w:t>
      </w:r>
      <w:r w:rsidR="00BA0383" w:rsidRPr="00DD47DF">
        <w:t xml:space="preserve">oddíl </w:t>
      </w:r>
      <w:r w:rsidR="00FB0590" w:rsidRPr="00DD47DF">
        <w:t>11).</w:t>
      </w:r>
    </w:p>
    <w:p w14:paraId="67703478" w14:textId="65E70701" w:rsidR="00A61EA1" w:rsidRPr="00DD47DF" w:rsidRDefault="00A61EA1" w:rsidP="00716821">
      <w:pPr>
        <w:pStyle w:val="Standardntext"/>
        <w:numPr>
          <w:ilvl w:val="0"/>
          <w:numId w:val="43"/>
        </w:numPr>
      </w:pPr>
      <w:r w:rsidRPr="00DD47DF">
        <w:t>Vliv projektu na oblast klimatu bude na projektové úrovni sledován prostřednictvím indikátoru „Odhadované roční snížení emisí skleníkových plynů“</w:t>
      </w:r>
      <w:r w:rsidR="00C306CB" w:rsidRPr="00DD47DF">
        <w:t xml:space="preserve"> (3 60 10)</w:t>
      </w:r>
      <w:r w:rsidRPr="00DD47DF">
        <w:t>. Nad rámec toho bud</w:t>
      </w:r>
      <w:r w:rsidR="00D5203D" w:rsidRPr="00DD47DF">
        <w:t>e</w:t>
      </w:r>
      <w:r w:rsidRPr="00DD47DF">
        <w:t xml:space="preserve"> na projektové úrovni interně monitorován vliv daného projektu na oblast </w:t>
      </w:r>
      <w:r w:rsidR="00D5203D" w:rsidRPr="00DD47DF">
        <w:t xml:space="preserve">ovzduší </w:t>
      </w:r>
      <w:r w:rsidRPr="00DD47DF">
        <w:t xml:space="preserve">prostřednictvím </w:t>
      </w:r>
      <w:r w:rsidR="00D5203D" w:rsidRPr="00DD47DF">
        <w:t xml:space="preserve">indikátoru </w:t>
      </w:r>
      <w:r w:rsidRPr="00DD47DF">
        <w:t>„</w:t>
      </w:r>
      <w:r w:rsidR="00DC0681" w:rsidRPr="00DC0681">
        <w:t>Množství emisí primárních částic a prekurzorů sekundárních částic</w:t>
      </w:r>
      <w:r w:rsidRPr="00DD47DF">
        <w:t xml:space="preserve">“ </w:t>
      </w:r>
      <w:r w:rsidR="00C306CB" w:rsidRPr="00DD47DF">
        <w:t>(3 61 11)</w:t>
      </w:r>
      <w:r w:rsidR="00E624A1" w:rsidRPr="00DD47DF">
        <w:rPr>
          <w:rStyle w:val="Znakapoznpodarou"/>
        </w:rPr>
        <w:footnoteReference w:id="56"/>
      </w:r>
      <w:r w:rsidR="00C306CB" w:rsidRPr="00DD47DF">
        <w:t xml:space="preserve"> </w:t>
      </w:r>
      <w:r w:rsidRPr="00DD47DF">
        <w:t xml:space="preserve">a dále </w:t>
      </w:r>
      <w:r w:rsidR="00D5203D" w:rsidRPr="00DD47DF">
        <w:t xml:space="preserve">vliv na oblast </w:t>
      </w:r>
      <w:r w:rsidR="0020357B" w:rsidRPr="00DD47DF">
        <w:t xml:space="preserve">výroby </w:t>
      </w:r>
      <w:r w:rsidR="00D5203D" w:rsidRPr="00DD47DF">
        <w:t xml:space="preserve">energie z OZE prostřednictvím </w:t>
      </w:r>
      <w:r w:rsidRPr="00DD47DF">
        <w:t>indikátor</w:t>
      </w:r>
      <w:r w:rsidR="00D5203D" w:rsidRPr="00DD47DF">
        <w:t>ů</w:t>
      </w:r>
      <w:r w:rsidRPr="00DD47DF">
        <w:t xml:space="preserve"> „</w:t>
      </w:r>
      <w:r w:rsidR="00444BED" w:rsidRPr="00444BED">
        <w:t>Výroba tepla z obnovitelných zdrojů</w:t>
      </w:r>
      <w:r w:rsidRPr="00DD47DF">
        <w:t>“</w:t>
      </w:r>
      <w:r w:rsidR="00C306CB" w:rsidRPr="00DD47DF">
        <w:t xml:space="preserve"> (3 48 00)</w:t>
      </w:r>
      <w:r w:rsidRPr="00DD47DF">
        <w:t xml:space="preserve"> a „</w:t>
      </w:r>
      <w:r w:rsidR="00716821" w:rsidRPr="00716821">
        <w:t>Výroba elektrické energie z obnovitelných zdrojů celkem</w:t>
      </w:r>
      <w:r w:rsidRPr="00DD47DF">
        <w:t>“</w:t>
      </w:r>
      <w:r w:rsidR="00C306CB" w:rsidRPr="00DD47DF">
        <w:t xml:space="preserve"> (3 46 </w:t>
      </w:r>
      <w:r w:rsidR="007F0646">
        <w:t>10</w:t>
      </w:r>
      <w:r w:rsidR="00C306CB" w:rsidRPr="00DD47DF">
        <w:t>)</w:t>
      </w:r>
      <w:r w:rsidRPr="00DD47DF">
        <w:t xml:space="preserve">. Tyto environmentální indikátory budou </w:t>
      </w:r>
      <w:r w:rsidR="00C61714" w:rsidRPr="00DD47DF">
        <w:t xml:space="preserve">reportovány EK na projektové úrovní a </w:t>
      </w:r>
      <w:r w:rsidRPr="00DD47DF">
        <w:t>dále agregovány pro potřeby Dohody o partnerství</w:t>
      </w:r>
      <w:r w:rsidR="00677C81" w:rsidRPr="00DD47DF">
        <w:t xml:space="preserve"> a Výročních zpráv OP PIK</w:t>
      </w:r>
      <w:r w:rsidRPr="00DD47DF">
        <w:t>.</w:t>
      </w:r>
    </w:p>
    <w:p w14:paraId="5699C4D2" w14:textId="77777777" w:rsidR="0038435E" w:rsidRPr="00DD47DF" w:rsidRDefault="0038435E" w:rsidP="0038435E">
      <w:pPr>
        <w:pStyle w:val="Standardntext"/>
        <w:numPr>
          <w:ilvl w:val="0"/>
          <w:numId w:val="43"/>
        </w:numPr>
      </w:pPr>
      <w:r w:rsidRPr="00DD47DF">
        <w:t>Projekt musí splňovat alespoň požadavky na úrovni kladené spodní polovinou intervalu nejlepších dostupných technik</w:t>
      </w:r>
      <w:r w:rsidRPr="00DD47DF" w:rsidDel="00A808D6">
        <w:t xml:space="preserve"> </w:t>
      </w:r>
      <w:r w:rsidRPr="00DD47DF">
        <w:rPr>
          <w:rStyle w:val="Znakapoznpodarou"/>
        </w:rPr>
        <w:footnoteReference w:id="57"/>
      </w:r>
      <w:r w:rsidRPr="00DD47DF">
        <w:t>.</w:t>
      </w:r>
    </w:p>
    <w:p w14:paraId="64209556" w14:textId="77777777" w:rsidR="0020357B" w:rsidRPr="00DD47DF" w:rsidRDefault="0020357B" w:rsidP="00335A15">
      <w:pPr>
        <w:pStyle w:val="Standardntext"/>
        <w:numPr>
          <w:ilvl w:val="0"/>
          <w:numId w:val="43"/>
        </w:numPr>
        <w:ind w:left="714" w:hanging="357"/>
      </w:pPr>
      <w:r w:rsidRPr="00DD47DF">
        <w:t>Podporovány budou projekty s vysokou mírou účinnosti.</w:t>
      </w:r>
    </w:p>
    <w:p w14:paraId="510DF768" w14:textId="77777777" w:rsidR="00335A15" w:rsidRPr="00DD47DF" w:rsidRDefault="00335A15" w:rsidP="00441D67">
      <w:pPr>
        <w:pStyle w:val="Odstavecseseznamem"/>
        <w:numPr>
          <w:ilvl w:val="0"/>
          <w:numId w:val="43"/>
        </w:numPr>
        <w:spacing w:after="120"/>
        <w:ind w:left="714" w:hanging="357"/>
        <w:contextualSpacing w:val="0"/>
        <w:jc w:val="both"/>
      </w:pPr>
      <w:r w:rsidRPr="00DD47DF">
        <w:rPr>
          <w:sz w:val="24"/>
          <w:szCs w:val="24"/>
        </w:rPr>
        <w:t xml:space="preserve">Projekty kombinované výroby elektřiny a tepla budou podporovány jenom v případě, pokud splní kritéria vysokoúčinné výroby elektřiny a tepla. </w:t>
      </w:r>
    </w:p>
    <w:p w14:paraId="1FD93197" w14:textId="77777777" w:rsidR="0020357B" w:rsidRPr="00DD47DF" w:rsidRDefault="0020357B" w:rsidP="00D927A2">
      <w:pPr>
        <w:pStyle w:val="Standardntext"/>
        <w:numPr>
          <w:ilvl w:val="0"/>
          <w:numId w:val="43"/>
        </w:numPr>
        <w:rPr>
          <w:bCs/>
        </w:rPr>
      </w:pPr>
      <w:r w:rsidRPr="00DD47DF">
        <w:rPr>
          <w:bCs/>
        </w:rPr>
        <w:t>V případě přechodu z uhelného zdroje na biomasu musí být projekt v souladu se Zprávou EK z července 2014 „o současném stavu udržitelnosti pevné a plynné biomasy používání pro výrobu elektrické energie, vytápění a chlazení v EU“</w:t>
      </w:r>
      <w:r w:rsidR="001E5658" w:rsidRPr="00DD47DF">
        <w:rPr>
          <w:bCs/>
        </w:rPr>
        <w:t>.</w:t>
      </w:r>
    </w:p>
    <w:p w14:paraId="6A503B67" w14:textId="77777777" w:rsidR="00771A39" w:rsidRPr="00DD47DF" w:rsidRDefault="00771A39" w:rsidP="00D927A2">
      <w:pPr>
        <w:pStyle w:val="Standardntext"/>
        <w:numPr>
          <w:ilvl w:val="0"/>
          <w:numId w:val="43"/>
        </w:numPr>
        <w:rPr>
          <w:bCs/>
        </w:rPr>
      </w:pPr>
      <w:r w:rsidRPr="00DD47DF">
        <w:rPr>
          <w:bCs/>
        </w:rPr>
        <w:t>Podpořeny nebudou projekty rekonstrukce či výstavby zdroje nad 10 MW.</w:t>
      </w:r>
    </w:p>
    <w:p w14:paraId="2303DE8C" w14:textId="77777777" w:rsidR="00C61714" w:rsidRPr="00DD47DF" w:rsidRDefault="00C61714" w:rsidP="00D927A2">
      <w:pPr>
        <w:pStyle w:val="Standardntext"/>
        <w:numPr>
          <w:ilvl w:val="0"/>
          <w:numId w:val="43"/>
        </w:numPr>
        <w:rPr>
          <w:bCs/>
        </w:rPr>
      </w:pPr>
      <w:r w:rsidRPr="00DD47DF">
        <w:rPr>
          <w:bCs/>
        </w:rPr>
        <w:t>Projekty budou v souladu s udržitelným využívání dřevní biomasy a stanovení rozsahu bude probíhat na regionální úrovni s cílem zajistit, aby využívání této dřevní biomasy nepřekročilo meze funkce obnovy přírodních ekosystémů.</w:t>
      </w:r>
    </w:p>
    <w:p w14:paraId="667D6B90" w14:textId="77777777" w:rsidR="00771A39" w:rsidRPr="00DD47DF" w:rsidRDefault="00D01FDB" w:rsidP="00C56A67">
      <w:pPr>
        <w:pStyle w:val="Standardntext"/>
        <w:numPr>
          <w:ilvl w:val="0"/>
          <w:numId w:val="43"/>
        </w:numPr>
        <w:rPr>
          <w:bCs/>
        </w:rPr>
      </w:pPr>
      <w:r w:rsidRPr="00DD47DF">
        <w:rPr>
          <w:bCs/>
        </w:rPr>
        <w:t>Podpora nebude poskytnuta na spolufinancování zařízení, na něž se vztahuje směrnice o průmyslových emisích, která je použitelná na zařízení pro výrobu elektřiny a dálkové vytápění nad 50 MW</w:t>
      </w:r>
      <w:r w:rsidR="00C56A67" w:rsidRPr="00DD47DF">
        <w:rPr>
          <w:bCs/>
        </w:rPr>
        <w:t>.</w:t>
      </w:r>
    </w:p>
    <w:p w14:paraId="749450D2" w14:textId="77777777" w:rsidR="00335A15" w:rsidRPr="00DD47DF" w:rsidRDefault="002C72B3" w:rsidP="00441D67">
      <w:pPr>
        <w:pStyle w:val="Odstavecseseznamem"/>
        <w:numPr>
          <w:ilvl w:val="0"/>
          <w:numId w:val="43"/>
        </w:numPr>
        <w:spacing w:after="120"/>
        <w:ind w:left="714" w:hanging="357"/>
        <w:contextualSpacing w:val="0"/>
        <w:jc w:val="both"/>
        <w:rPr>
          <w:bCs/>
        </w:rPr>
      </w:pPr>
      <w:r w:rsidRPr="00DD47DF">
        <w:rPr>
          <w:bCs/>
          <w:sz w:val="24"/>
          <w:szCs w:val="24"/>
        </w:rPr>
        <w:t>Životnost investic v tomto odvětví se počítá na desítky let, a měly by proto odpovídat příslušným ustanovením právních předpisů a politikám EU. Systémy vytápění finančně podporované z OP musí již od počátku programového období splňovat minimální požadavky na energetickou účinnost a na emise platné ke konci roku 2020, jak to stanoví prováděcí opatření směrnice o ekodesignu 2009/125/ES.</w:t>
      </w:r>
    </w:p>
    <w:p w14:paraId="78ED7C80" w14:textId="06027F49" w:rsidR="00335A15" w:rsidRPr="00DD47DF" w:rsidRDefault="00967F0C" w:rsidP="00967F0C">
      <w:pPr>
        <w:pStyle w:val="Standardntext"/>
        <w:numPr>
          <w:ilvl w:val="0"/>
          <w:numId w:val="43"/>
        </w:numPr>
        <w:rPr>
          <w:bCs/>
        </w:rPr>
      </w:pPr>
      <w:r w:rsidRPr="00967F0C">
        <w:rPr>
          <w:bCs/>
        </w:rPr>
        <w:lastRenderedPageBreak/>
        <w:t>Podpořeny budou pouze projekty, které splňují požadavky mezních hodnot emisí pro spalovací zařízení podle Směrnice 2015/2193/ES o omezení emisí některých znečišťujících látek do ovzduší ze středních spalovacích zařízení. Prioritně budou podporovány projekty, které přispívají k plnění směrnice o nových národních emisních stropech, která vstoupila v platnost dne 31. prosince 2016.</w:t>
      </w:r>
    </w:p>
    <w:p w14:paraId="49CE3036" w14:textId="77777777" w:rsidR="00771A39" w:rsidRPr="00DD47DF" w:rsidRDefault="00771A39" w:rsidP="00D927A2">
      <w:pPr>
        <w:pStyle w:val="Standardntext"/>
        <w:numPr>
          <w:ilvl w:val="0"/>
          <w:numId w:val="43"/>
        </w:numPr>
        <w:rPr>
          <w:bCs/>
        </w:rPr>
      </w:pPr>
      <w:r w:rsidRPr="00DD47DF">
        <w:rPr>
          <w:bCs/>
        </w:rPr>
        <w:t>V případech, kde bude uplatněna pouze monovýroba tepla, tak musí být analýzou prokázáno, že se jedná o energeticky efektivnější aplikaci než-li kombinovaná výroba elektřiny a tepla</w:t>
      </w:r>
      <w:r w:rsidR="00535C97" w:rsidRPr="00DD47DF">
        <w:rPr>
          <w:bCs/>
        </w:rPr>
        <w:t>,</w:t>
      </w:r>
      <w:r w:rsidRPr="00DD47DF">
        <w:rPr>
          <w:bCs/>
        </w:rPr>
        <w:t xml:space="preserve"> anebo pokud není technicky možné, musí být zajištěno výrazné zlepšení energetické účinnosti dálkového vytápění (soustav zásobování teplem).</w:t>
      </w:r>
    </w:p>
    <w:p w14:paraId="061C6F3F" w14:textId="77777777" w:rsidR="0020357B" w:rsidRPr="00DD47DF" w:rsidRDefault="0020357B" w:rsidP="00535C97">
      <w:pPr>
        <w:pStyle w:val="Standardntext"/>
        <w:numPr>
          <w:ilvl w:val="0"/>
          <w:numId w:val="43"/>
        </w:numPr>
      </w:pPr>
      <w:r w:rsidRPr="00DD47DF">
        <w:t xml:space="preserve">Soulad projektu z hlediska energetické účinnosti a </w:t>
      </w:r>
      <w:r w:rsidR="00535C97" w:rsidRPr="00DD47DF">
        <w:t>využití energie z OZE</w:t>
      </w:r>
      <w:r w:rsidRPr="00DD47DF">
        <w:t>.</w:t>
      </w:r>
    </w:p>
    <w:p w14:paraId="0BE47F62" w14:textId="77777777" w:rsidR="0020357B" w:rsidRPr="00DD47DF" w:rsidRDefault="00360BED" w:rsidP="00D927A2">
      <w:pPr>
        <w:pStyle w:val="Standardntext"/>
        <w:numPr>
          <w:ilvl w:val="0"/>
          <w:numId w:val="43"/>
        </w:numPr>
      </w:pPr>
      <w:r w:rsidRPr="00DD47DF">
        <w:t xml:space="preserve">Součástí </w:t>
      </w:r>
      <w:r w:rsidR="00B12F31" w:rsidRPr="00DD47DF">
        <w:t>projektu</w:t>
      </w:r>
      <w:r w:rsidRPr="00DD47DF">
        <w:t xml:space="preserve"> </w:t>
      </w:r>
      <w:r w:rsidR="00184371" w:rsidRPr="00DD47DF">
        <w:t>musí být</w:t>
      </w:r>
      <w:r w:rsidRPr="00DD47DF">
        <w:t xml:space="preserve"> energetický audit</w:t>
      </w:r>
      <w:r w:rsidR="0020357B" w:rsidRPr="00DD47DF">
        <w:t xml:space="preserve"> či energetický posudek</w:t>
      </w:r>
      <w:r w:rsidR="00C61714" w:rsidRPr="00DD47DF">
        <w:t xml:space="preserve"> doporučující nejvhodnější opatření, která budou realizována</w:t>
      </w:r>
      <w:r w:rsidR="0020357B" w:rsidRPr="00DD47DF">
        <w:t>.</w:t>
      </w:r>
    </w:p>
    <w:p w14:paraId="57F78E9E" w14:textId="28D9CDF7" w:rsidR="00BA0383" w:rsidRPr="00DD47DF" w:rsidRDefault="007B0072" w:rsidP="007B0072">
      <w:pPr>
        <w:pStyle w:val="Standardntext"/>
        <w:numPr>
          <w:ilvl w:val="0"/>
          <w:numId w:val="43"/>
        </w:numPr>
      </w:pPr>
      <w:r w:rsidRPr="007B0072">
        <w:t>V případě investiční podpory v rámci OP bude odpovídajícím způsobem snížena vnitrostátní provozní podpora podle oznámení EK.</w:t>
      </w:r>
    </w:p>
    <w:p w14:paraId="4F273032" w14:textId="77777777" w:rsidR="0020357B" w:rsidRPr="00DD47DF" w:rsidRDefault="00771A39" w:rsidP="00D927A2">
      <w:pPr>
        <w:pStyle w:val="Standardntext"/>
        <w:numPr>
          <w:ilvl w:val="0"/>
          <w:numId w:val="43"/>
        </w:numPr>
      </w:pPr>
      <w:r w:rsidRPr="00DD47DF">
        <w:t>Podpora výstavby MVE bude možná pouze v případě souladu s rámcovou směrnicí o vodě, a to zejména s článkem 4, odstavce 7, 8 a 9 rámcové směrnice o vodě, což si   vyžádá řádné strategické hodnocení všech opatření a provádění článku 4 (7) rámcové směrnice o vodě (zejména opatření ke zmírnění dopadů) a článku 6 směrnice o stanovištích (a směrnice o posuzování vlivů na životní prostředí - EIA na úrovni projektu). Uplatněním čl</w:t>
      </w:r>
      <w:r w:rsidR="00535C97" w:rsidRPr="00DD47DF">
        <w:t>.</w:t>
      </w:r>
      <w:r w:rsidRPr="00DD47DF">
        <w:t xml:space="preserve"> 6 směrnice o stanovištích, by mělo být zajištěno, aby nedocházelo ke kolizím s lokalitami Natura 2000.</w:t>
      </w:r>
      <w:r w:rsidR="00C61714" w:rsidRPr="00DD47DF">
        <w:t xml:space="preserve"> Dokud nebude vše toto zajištěno, projekt nebude podpořen.</w:t>
      </w:r>
    </w:p>
    <w:p w14:paraId="2D70BE1D" w14:textId="77777777" w:rsidR="00516E97" w:rsidRPr="00DD47DF" w:rsidRDefault="00516E97"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593A311B" w14:textId="77777777" w:rsidR="00B5004C" w:rsidRPr="00DD47DF" w:rsidRDefault="00BA6461" w:rsidP="005F43DF">
      <w:pPr>
        <w:pStyle w:val="Nadpis5"/>
        <w:numPr>
          <w:ilvl w:val="4"/>
          <w:numId w:val="18"/>
        </w:numPr>
        <w:rPr>
          <w:rFonts w:cs="Calibri"/>
        </w:rPr>
      </w:pPr>
      <w:r w:rsidRPr="00DD47DF">
        <w:t xml:space="preserve">Plánované využití finančních nástrojů </w:t>
      </w:r>
    </w:p>
    <w:p w14:paraId="287AB918" w14:textId="77777777" w:rsidR="00B5004C" w:rsidRPr="00DD47DF" w:rsidRDefault="00397070" w:rsidP="002A4D1D">
      <w:pPr>
        <w:pStyle w:val="Standardntext"/>
        <w:rPr>
          <w:color w:val="FF0000"/>
        </w:rPr>
      </w:pPr>
      <w:r w:rsidRPr="00DD47DF">
        <w:t>Řídící orgán zvažuje využití finančních nástrojů v této investiční prioritě. O jejich využití bude rozhodnuto na základě výsledků předběžného posouzení finančních nástrojů OP PIK dle čl. 37 odst. 2 obecného nařízení, které provede ŘO OP PIK, případně jeho revize podle čl. 37 odst. 2 písm. g) obecného nařízení.</w:t>
      </w:r>
    </w:p>
    <w:p w14:paraId="071B90DC" w14:textId="77777777" w:rsidR="00B5004C" w:rsidRPr="00DD47DF" w:rsidRDefault="00BA6461" w:rsidP="005F43DF">
      <w:pPr>
        <w:pStyle w:val="Nadpis5"/>
        <w:numPr>
          <w:ilvl w:val="4"/>
          <w:numId w:val="18"/>
        </w:numPr>
      </w:pPr>
      <w:r w:rsidRPr="00DD47DF">
        <w:t>Plánované využití velkých projektů (použije-li se)</w:t>
      </w:r>
    </w:p>
    <w:p w14:paraId="4790F1CF" w14:textId="77777777" w:rsidR="002A4D1D" w:rsidRPr="00DD47DF" w:rsidRDefault="002A4D1D" w:rsidP="002A4D1D">
      <w:pPr>
        <w:pStyle w:val="Standardntext"/>
      </w:pPr>
      <w:r w:rsidRPr="00DD47DF">
        <w:t xml:space="preserve">Velké projekty ve smyslu čl. </w:t>
      </w:r>
      <w:r w:rsidR="00C17C7C" w:rsidRPr="00DD47DF">
        <w:t>10</w:t>
      </w:r>
      <w:r w:rsidRPr="00DD47DF">
        <w:t>0 obecného nařízení nejsou plánovány.</w:t>
      </w:r>
    </w:p>
    <w:p w14:paraId="1E995A48" w14:textId="77777777" w:rsidR="00B5004C" w:rsidRPr="00DD47DF" w:rsidRDefault="00BA6461" w:rsidP="001D58DB">
      <w:pPr>
        <w:pStyle w:val="Nadpis5"/>
        <w:numPr>
          <w:ilvl w:val="4"/>
          <w:numId w:val="18"/>
        </w:numPr>
      </w:pPr>
      <w:r w:rsidRPr="00DD47DF">
        <w:lastRenderedPageBreak/>
        <w:t>Ukazatele výstupů podle investiční priority a případně podle kategorie regionů</w:t>
      </w:r>
    </w:p>
    <w:p w14:paraId="7C294BF4" w14:textId="77777777" w:rsidR="00B5004C" w:rsidRPr="00DD47DF" w:rsidRDefault="00B5004C" w:rsidP="001D58DB">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668"/>
        <w:gridCol w:w="2158"/>
        <w:gridCol w:w="1330"/>
        <w:gridCol w:w="665"/>
        <w:gridCol w:w="1209"/>
        <w:gridCol w:w="1124"/>
        <w:gridCol w:w="997"/>
        <w:gridCol w:w="1175"/>
      </w:tblGrid>
      <w:tr w:rsidR="001B2E5C" w:rsidRPr="00DD47DF" w14:paraId="7ACB1C5F" w14:textId="77777777">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753BAA3" w14:textId="77777777" w:rsidR="001B2E5C" w:rsidRPr="00DD47DF" w:rsidRDefault="001B2E5C" w:rsidP="001D58DB">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22BE7BD" w14:textId="77777777" w:rsidR="001B2E5C" w:rsidRPr="00DD47DF" w:rsidRDefault="001B2E5C" w:rsidP="001D58DB">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9662669" w14:textId="77777777" w:rsidR="001B2E5C" w:rsidRPr="00DD47DF" w:rsidRDefault="001B2E5C" w:rsidP="001D58DB">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EDC616F" w14:textId="77777777" w:rsidR="001B2E5C" w:rsidRPr="00DD47DF" w:rsidRDefault="001B2E5C" w:rsidP="001D58DB">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92D09D" w14:textId="77777777" w:rsidR="001B2E5C" w:rsidRPr="00DD47DF" w:rsidRDefault="001B2E5C" w:rsidP="001D58DB">
            <w:pPr>
              <w:pStyle w:val="Tabulka"/>
              <w:keepNext/>
              <w:keepLines/>
              <w:rPr>
                <w:rFonts w:cs="Calibri"/>
                <w:b/>
              </w:rPr>
            </w:pPr>
            <w:r w:rsidRPr="00DD47DF">
              <w:rPr>
                <w:rFonts w:cs="Calibri"/>
                <w:b/>
              </w:rPr>
              <w:t>Kategorie regionu</w:t>
            </w:r>
          </w:p>
        </w:tc>
        <w:tc>
          <w:tcPr>
            <w:tcW w:w="112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65A0973" w14:textId="77777777" w:rsidR="001B2E5C" w:rsidRPr="00DD47DF" w:rsidRDefault="001B2E5C" w:rsidP="001D58DB">
            <w:pPr>
              <w:pStyle w:val="Tabulka"/>
              <w:keepNext/>
              <w:keepLines/>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72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72968B4" w14:textId="77777777" w:rsidR="001B2E5C" w:rsidRPr="00DD47DF" w:rsidRDefault="001B2E5C" w:rsidP="001D58DB">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AA298C1" w14:textId="77777777" w:rsidR="001B2E5C" w:rsidRPr="00DD47DF" w:rsidRDefault="001B2E5C" w:rsidP="001D58DB">
            <w:pPr>
              <w:pStyle w:val="Tabulka"/>
              <w:keepNext/>
              <w:keepLines/>
              <w:rPr>
                <w:rFonts w:cs="Calibri"/>
                <w:b/>
              </w:rPr>
            </w:pPr>
            <w:r w:rsidRPr="00DD47DF">
              <w:rPr>
                <w:rFonts w:cs="Calibri"/>
                <w:b/>
              </w:rPr>
              <w:t>Četnost podávání zpráv</w:t>
            </w:r>
          </w:p>
        </w:tc>
      </w:tr>
      <w:tr w:rsidR="00826B6B" w:rsidRPr="00DD47DF" w14:paraId="2B5DE7BA"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D0C56CE" w14:textId="7ECBCEC5" w:rsidR="00826B6B" w:rsidRPr="00DD47DF" w:rsidRDefault="00C75691" w:rsidP="007D5585">
            <w:pPr>
              <w:pStyle w:val="Tabulka"/>
              <w:rPr>
                <w:rFonts w:cs="Calibri"/>
              </w:rPr>
            </w:pPr>
            <w:r w:rsidRPr="00DD47DF">
              <w:rPr>
                <w:rFonts w:cs="Calibri"/>
              </w:rPr>
              <w:t xml:space="preserve">CO </w:t>
            </w:r>
            <w:r w:rsidR="00CC4F9D" w:rsidRPr="00DD47DF">
              <w:rPr>
                <w:rFonts w:cs="Calibri"/>
              </w:rPr>
              <w:t>0</w:t>
            </w:r>
            <w:r w:rsidR="00826B6B"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3D6B0510" w14:textId="77777777" w:rsidR="00826B6B" w:rsidRPr="00DD47DF" w:rsidRDefault="007D6298" w:rsidP="007D5585">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4DAE03B0" w14:textId="77777777" w:rsidR="00826B6B" w:rsidRPr="00DD47DF" w:rsidRDefault="00826B6B" w:rsidP="007D558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7D05EB7" w14:textId="77777777" w:rsidR="00826B6B" w:rsidRPr="00DD47DF" w:rsidRDefault="002B3F69"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FCE5BE8" w14:textId="77777777" w:rsidR="00826B6B" w:rsidRPr="00DD47DF" w:rsidRDefault="00826B6B"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2AA8D3C9" w14:textId="77777777" w:rsidR="00826B6B" w:rsidRPr="00DD47DF" w:rsidRDefault="0095728A" w:rsidP="007D5585">
            <w:pPr>
              <w:pStyle w:val="Tabulka"/>
              <w:rPr>
                <w:rFonts w:cs="Calibri"/>
              </w:rPr>
            </w:pPr>
            <w:r w:rsidRPr="00DD47DF">
              <w:rPr>
                <w:rFonts w:cs="Calibri"/>
              </w:rPr>
              <w:t>17</w:t>
            </w:r>
            <w:r w:rsidR="00826B6B" w:rsidRPr="00DD47DF">
              <w:rPr>
                <w:rFonts w:cs="Calibri"/>
              </w:rPr>
              <w:t>0</w:t>
            </w:r>
          </w:p>
        </w:tc>
        <w:tc>
          <w:tcPr>
            <w:tcW w:w="729" w:type="dxa"/>
            <w:tcBorders>
              <w:top w:val="single" w:sz="4" w:space="0" w:color="000000"/>
              <w:left w:val="single" w:sz="4" w:space="0" w:color="000000"/>
              <w:bottom w:val="single" w:sz="4" w:space="0" w:color="000000"/>
              <w:right w:val="single" w:sz="4" w:space="0" w:color="000000"/>
            </w:tcBorders>
            <w:vAlign w:val="center"/>
          </w:tcPr>
          <w:p w14:paraId="29D18D47" w14:textId="77777777" w:rsidR="00826B6B" w:rsidRPr="00DD47DF" w:rsidRDefault="00FC7054" w:rsidP="007D558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725ACAA" w14:textId="77777777" w:rsidR="00826B6B" w:rsidRPr="00DD47DF" w:rsidRDefault="00FC7054" w:rsidP="007D5585">
            <w:pPr>
              <w:pStyle w:val="Tabulka"/>
              <w:rPr>
                <w:rFonts w:cs="Calibri"/>
              </w:rPr>
            </w:pPr>
            <w:r>
              <w:rPr>
                <w:rFonts w:cs="Calibri"/>
              </w:rPr>
              <w:t>průběžně</w:t>
            </w:r>
          </w:p>
        </w:tc>
      </w:tr>
      <w:tr w:rsidR="00DD2D31" w:rsidRPr="00DD47DF" w14:paraId="4640255B"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C8F889C" w14:textId="6BC863B5" w:rsidR="00DD2D31" w:rsidRPr="00DD47DF" w:rsidRDefault="00DD2D31" w:rsidP="007D5585">
            <w:pPr>
              <w:pStyle w:val="Tabulka"/>
              <w:rPr>
                <w:rFonts w:cs="Calibri"/>
              </w:rPr>
            </w:pPr>
            <w:r w:rsidRPr="00DD47DF">
              <w:rPr>
                <w:rFonts w:cs="Calibri"/>
              </w:rPr>
              <w:t>CO 02</w:t>
            </w:r>
          </w:p>
        </w:tc>
        <w:tc>
          <w:tcPr>
            <w:tcW w:w="0" w:type="auto"/>
            <w:tcBorders>
              <w:top w:val="single" w:sz="4" w:space="0" w:color="000000"/>
              <w:left w:val="single" w:sz="4" w:space="0" w:color="000000"/>
              <w:bottom w:val="single" w:sz="4" w:space="0" w:color="000000"/>
              <w:right w:val="single" w:sz="4" w:space="0" w:color="000000"/>
            </w:tcBorders>
            <w:vAlign w:val="center"/>
          </w:tcPr>
          <w:p w14:paraId="3978B1CC" w14:textId="77777777" w:rsidR="00DD2D31" w:rsidRPr="00DD47DF" w:rsidRDefault="00DD2D31" w:rsidP="007D5585">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6649B2E1" w14:textId="77777777" w:rsidR="00DD2D31" w:rsidRPr="00DD47DF" w:rsidRDefault="00DD2D31" w:rsidP="007D558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34603E6D"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B47A985"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373F4FEC" w14:textId="77777777" w:rsidR="00DD2D31" w:rsidRPr="00DD47DF" w:rsidRDefault="00DD2D31" w:rsidP="007D5585">
            <w:pPr>
              <w:pStyle w:val="Tabulka"/>
              <w:rPr>
                <w:rFonts w:cs="Calibri"/>
              </w:rPr>
            </w:pPr>
            <w:r w:rsidRPr="00DD47DF">
              <w:rPr>
                <w:rFonts w:cs="Calibri"/>
              </w:rPr>
              <w:t>170</w:t>
            </w:r>
          </w:p>
        </w:tc>
        <w:tc>
          <w:tcPr>
            <w:tcW w:w="729" w:type="dxa"/>
            <w:tcBorders>
              <w:top w:val="single" w:sz="4" w:space="0" w:color="000000"/>
              <w:left w:val="single" w:sz="4" w:space="0" w:color="000000"/>
              <w:bottom w:val="single" w:sz="4" w:space="0" w:color="000000"/>
              <w:right w:val="single" w:sz="4" w:space="0" w:color="000000"/>
            </w:tcBorders>
            <w:vAlign w:val="center"/>
          </w:tcPr>
          <w:p w14:paraId="12E9ED46" w14:textId="77777777" w:rsidR="00DD2D31" w:rsidRPr="00DD47DF" w:rsidRDefault="00FC7054" w:rsidP="007D558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3340566B" w14:textId="77777777" w:rsidR="00DD2D31" w:rsidRPr="00DD47DF" w:rsidRDefault="00FC7054" w:rsidP="007D5585">
            <w:pPr>
              <w:pStyle w:val="Tabulka"/>
              <w:rPr>
                <w:rFonts w:cs="Calibri"/>
              </w:rPr>
            </w:pPr>
            <w:r>
              <w:rPr>
                <w:rFonts w:cs="Calibri"/>
              </w:rPr>
              <w:t>průběžně</w:t>
            </w:r>
          </w:p>
        </w:tc>
      </w:tr>
      <w:tr w:rsidR="00DD2D31" w:rsidRPr="00DD47DF" w14:paraId="48C291B6"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5E5EFC6" w14:textId="01A6189C" w:rsidR="00DD2D31" w:rsidRPr="00DD47DF" w:rsidRDefault="00DD2D31" w:rsidP="007D5585">
            <w:pPr>
              <w:pStyle w:val="Tabulka"/>
              <w:rPr>
                <w:rFonts w:cs="Calibri"/>
              </w:rPr>
            </w:pPr>
            <w:r w:rsidRPr="00DD47DF">
              <w:rPr>
                <w:rFonts w:cs="Calibri"/>
              </w:rPr>
              <w:t>CO 06</w:t>
            </w:r>
          </w:p>
        </w:tc>
        <w:tc>
          <w:tcPr>
            <w:tcW w:w="0" w:type="auto"/>
            <w:tcBorders>
              <w:top w:val="single" w:sz="4" w:space="0" w:color="000000"/>
              <w:left w:val="single" w:sz="4" w:space="0" w:color="000000"/>
              <w:bottom w:val="single" w:sz="4" w:space="0" w:color="000000"/>
              <w:right w:val="single" w:sz="4" w:space="0" w:color="000000"/>
            </w:tcBorders>
            <w:vAlign w:val="center"/>
          </w:tcPr>
          <w:p w14:paraId="012C3EFF" w14:textId="77777777" w:rsidR="00DD2D31" w:rsidRPr="00DD47DF" w:rsidRDefault="00892451" w:rsidP="007D5585">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9797BBB" w14:textId="77777777" w:rsidR="00DD2D31" w:rsidRPr="00DD47DF" w:rsidRDefault="00DD2D31" w:rsidP="007D5585">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648C6629"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9382532"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79F7DFB4" w14:textId="77777777" w:rsidR="00DD2D31" w:rsidRPr="00DD47DF" w:rsidRDefault="00DD2D31" w:rsidP="007D5585">
            <w:pPr>
              <w:pStyle w:val="Tabulka"/>
              <w:rPr>
                <w:rFonts w:cs="Calibri"/>
              </w:rPr>
            </w:pPr>
            <w:r w:rsidRPr="00DD47DF">
              <w:rPr>
                <w:rFonts w:cs="Calibri"/>
              </w:rPr>
              <w:t>79 000 000</w:t>
            </w:r>
          </w:p>
        </w:tc>
        <w:tc>
          <w:tcPr>
            <w:tcW w:w="729" w:type="dxa"/>
            <w:tcBorders>
              <w:top w:val="single" w:sz="4" w:space="0" w:color="000000"/>
              <w:left w:val="single" w:sz="4" w:space="0" w:color="000000"/>
              <w:bottom w:val="single" w:sz="4" w:space="0" w:color="000000"/>
              <w:right w:val="single" w:sz="4" w:space="0" w:color="000000"/>
            </w:tcBorders>
            <w:vAlign w:val="center"/>
          </w:tcPr>
          <w:p w14:paraId="354DF600" w14:textId="77777777" w:rsidR="00DD2D31" w:rsidRPr="00DD47DF" w:rsidRDefault="00800418" w:rsidP="007D558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AE3305A" w14:textId="77777777" w:rsidR="00DD2D31" w:rsidRPr="00DD47DF" w:rsidRDefault="00934A97" w:rsidP="007D5585">
            <w:pPr>
              <w:pStyle w:val="Tabulka"/>
              <w:rPr>
                <w:rFonts w:cs="Calibri"/>
              </w:rPr>
            </w:pPr>
            <w:r>
              <w:rPr>
                <w:rFonts w:cs="Calibri"/>
              </w:rPr>
              <w:t>průběžně</w:t>
            </w:r>
          </w:p>
        </w:tc>
      </w:tr>
      <w:tr w:rsidR="00DD2D31" w:rsidRPr="00DD47DF" w14:paraId="0A6F828F"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B5CC29D" w14:textId="5C0AC3E7" w:rsidR="00DD2D31" w:rsidRPr="00DD47DF" w:rsidRDefault="00DD2D31" w:rsidP="008F41A1">
            <w:pPr>
              <w:pStyle w:val="Tabulka"/>
              <w:keepNext/>
              <w:keepLines/>
              <w:rPr>
                <w:rFonts w:cs="Calibri"/>
              </w:rPr>
            </w:pPr>
            <w:r w:rsidRPr="00DD47DF">
              <w:rPr>
                <w:rFonts w:cs="Calibri"/>
              </w:rPr>
              <w:t>CO 30</w:t>
            </w:r>
          </w:p>
        </w:tc>
        <w:tc>
          <w:tcPr>
            <w:tcW w:w="0" w:type="auto"/>
            <w:tcBorders>
              <w:top w:val="single" w:sz="4" w:space="0" w:color="000000"/>
              <w:left w:val="single" w:sz="4" w:space="0" w:color="000000"/>
              <w:bottom w:val="single" w:sz="4" w:space="0" w:color="000000"/>
              <w:right w:val="single" w:sz="4" w:space="0" w:color="000000"/>
            </w:tcBorders>
            <w:vAlign w:val="center"/>
          </w:tcPr>
          <w:p w14:paraId="60A2F685" w14:textId="77777777" w:rsidR="00DD2D31" w:rsidRPr="00DD47DF" w:rsidRDefault="00DD2D31" w:rsidP="008F41A1">
            <w:pPr>
              <w:pStyle w:val="Tabulka"/>
              <w:keepNext/>
              <w:keepLines/>
              <w:jc w:val="left"/>
              <w:rPr>
                <w:rFonts w:cs="Calibri"/>
              </w:rPr>
            </w:pPr>
            <w:r w:rsidRPr="00DD47DF">
              <w:rPr>
                <w:rFonts w:cs="Calibri"/>
              </w:rPr>
              <w:t>Nová kapacita zařízení pro výrobu energie z obnovitelných zdrojů</w:t>
            </w:r>
          </w:p>
        </w:tc>
        <w:tc>
          <w:tcPr>
            <w:tcW w:w="0" w:type="auto"/>
            <w:tcBorders>
              <w:top w:val="single" w:sz="4" w:space="0" w:color="000000"/>
              <w:left w:val="single" w:sz="4" w:space="0" w:color="000000"/>
              <w:bottom w:val="single" w:sz="4" w:space="0" w:color="000000"/>
              <w:right w:val="single" w:sz="4" w:space="0" w:color="000000"/>
            </w:tcBorders>
            <w:vAlign w:val="center"/>
          </w:tcPr>
          <w:p w14:paraId="66D84553" w14:textId="77777777" w:rsidR="00DD2D31" w:rsidRPr="00DD47DF" w:rsidRDefault="00DD2D31" w:rsidP="008F41A1">
            <w:pPr>
              <w:pStyle w:val="Tabulka"/>
              <w:keepNext/>
              <w:keepLines/>
              <w:rPr>
                <w:rFonts w:cs="Calibri"/>
              </w:rPr>
            </w:pPr>
            <w:r w:rsidRPr="00DD47DF">
              <w:rPr>
                <w:rFonts w:cs="Calibri"/>
              </w:rPr>
              <w:t>MW</w:t>
            </w:r>
          </w:p>
        </w:tc>
        <w:tc>
          <w:tcPr>
            <w:tcW w:w="0" w:type="auto"/>
            <w:tcBorders>
              <w:top w:val="single" w:sz="4" w:space="0" w:color="000000"/>
              <w:left w:val="single" w:sz="4" w:space="0" w:color="000000"/>
              <w:bottom w:val="single" w:sz="4" w:space="0" w:color="000000"/>
              <w:right w:val="single" w:sz="4" w:space="0" w:color="000000"/>
            </w:tcBorders>
            <w:vAlign w:val="center"/>
          </w:tcPr>
          <w:p w14:paraId="11E86868"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BFA1CCC"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652F8EBB" w14:textId="77777777" w:rsidR="00DD2D31" w:rsidRPr="00DD47DF" w:rsidRDefault="00DD2D31" w:rsidP="007D5585">
            <w:pPr>
              <w:pStyle w:val="Tabulka"/>
              <w:rPr>
                <w:rFonts w:cs="Calibri"/>
              </w:rPr>
            </w:pPr>
            <w:r w:rsidRPr="00DD47DF">
              <w:rPr>
                <w:rFonts w:cs="Calibri"/>
              </w:rPr>
              <w:t>70</w:t>
            </w:r>
          </w:p>
        </w:tc>
        <w:tc>
          <w:tcPr>
            <w:tcW w:w="729" w:type="dxa"/>
            <w:tcBorders>
              <w:top w:val="single" w:sz="4" w:space="0" w:color="000000"/>
              <w:left w:val="single" w:sz="4" w:space="0" w:color="000000"/>
              <w:bottom w:val="single" w:sz="4" w:space="0" w:color="000000"/>
              <w:right w:val="single" w:sz="4" w:space="0" w:color="000000"/>
            </w:tcBorders>
            <w:vAlign w:val="center"/>
          </w:tcPr>
          <w:p w14:paraId="6C8386DB"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CD9611E" w14:textId="77777777" w:rsidR="00DD2D31" w:rsidRPr="00DD47DF" w:rsidRDefault="00914951" w:rsidP="008F41A1">
            <w:pPr>
              <w:pStyle w:val="Tabulka"/>
              <w:keepNext/>
              <w:keepLines/>
              <w:rPr>
                <w:rFonts w:cs="Calibri"/>
              </w:rPr>
            </w:pPr>
            <w:r>
              <w:rPr>
                <w:rFonts w:cs="Calibri"/>
              </w:rPr>
              <w:t>průběžně</w:t>
            </w:r>
          </w:p>
        </w:tc>
      </w:tr>
      <w:tr w:rsidR="00DD2D31" w:rsidRPr="00DD47DF" w14:paraId="78A9F068"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2F06670" w14:textId="240A6DB5" w:rsidR="00DD2D31" w:rsidRPr="00DD47DF" w:rsidDel="00C75691" w:rsidRDefault="00DD2D31" w:rsidP="008F41A1">
            <w:pPr>
              <w:pStyle w:val="Tabulka"/>
              <w:keepNext/>
              <w:keepLines/>
              <w:rPr>
                <w:rFonts w:cs="Calibri"/>
              </w:rPr>
            </w:pPr>
            <w:r w:rsidRPr="00DD47DF">
              <w:rPr>
                <w:rFonts w:cs="Calibri"/>
              </w:rPr>
              <w:t>CO 34</w:t>
            </w:r>
          </w:p>
        </w:tc>
        <w:tc>
          <w:tcPr>
            <w:tcW w:w="0" w:type="auto"/>
            <w:tcBorders>
              <w:top w:val="single" w:sz="4" w:space="0" w:color="000000"/>
              <w:left w:val="single" w:sz="4" w:space="0" w:color="000000"/>
              <w:bottom w:val="single" w:sz="4" w:space="0" w:color="000000"/>
              <w:right w:val="single" w:sz="4" w:space="0" w:color="000000"/>
            </w:tcBorders>
            <w:vAlign w:val="center"/>
          </w:tcPr>
          <w:p w14:paraId="0B96C343" w14:textId="77777777" w:rsidR="00DD2D31" w:rsidRPr="00DD47DF" w:rsidRDefault="00DD2D31" w:rsidP="008F41A1">
            <w:pPr>
              <w:pStyle w:val="Tabulka"/>
              <w:keepNext/>
              <w:keepLines/>
              <w:jc w:val="left"/>
              <w:rPr>
                <w:rFonts w:cs="Calibri"/>
              </w:rPr>
            </w:pPr>
            <w:r w:rsidRPr="00DD47DF">
              <w:rPr>
                <w:rFonts w:cs="Calibri"/>
              </w:rPr>
              <w:t>Odhadované roční snížení emisí skleníkových plynů</w:t>
            </w:r>
          </w:p>
        </w:tc>
        <w:tc>
          <w:tcPr>
            <w:tcW w:w="0" w:type="auto"/>
            <w:tcBorders>
              <w:top w:val="single" w:sz="4" w:space="0" w:color="000000"/>
              <w:left w:val="single" w:sz="4" w:space="0" w:color="000000"/>
              <w:bottom w:val="single" w:sz="4" w:space="0" w:color="000000"/>
              <w:right w:val="single" w:sz="4" w:space="0" w:color="000000"/>
            </w:tcBorders>
            <w:vAlign w:val="center"/>
          </w:tcPr>
          <w:p w14:paraId="31CD9C76" w14:textId="77777777" w:rsidR="00DD2D31" w:rsidRPr="00DD47DF" w:rsidRDefault="00DD2D31" w:rsidP="008F41A1">
            <w:pPr>
              <w:pStyle w:val="Tabulka"/>
              <w:keepNext/>
              <w:keepLines/>
              <w:rPr>
                <w:rFonts w:cs="Calibri"/>
              </w:rPr>
            </w:pPr>
            <w:r w:rsidRPr="00DD47DF">
              <w:rPr>
                <w:rFonts w:cs="Calibri"/>
              </w:rPr>
              <w:t>Tuny ekvivalentu CO2/rok</w:t>
            </w:r>
          </w:p>
        </w:tc>
        <w:tc>
          <w:tcPr>
            <w:tcW w:w="0" w:type="auto"/>
            <w:tcBorders>
              <w:top w:val="single" w:sz="4" w:space="0" w:color="000000"/>
              <w:left w:val="single" w:sz="4" w:space="0" w:color="000000"/>
              <w:bottom w:val="single" w:sz="4" w:space="0" w:color="000000"/>
              <w:right w:val="single" w:sz="4" w:space="0" w:color="000000"/>
            </w:tcBorders>
            <w:vAlign w:val="center"/>
          </w:tcPr>
          <w:p w14:paraId="37F81A68"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4419E2D2"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301F605E" w14:textId="77777777" w:rsidR="00DD2D31" w:rsidRPr="00DD47DF" w:rsidRDefault="00DD2D31" w:rsidP="007D5585">
            <w:pPr>
              <w:pStyle w:val="Tabulka"/>
              <w:rPr>
                <w:rFonts w:cs="Calibri"/>
              </w:rPr>
            </w:pPr>
            <w:r w:rsidRPr="00DD47DF">
              <w:rPr>
                <w:rFonts w:cs="Calibri"/>
              </w:rPr>
              <w:t>300 000</w:t>
            </w:r>
          </w:p>
        </w:tc>
        <w:tc>
          <w:tcPr>
            <w:tcW w:w="729" w:type="dxa"/>
            <w:tcBorders>
              <w:top w:val="single" w:sz="4" w:space="0" w:color="000000"/>
              <w:left w:val="single" w:sz="4" w:space="0" w:color="000000"/>
              <w:bottom w:val="single" w:sz="4" w:space="0" w:color="000000"/>
              <w:right w:val="single" w:sz="4" w:space="0" w:color="000000"/>
            </w:tcBorders>
            <w:vAlign w:val="center"/>
          </w:tcPr>
          <w:p w14:paraId="3EC0B3F7"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1C4DEF4" w14:textId="77777777" w:rsidR="00DD2D31" w:rsidRPr="00DD47DF" w:rsidRDefault="00CE0DF7" w:rsidP="008F41A1">
            <w:pPr>
              <w:pStyle w:val="Tabulka"/>
              <w:keepNext/>
              <w:keepLines/>
              <w:rPr>
                <w:rFonts w:cs="Calibri"/>
              </w:rPr>
            </w:pPr>
            <w:r>
              <w:rPr>
                <w:rFonts w:cs="Calibri"/>
              </w:rPr>
              <w:t>průběžně</w:t>
            </w:r>
          </w:p>
        </w:tc>
      </w:tr>
      <w:tr w:rsidR="00DD2D31" w:rsidRPr="00DD47DF" w14:paraId="697539FA" w14:textId="77777777" w:rsidTr="00997228">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A78C7B6" w14:textId="77777777" w:rsidR="00DD2D31" w:rsidRPr="00DD47DF" w:rsidDel="00C75691" w:rsidRDefault="00DD2D31" w:rsidP="008F41A1">
            <w:pPr>
              <w:pStyle w:val="Tabulka"/>
              <w:keepNext/>
              <w:keepLines/>
              <w:rPr>
                <w:rFonts w:cs="Calibri"/>
              </w:rPr>
            </w:pPr>
            <w:r w:rsidRPr="00DD47DF">
              <w:rPr>
                <w:rFonts w:cs="Calibri"/>
              </w:rPr>
              <w:t>34601</w:t>
            </w:r>
          </w:p>
        </w:tc>
        <w:tc>
          <w:tcPr>
            <w:tcW w:w="0" w:type="auto"/>
            <w:tcBorders>
              <w:top w:val="single" w:sz="4" w:space="0" w:color="000000"/>
              <w:left w:val="single" w:sz="4" w:space="0" w:color="000000"/>
              <w:bottom w:val="single" w:sz="4" w:space="0" w:color="000000"/>
              <w:right w:val="single" w:sz="4" w:space="0" w:color="000000"/>
            </w:tcBorders>
            <w:vAlign w:val="center"/>
          </w:tcPr>
          <w:p w14:paraId="76925A52" w14:textId="77777777" w:rsidR="00DD2D31" w:rsidRPr="00DD47DF" w:rsidRDefault="00DD2D31" w:rsidP="008F41A1">
            <w:pPr>
              <w:pStyle w:val="Tabulka"/>
              <w:keepNext/>
              <w:keepLines/>
              <w:jc w:val="left"/>
              <w:rPr>
                <w:rFonts w:cs="Calibri"/>
              </w:rPr>
            </w:pPr>
            <w:r w:rsidRPr="00DD47DF">
              <w:rPr>
                <w:rFonts w:cs="Calibri"/>
              </w:rPr>
              <w:t>Soustrojí MVE</w:t>
            </w:r>
          </w:p>
        </w:tc>
        <w:tc>
          <w:tcPr>
            <w:tcW w:w="0" w:type="auto"/>
            <w:tcBorders>
              <w:top w:val="single" w:sz="4" w:space="0" w:color="000000"/>
              <w:left w:val="single" w:sz="4" w:space="0" w:color="000000"/>
              <w:bottom w:val="single" w:sz="4" w:space="0" w:color="000000"/>
              <w:right w:val="single" w:sz="4" w:space="0" w:color="000000"/>
            </w:tcBorders>
            <w:vAlign w:val="center"/>
          </w:tcPr>
          <w:p w14:paraId="679FE762" w14:textId="77777777" w:rsidR="00DD2D31" w:rsidRPr="00DD47DF" w:rsidRDefault="00DD2D31" w:rsidP="008F41A1">
            <w:pPr>
              <w:pStyle w:val="Tabulka"/>
              <w:keepNext/>
              <w:keepLines/>
              <w:rPr>
                <w:rFonts w:cs="Calibri"/>
              </w:rPr>
            </w:pPr>
            <w:r w:rsidRPr="00DD47DF">
              <w:rPr>
                <w:rFonts w:cs="Calibri"/>
              </w:rPr>
              <w:t>soustrojí</w:t>
            </w:r>
          </w:p>
        </w:tc>
        <w:tc>
          <w:tcPr>
            <w:tcW w:w="0" w:type="auto"/>
            <w:tcBorders>
              <w:top w:val="single" w:sz="4" w:space="0" w:color="000000"/>
              <w:left w:val="single" w:sz="4" w:space="0" w:color="000000"/>
              <w:bottom w:val="single" w:sz="4" w:space="0" w:color="000000"/>
              <w:right w:val="single" w:sz="4" w:space="0" w:color="000000"/>
            </w:tcBorders>
            <w:vAlign w:val="center"/>
          </w:tcPr>
          <w:p w14:paraId="7C7C9482"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25A2D5F"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688B6FF3" w14:textId="77777777" w:rsidR="00DD2D31" w:rsidRPr="00DD47DF" w:rsidRDefault="00DD2D31" w:rsidP="007D5585">
            <w:pPr>
              <w:pStyle w:val="Tabulka"/>
              <w:rPr>
                <w:rFonts w:cs="Calibri"/>
              </w:rPr>
            </w:pPr>
            <w:r w:rsidRPr="00DD47DF">
              <w:rPr>
                <w:rFonts w:cs="Calibri"/>
              </w:rPr>
              <w:t>70</w:t>
            </w:r>
          </w:p>
        </w:tc>
        <w:tc>
          <w:tcPr>
            <w:tcW w:w="729" w:type="dxa"/>
            <w:tcBorders>
              <w:top w:val="single" w:sz="4" w:space="0" w:color="000000"/>
              <w:left w:val="single" w:sz="4" w:space="0" w:color="000000"/>
              <w:bottom w:val="single" w:sz="4" w:space="0" w:color="000000"/>
              <w:right w:val="single" w:sz="4" w:space="0" w:color="000000"/>
            </w:tcBorders>
            <w:vAlign w:val="center"/>
          </w:tcPr>
          <w:p w14:paraId="4852A055"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4DDBBAA" w14:textId="77777777" w:rsidR="00DD2D31" w:rsidRPr="00DD47DF" w:rsidRDefault="00573C9E" w:rsidP="008F41A1">
            <w:pPr>
              <w:pStyle w:val="Tabulka"/>
              <w:keepNext/>
              <w:keepLines/>
              <w:rPr>
                <w:rFonts w:cs="Calibri"/>
              </w:rPr>
            </w:pPr>
            <w:r>
              <w:rPr>
                <w:rFonts w:cs="Calibri"/>
              </w:rPr>
              <w:t>průběžně</w:t>
            </w:r>
          </w:p>
        </w:tc>
      </w:tr>
      <w:tr w:rsidR="00DD2D31" w:rsidRPr="00DD47DF" w14:paraId="1083B696" w14:textId="77777777" w:rsidTr="00997228">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13E2820" w14:textId="77777777" w:rsidR="00DD2D31" w:rsidRPr="00DD47DF" w:rsidDel="00C75691" w:rsidRDefault="00DD2D31" w:rsidP="008F41A1">
            <w:pPr>
              <w:pStyle w:val="Tabulka"/>
              <w:keepNext/>
              <w:keepLines/>
              <w:rPr>
                <w:rFonts w:cs="Calibri"/>
              </w:rPr>
            </w:pPr>
            <w:r w:rsidRPr="00DD47DF">
              <w:rPr>
                <w:rFonts w:cs="Calibri"/>
              </w:rPr>
              <w:t>33905</w:t>
            </w:r>
          </w:p>
        </w:tc>
        <w:tc>
          <w:tcPr>
            <w:tcW w:w="0" w:type="auto"/>
            <w:tcBorders>
              <w:top w:val="single" w:sz="4" w:space="0" w:color="000000"/>
              <w:left w:val="single" w:sz="4" w:space="0" w:color="000000"/>
              <w:bottom w:val="single" w:sz="4" w:space="0" w:color="000000"/>
              <w:right w:val="single" w:sz="4" w:space="0" w:color="000000"/>
            </w:tcBorders>
            <w:vAlign w:val="center"/>
          </w:tcPr>
          <w:p w14:paraId="58963A93" w14:textId="77777777" w:rsidR="00DD2D31" w:rsidRPr="00DD47DF" w:rsidRDefault="00DD2D31" w:rsidP="008F41A1">
            <w:pPr>
              <w:pStyle w:val="Tabulka"/>
              <w:keepNext/>
              <w:keepLines/>
              <w:jc w:val="left"/>
              <w:rPr>
                <w:rFonts w:cs="Calibri"/>
              </w:rPr>
            </w:pPr>
            <w:r w:rsidRPr="00DD47DF">
              <w:rPr>
                <w:rFonts w:cs="Calibri"/>
              </w:rPr>
              <w:t>Soustavy vyvedení tepla z bioplynových stanic</w:t>
            </w:r>
          </w:p>
        </w:tc>
        <w:tc>
          <w:tcPr>
            <w:tcW w:w="0" w:type="auto"/>
            <w:tcBorders>
              <w:top w:val="single" w:sz="4" w:space="0" w:color="000000"/>
              <w:left w:val="single" w:sz="4" w:space="0" w:color="000000"/>
              <w:bottom w:val="single" w:sz="4" w:space="0" w:color="000000"/>
              <w:right w:val="single" w:sz="4" w:space="0" w:color="000000"/>
            </w:tcBorders>
            <w:vAlign w:val="center"/>
          </w:tcPr>
          <w:p w14:paraId="16520946" w14:textId="77777777" w:rsidR="00DD2D31" w:rsidRPr="00DD47DF" w:rsidRDefault="00DD2D31" w:rsidP="008F41A1">
            <w:pPr>
              <w:pStyle w:val="Tabulka"/>
              <w:keepNext/>
              <w:keepLines/>
              <w:rPr>
                <w:rFonts w:cs="Calibri"/>
              </w:rPr>
            </w:pPr>
            <w:r w:rsidRPr="00DD47DF">
              <w:rPr>
                <w:rFonts w:cs="Calibri"/>
              </w:rPr>
              <w:t>soustava</w:t>
            </w:r>
          </w:p>
        </w:tc>
        <w:tc>
          <w:tcPr>
            <w:tcW w:w="0" w:type="auto"/>
            <w:tcBorders>
              <w:top w:val="single" w:sz="4" w:space="0" w:color="000000"/>
              <w:left w:val="single" w:sz="4" w:space="0" w:color="000000"/>
              <w:bottom w:val="single" w:sz="4" w:space="0" w:color="000000"/>
              <w:right w:val="single" w:sz="4" w:space="0" w:color="000000"/>
            </w:tcBorders>
            <w:vAlign w:val="center"/>
          </w:tcPr>
          <w:p w14:paraId="643A7D2C"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2E0EA69"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798D876C" w14:textId="77777777" w:rsidR="00DD2D31" w:rsidRPr="00DD47DF" w:rsidRDefault="00DD2D31" w:rsidP="007D5585">
            <w:pPr>
              <w:pStyle w:val="Tabulka"/>
              <w:rPr>
                <w:rFonts w:cs="Calibri"/>
              </w:rPr>
            </w:pPr>
            <w:r w:rsidRPr="00DD47DF">
              <w:rPr>
                <w:rFonts w:cs="Calibri"/>
              </w:rPr>
              <w:t>70</w:t>
            </w:r>
          </w:p>
        </w:tc>
        <w:tc>
          <w:tcPr>
            <w:tcW w:w="729" w:type="dxa"/>
            <w:tcBorders>
              <w:top w:val="single" w:sz="4" w:space="0" w:color="000000"/>
              <w:left w:val="single" w:sz="4" w:space="0" w:color="000000"/>
              <w:bottom w:val="single" w:sz="4" w:space="0" w:color="000000"/>
              <w:right w:val="single" w:sz="4" w:space="0" w:color="000000"/>
            </w:tcBorders>
            <w:vAlign w:val="center"/>
          </w:tcPr>
          <w:p w14:paraId="45912CCD"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6D7083F8" w14:textId="77777777" w:rsidR="00DD2D31" w:rsidRPr="00DD47DF" w:rsidRDefault="005355DA" w:rsidP="008F41A1">
            <w:pPr>
              <w:pStyle w:val="Tabulka"/>
              <w:keepNext/>
              <w:keepLines/>
              <w:rPr>
                <w:rFonts w:cs="Calibri"/>
              </w:rPr>
            </w:pPr>
            <w:r>
              <w:rPr>
                <w:rFonts w:cs="Calibri"/>
              </w:rPr>
              <w:t>průběžně</w:t>
            </w:r>
          </w:p>
        </w:tc>
      </w:tr>
      <w:tr w:rsidR="00DD2D31" w:rsidRPr="00DD47DF" w14:paraId="24B59ECE" w14:textId="77777777" w:rsidTr="00997228">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80044C7" w14:textId="77777777" w:rsidR="00DD2D31" w:rsidRPr="00DD47DF" w:rsidDel="00C75691" w:rsidRDefault="00DD2D31" w:rsidP="008F41A1">
            <w:pPr>
              <w:pStyle w:val="Tabulka"/>
              <w:keepNext/>
              <w:keepLines/>
              <w:rPr>
                <w:rFonts w:cs="Calibri"/>
              </w:rPr>
            </w:pPr>
            <w:r w:rsidRPr="00DD47DF">
              <w:rPr>
                <w:rFonts w:cs="Calibri"/>
              </w:rPr>
              <w:t>34701</w:t>
            </w:r>
          </w:p>
        </w:tc>
        <w:tc>
          <w:tcPr>
            <w:tcW w:w="0" w:type="auto"/>
            <w:tcBorders>
              <w:top w:val="single" w:sz="4" w:space="0" w:color="000000"/>
              <w:left w:val="single" w:sz="4" w:space="0" w:color="000000"/>
              <w:bottom w:val="single" w:sz="4" w:space="0" w:color="000000"/>
              <w:right w:val="single" w:sz="4" w:space="0" w:color="000000"/>
            </w:tcBorders>
            <w:vAlign w:val="center"/>
          </w:tcPr>
          <w:p w14:paraId="2D5B472F" w14:textId="77777777" w:rsidR="00DD2D31" w:rsidRPr="00DD47DF" w:rsidRDefault="00DD2D31" w:rsidP="008600A4">
            <w:pPr>
              <w:pStyle w:val="Tabulka"/>
              <w:keepNext/>
              <w:keepLines/>
              <w:jc w:val="left"/>
              <w:rPr>
                <w:rFonts w:cs="Calibri"/>
              </w:rPr>
            </w:pPr>
            <w:r w:rsidRPr="00DD47DF">
              <w:rPr>
                <w:rFonts w:cs="Calibri"/>
              </w:rPr>
              <w:t>Nové nebo rekonstruované KVET</w:t>
            </w:r>
          </w:p>
        </w:tc>
        <w:tc>
          <w:tcPr>
            <w:tcW w:w="0" w:type="auto"/>
            <w:tcBorders>
              <w:top w:val="single" w:sz="4" w:space="0" w:color="000000"/>
              <w:left w:val="single" w:sz="4" w:space="0" w:color="000000"/>
              <w:bottom w:val="single" w:sz="4" w:space="0" w:color="000000"/>
              <w:right w:val="single" w:sz="4" w:space="0" w:color="000000"/>
            </w:tcBorders>
            <w:vAlign w:val="center"/>
          </w:tcPr>
          <w:p w14:paraId="21C69517" w14:textId="77777777" w:rsidR="00DD2D31" w:rsidRPr="00DD47DF" w:rsidRDefault="00DD2D31" w:rsidP="008F41A1">
            <w:pPr>
              <w:pStyle w:val="Tabulka"/>
              <w:keepNext/>
              <w:keepLines/>
              <w:rPr>
                <w:rFonts w:cs="Calibri"/>
              </w:rPr>
            </w:pPr>
            <w:r w:rsidRPr="00DD47DF">
              <w:rPr>
                <w:rFonts w:cs="Calibri"/>
              </w:rPr>
              <w:t>soustava KVET</w:t>
            </w:r>
          </w:p>
        </w:tc>
        <w:tc>
          <w:tcPr>
            <w:tcW w:w="0" w:type="auto"/>
            <w:tcBorders>
              <w:top w:val="single" w:sz="4" w:space="0" w:color="000000"/>
              <w:left w:val="single" w:sz="4" w:space="0" w:color="000000"/>
              <w:bottom w:val="single" w:sz="4" w:space="0" w:color="000000"/>
              <w:right w:val="single" w:sz="4" w:space="0" w:color="000000"/>
            </w:tcBorders>
            <w:vAlign w:val="center"/>
          </w:tcPr>
          <w:p w14:paraId="5A5263FA"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5D258BF"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11A35295" w14:textId="77777777" w:rsidR="00DD2D31" w:rsidRPr="00DD47DF" w:rsidRDefault="00DD2D31" w:rsidP="007D5585">
            <w:pPr>
              <w:pStyle w:val="Tabulka"/>
              <w:rPr>
                <w:rFonts w:cs="Calibri"/>
              </w:rPr>
            </w:pPr>
            <w:r w:rsidRPr="00DD47DF">
              <w:rPr>
                <w:rFonts w:cs="Calibri"/>
              </w:rPr>
              <w:t>60</w:t>
            </w:r>
          </w:p>
        </w:tc>
        <w:tc>
          <w:tcPr>
            <w:tcW w:w="729" w:type="dxa"/>
            <w:tcBorders>
              <w:top w:val="single" w:sz="4" w:space="0" w:color="000000"/>
              <w:left w:val="single" w:sz="4" w:space="0" w:color="000000"/>
              <w:bottom w:val="single" w:sz="4" w:space="0" w:color="000000"/>
              <w:right w:val="single" w:sz="4" w:space="0" w:color="000000"/>
            </w:tcBorders>
            <w:vAlign w:val="center"/>
          </w:tcPr>
          <w:p w14:paraId="41A3E4A3"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47871822" w14:textId="77777777" w:rsidR="00DD2D31" w:rsidRPr="00DD47DF" w:rsidRDefault="00516928" w:rsidP="008F41A1">
            <w:pPr>
              <w:pStyle w:val="Tabulka"/>
              <w:keepNext/>
              <w:keepLines/>
              <w:rPr>
                <w:rFonts w:cs="Calibri"/>
              </w:rPr>
            </w:pPr>
            <w:r>
              <w:rPr>
                <w:rFonts w:cs="Calibri"/>
              </w:rPr>
              <w:t>průběžně</w:t>
            </w:r>
          </w:p>
        </w:tc>
      </w:tr>
    </w:tbl>
    <w:p w14:paraId="6699FF21" w14:textId="77777777" w:rsidR="00AA66A2" w:rsidRPr="00DD47DF" w:rsidRDefault="00AA66A2" w:rsidP="00DA3512">
      <w:pPr>
        <w:pStyle w:val="kapitola2A0"/>
        <w:numPr>
          <w:ilvl w:val="2"/>
          <w:numId w:val="65"/>
        </w:numPr>
      </w:pPr>
      <w:bookmarkStart w:id="66" w:name="_Toc506885013"/>
      <w:r w:rsidRPr="00DD47DF">
        <w:t>INVESTIČNÍ PRIORITA 2 prioritní osy 3: Podpora energetické účinnosti a využívání energie z obnovitelných zdrojů v podnicích</w:t>
      </w:r>
      <w:bookmarkEnd w:id="66"/>
    </w:p>
    <w:p w14:paraId="3CDD7AF7" w14:textId="77777777" w:rsidR="003B05CA" w:rsidRPr="00DD47DF" w:rsidRDefault="008C7D72" w:rsidP="00DA3512">
      <w:pPr>
        <w:pStyle w:val="kapitola2A0"/>
        <w:numPr>
          <w:ilvl w:val="2"/>
          <w:numId w:val="65"/>
        </w:numPr>
      </w:pPr>
      <w:bookmarkStart w:id="67" w:name="_Toc506885014"/>
      <w:r w:rsidRPr="00DD47DF">
        <w:t>Specifické cíle odpovídající investiční prioritě a očekávané výsledky</w:t>
      </w:r>
      <w:bookmarkEnd w:id="67"/>
    </w:p>
    <w:p w14:paraId="17C337BD" w14:textId="77777777" w:rsidR="00EC0F1D" w:rsidRPr="00DD47DF" w:rsidRDefault="00EC0F1D" w:rsidP="00396141">
      <w:pPr>
        <w:pStyle w:val="Modrnadpis"/>
      </w:pPr>
      <w:r w:rsidRPr="00DD47DF">
        <w:t xml:space="preserve">SPECIFICKÝ CÍL </w:t>
      </w:r>
      <w:r w:rsidR="00C71E6F" w:rsidRPr="00DD47DF">
        <w:t>3.</w:t>
      </w:r>
      <w:r w:rsidRPr="00DD47DF">
        <w:t xml:space="preserve">2: </w:t>
      </w:r>
      <w:r w:rsidR="00A72338" w:rsidRPr="00DD47DF">
        <w:t>Zvýšit energetickou účinnost podnikatelského sektoru</w:t>
      </w:r>
    </w:p>
    <w:p w14:paraId="373E179E" w14:textId="77777777" w:rsidR="00982AE9" w:rsidRPr="00DD47DF" w:rsidRDefault="00A22765" w:rsidP="00FB0590">
      <w:pPr>
        <w:pStyle w:val="Standardntext"/>
      </w:pPr>
      <w:r w:rsidRPr="00DD47DF">
        <w:t xml:space="preserve">Energetická účinnost je jedním z faktorů ovlivňujících konkurenceschopnost podniků, resp. celé ekonomiky. </w:t>
      </w:r>
      <w:r w:rsidR="00727C15" w:rsidRPr="00DD47DF">
        <w:t>V oblasti snižování energetické náročnosti průmyslových procesů učinila Česká republika za dobu své existence zásadní pokrok. Přesto je v ČR stále nevyčerpán ekonomický potenciál úspor energie v tomto sektoru.</w:t>
      </w:r>
      <w:r w:rsidRPr="00DD47DF">
        <w:t xml:space="preserve"> </w:t>
      </w:r>
      <w:r w:rsidR="008A674D" w:rsidRPr="00DD47DF">
        <w:t>Hlavním cílem je podpora konkurenceschopnosti podnikatelských subjektů</w:t>
      </w:r>
      <w:r w:rsidR="00727C15" w:rsidRPr="00DD47DF">
        <w:t xml:space="preserve"> a udržitelnosti české ekonomiky</w:t>
      </w:r>
      <w:r w:rsidR="008A674D" w:rsidRPr="00DD47DF">
        <w:t xml:space="preserve"> prostřednictvím </w:t>
      </w:r>
      <w:r w:rsidR="00727C15" w:rsidRPr="00DD47DF">
        <w:t>snížení energetické náročnosti podnikatelského sektoru.</w:t>
      </w:r>
    </w:p>
    <w:p w14:paraId="641CC696" w14:textId="77777777" w:rsidR="0056661C" w:rsidRPr="00DD47DF" w:rsidRDefault="003508A9" w:rsidP="0056661C">
      <w:pPr>
        <w:pStyle w:val="Modrnadpis"/>
      </w:pPr>
      <w:r w:rsidRPr="00DD47DF">
        <w:lastRenderedPageBreak/>
        <w:t>Výsledky, kterých chce ČR dosáhnout s podporou Unie</w:t>
      </w:r>
    </w:p>
    <w:p w14:paraId="3EFB5F8E" w14:textId="77777777" w:rsidR="003F4488" w:rsidRPr="00DD47DF" w:rsidRDefault="00982AE9" w:rsidP="00D927A2">
      <w:pPr>
        <w:pStyle w:val="Standardntext"/>
        <w:numPr>
          <w:ilvl w:val="0"/>
          <w:numId w:val="43"/>
        </w:numPr>
      </w:pPr>
      <w:r w:rsidRPr="00DD47DF">
        <w:t>Příspěvek k naplněn</w:t>
      </w:r>
      <w:r w:rsidR="001F2A61" w:rsidRPr="00DD47DF">
        <w:t>í</w:t>
      </w:r>
      <w:r w:rsidRPr="00DD47DF">
        <w:t xml:space="preserve"> Směrnice Evropského parlamentu a Rady 2012/27/EU o energetické účinnosti, která stanovuje zavedení orientačních vnitrostátních cílů energetické účinnosti do roku 2020. Vnitrostátní orientační cíl ČR je na základě současných analýz stanoven ve výši 47,</w:t>
      </w:r>
      <w:r w:rsidR="0019094C" w:rsidRPr="00DD47DF">
        <w:t>78</w:t>
      </w:r>
      <w:r w:rsidR="00067B17" w:rsidRPr="00DD47DF">
        <w:t xml:space="preserve"> </w:t>
      </w:r>
      <w:r w:rsidRPr="00DD47DF">
        <w:t>PJ (13,2</w:t>
      </w:r>
      <w:r w:rsidR="0019094C" w:rsidRPr="00DD47DF">
        <w:t>7</w:t>
      </w:r>
      <w:r w:rsidRPr="00DD47DF">
        <w:t xml:space="preserve"> TWh) úspor v konečné spotřebě energie.</w:t>
      </w:r>
    </w:p>
    <w:p w14:paraId="4C8D961D" w14:textId="77777777" w:rsidR="00C61714" w:rsidRPr="00DD47DF" w:rsidRDefault="00C61714" w:rsidP="00D927A2">
      <w:pPr>
        <w:pStyle w:val="Standardntext"/>
        <w:numPr>
          <w:ilvl w:val="0"/>
          <w:numId w:val="43"/>
        </w:numPr>
      </w:pPr>
      <w:r w:rsidRPr="00DD47DF">
        <w:t>Přispívá k naplnění Směrnice 2008/50/EU a Plánů kvality ovzduší a směrnice o národních stropech.</w:t>
      </w:r>
    </w:p>
    <w:p w14:paraId="6EC4B3F8" w14:textId="77777777" w:rsidR="00557339" w:rsidRPr="00DD47DF" w:rsidRDefault="00727C15" w:rsidP="00D927A2">
      <w:pPr>
        <w:pStyle w:val="Standardntext"/>
        <w:numPr>
          <w:ilvl w:val="0"/>
          <w:numId w:val="43"/>
        </w:numPr>
      </w:pPr>
      <w:r w:rsidRPr="00DD47DF">
        <w:t xml:space="preserve">Zvýšení možnosti podniků rozvíjet svou činnost, investovat do výzkumu, vývoje a inovací </w:t>
      </w:r>
      <w:r w:rsidR="00557339" w:rsidRPr="00DD47DF">
        <w:t xml:space="preserve">tím, že podniky nebudou muset vynakládat takové množství prostředků na energie při výrobních procesech. </w:t>
      </w:r>
      <w:r w:rsidR="009B3FCE" w:rsidRPr="00DD47DF">
        <w:t>S tím souvisí s</w:t>
      </w:r>
      <w:r w:rsidR="00557339" w:rsidRPr="00DD47DF">
        <w:t xml:space="preserve">nížení citlivosti podnikatelských subjektů na změny vstupních nákladů, jejichž zvyšování, nebo udržování na současných hodnotách, by mohlo v důsledku ohrozit celkový výkon výroby ve prospěch levné zahraniční konkurence. </w:t>
      </w:r>
      <w:r w:rsidR="009B3FCE" w:rsidRPr="00DD47DF">
        <w:t>Výsledkem specifického cíle tak bude</w:t>
      </w:r>
      <w:r w:rsidR="00557339" w:rsidRPr="00DD47DF">
        <w:t xml:space="preserve"> posílení konkurenceschopnosti podnikatelských subjektů, resp. ekonomiky jako celku.</w:t>
      </w:r>
    </w:p>
    <w:p w14:paraId="0B391E58" w14:textId="77777777" w:rsidR="00557339" w:rsidRPr="00DD47DF" w:rsidRDefault="00557339" w:rsidP="00D927A2">
      <w:pPr>
        <w:pStyle w:val="Standardntext"/>
        <w:numPr>
          <w:ilvl w:val="0"/>
          <w:numId w:val="43"/>
        </w:numPr>
      </w:pPr>
      <w:r w:rsidRPr="00DD47DF">
        <w:t>Přiblížení se v úrovni energetické náročnosti průmyslové výroby k ostatním členským zemím EU, neboť česká ekonomika dosud vykazovala vyšší míru nákladovosti</w:t>
      </w:r>
      <w:r w:rsidR="001900F1" w:rsidRPr="00DD47DF">
        <w:t>,</w:t>
      </w:r>
      <w:r w:rsidRPr="00DD47DF">
        <w:t xml:space="preserve"> než činil průměr EU.</w:t>
      </w:r>
    </w:p>
    <w:p w14:paraId="294DC327" w14:textId="77777777" w:rsidR="004C2EE3" w:rsidRPr="00DD47DF" w:rsidRDefault="008A674D" w:rsidP="00D927A2">
      <w:pPr>
        <w:pStyle w:val="Standardntext"/>
        <w:numPr>
          <w:ilvl w:val="0"/>
          <w:numId w:val="43"/>
        </w:numPr>
      </w:pPr>
      <w:r w:rsidRPr="00DD47DF">
        <w:t>Rozvoj</w:t>
      </w:r>
      <w:r w:rsidR="004C2EE3" w:rsidRPr="00DD47DF">
        <w:t xml:space="preserve"> energetických služeb, které jsou důležitým nástrojem přispívajícím k nákladově efektivnímu způsobu zvyšování energetické účinnosti.</w:t>
      </w:r>
      <w:r w:rsidRPr="00DD47DF">
        <w:rPr>
          <w:rStyle w:val="Znakapoznpodarou"/>
        </w:rPr>
        <w:footnoteReference w:id="58"/>
      </w:r>
    </w:p>
    <w:p w14:paraId="274476F3" w14:textId="77777777" w:rsidR="00002031" w:rsidRPr="00DD47DF" w:rsidRDefault="00002031" w:rsidP="001D58DB">
      <w:pPr>
        <w:pStyle w:val="Titulek"/>
        <w:rPr>
          <w:rFonts w:cs="Calibri"/>
        </w:rPr>
      </w:pPr>
      <w:r w:rsidRPr="00DD47DF">
        <w:rPr>
          <w:rFonts w:cs="Calibri"/>
        </w:rPr>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1068"/>
        <w:gridCol w:w="1248"/>
        <w:gridCol w:w="946"/>
        <w:gridCol w:w="1151"/>
        <w:gridCol w:w="885"/>
        <w:gridCol w:w="873"/>
        <w:gridCol w:w="1117"/>
        <w:gridCol w:w="975"/>
        <w:gridCol w:w="1063"/>
      </w:tblGrid>
      <w:tr w:rsidR="00CF739D" w:rsidRPr="00DD47DF" w14:paraId="1CCBD92E" w14:textId="77777777">
        <w:trPr>
          <w:trHeight w:hRule="exact" w:val="1297"/>
        </w:trPr>
        <w:tc>
          <w:tcPr>
            <w:tcW w:w="57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8942292" w14:textId="77777777" w:rsidR="00CF739D" w:rsidRPr="00DD47DF" w:rsidRDefault="00CF739D" w:rsidP="001D58DB">
            <w:pPr>
              <w:pStyle w:val="Tabulka"/>
              <w:rPr>
                <w:rFonts w:cs="Calibri"/>
                <w:b/>
                <w:bCs/>
              </w:rPr>
            </w:pPr>
            <w:r w:rsidRPr="00DD47DF">
              <w:rPr>
                <w:rFonts w:cs="Calibri"/>
                <w:b/>
                <w:bCs/>
              </w:rPr>
              <w:t>ID</w:t>
            </w:r>
          </w:p>
        </w:tc>
        <w:tc>
          <w:tcPr>
            <w:tcW w:w="66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5FEE9CC" w14:textId="77777777" w:rsidR="00CF739D" w:rsidRPr="00DD47DF" w:rsidRDefault="00CF739D" w:rsidP="001D58DB">
            <w:pPr>
              <w:pStyle w:val="Tabulka"/>
              <w:rPr>
                <w:rFonts w:cs="Calibri"/>
                <w:b/>
                <w:bCs/>
              </w:rPr>
            </w:pPr>
            <w:r w:rsidRPr="00DD47DF">
              <w:rPr>
                <w:rFonts w:cs="Calibri"/>
                <w:b/>
                <w:bCs/>
              </w:rPr>
              <w:t>Ukazatel</w:t>
            </w:r>
          </w:p>
        </w:tc>
        <w:tc>
          <w:tcPr>
            <w:tcW w:w="50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F5BF7C7" w14:textId="77777777" w:rsidR="00CF739D" w:rsidRPr="00DD47DF" w:rsidRDefault="00CF739D" w:rsidP="001D58DB">
            <w:pPr>
              <w:pStyle w:val="Tabulka"/>
              <w:rPr>
                <w:rFonts w:cs="Calibri"/>
                <w:b/>
                <w:bCs/>
              </w:rPr>
            </w:pPr>
            <w:r w:rsidRPr="00DD47DF">
              <w:rPr>
                <w:rFonts w:cs="Calibri"/>
                <w:b/>
                <w:bCs/>
              </w:rPr>
              <w:t>Měrná</w:t>
            </w:r>
          </w:p>
          <w:p w14:paraId="563D3767" w14:textId="77777777" w:rsidR="00CF739D" w:rsidRPr="00DD47DF" w:rsidRDefault="00CF739D" w:rsidP="001D58DB">
            <w:pPr>
              <w:pStyle w:val="Tabulka"/>
              <w:rPr>
                <w:rFonts w:cs="Calibri"/>
                <w:b/>
                <w:bCs/>
              </w:rPr>
            </w:pPr>
            <w:r w:rsidRPr="00DD47DF">
              <w:rPr>
                <w:rFonts w:cs="Calibri"/>
                <w:b/>
                <w:bCs/>
              </w:rPr>
              <w:t>jednotka</w:t>
            </w:r>
          </w:p>
        </w:tc>
        <w:tc>
          <w:tcPr>
            <w:tcW w:w="61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5834768" w14:textId="77777777" w:rsidR="00CF739D" w:rsidRPr="00DD47DF" w:rsidRDefault="00CF739D" w:rsidP="001D58DB">
            <w:pPr>
              <w:pStyle w:val="Tabulka"/>
              <w:rPr>
                <w:rFonts w:cs="Calibri"/>
                <w:b/>
                <w:bCs/>
              </w:rPr>
            </w:pPr>
            <w:r w:rsidRPr="00DD47DF">
              <w:rPr>
                <w:rFonts w:cs="Calibri"/>
                <w:b/>
                <w:bCs/>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8572438" w14:textId="77777777" w:rsidR="00CF739D" w:rsidRPr="00DD47DF" w:rsidRDefault="004B0854" w:rsidP="001D58DB">
            <w:pPr>
              <w:pStyle w:val="Tabulka"/>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2153E1A" w14:textId="77777777" w:rsidR="00CF739D" w:rsidRPr="00DD47DF" w:rsidRDefault="004B0854" w:rsidP="001D58DB">
            <w:pPr>
              <w:pStyle w:val="Tabulka"/>
              <w:rPr>
                <w:rFonts w:cs="Calibri"/>
                <w:b/>
                <w:bCs/>
              </w:rPr>
            </w:pPr>
            <w:r w:rsidRPr="00DD47DF">
              <w:rPr>
                <w:rFonts w:cs="Calibri"/>
                <w:b/>
                <w:bCs/>
              </w:rPr>
              <w:t xml:space="preserve">Výchozí </w:t>
            </w:r>
            <w:r w:rsidR="00CF739D" w:rsidRPr="00DD47DF">
              <w:rPr>
                <w:rFonts w:cs="Calibri"/>
                <w:b/>
                <w:bCs/>
              </w:rPr>
              <w:t>rok</w:t>
            </w:r>
          </w:p>
        </w:tc>
        <w:tc>
          <w:tcPr>
            <w:tcW w:w="59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3FC4967" w14:textId="77777777" w:rsidR="00CF739D" w:rsidRPr="00DD47DF" w:rsidRDefault="00CF739D" w:rsidP="001D58DB">
            <w:pPr>
              <w:pStyle w:val="Tabulka"/>
              <w:rPr>
                <w:rFonts w:cs="Calibri"/>
                <w:b/>
                <w:bCs/>
              </w:rPr>
            </w:pPr>
            <w:r w:rsidRPr="00DD47DF">
              <w:rPr>
                <w:rFonts w:cs="Calibri"/>
                <w:b/>
                <w:bCs/>
              </w:rPr>
              <w:t>Cílová hodnota (2023)</w:t>
            </w:r>
          </w:p>
        </w:tc>
        <w:tc>
          <w:tcPr>
            <w:tcW w:w="52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098EC14" w14:textId="77777777" w:rsidR="00CF739D" w:rsidRPr="00DD47DF" w:rsidRDefault="00CF739D" w:rsidP="001D58DB">
            <w:pPr>
              <w:pStyle w:val="Tabulka"/>
              <w:rPr>
                <w:rFonts w:cs="Calibri"/>
                <w:b/>
                <w:bCs/>
              </w:rPr>
            </w:pPr>
            <w:r w:rsidRPr="00DD47DF">
              <w:rPr>
                <w:rFonts w:cs="Calibri"/>
                <w:b/>
                <w:bCs/>
              </w:rPr>
              <w:t>Zdroj údajů</w:t>
            </w:r>
          </w:p>
        </w:tc>
        <w:tc>
          <w:tcPr>
            <w:tcW w:w="570"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5A5982D" w14:textId="77777777" w:rsidR="00CF739D" w:rsidRPr="00DD47DF" w:rsidRDefault="00CF739D" w:rsidP="001D58DB">
            <w:pPr>
              <w:pStyle w:val="Tabulka"/>
              <w:rPr>
                <w:rFonts w:cs="Calibri"/>
                <w:b/>
                <w:bCs/>
              </w:rPr>
            </w:pPr>
            <w:r w:rsidRPr="00DD47DF">
              <w:rPr>
                <w:rFonts w:cs="Calibri"/>
                <w:b/>
                <w:bCs/>
              </w:rPr>
              <w:t>Četnost podávání zpráv</w:t>
            </w:r>
          </w:p>
        </w:tc>
      </w:tr>
      <w:tr w:rsidR="00EC0F1D" w:rsidRPr="00DD47DF" w14:paraId="6F6AF742" w14:textId="77777777" w:rsidTr="00997228">
        <w:trPr>
          <w:trHeight w:hRule="exact" w:val="1453"/>
        </w:trPr>
        <w:tc>
          <w:tcPr>
            <w:tcW w:w="573" w:type="pct"/>
            <w:tcBorders>
              <w:top w:val="single" w:sz="4" w:space="0" w:color="000000"/>
              <w:left w:val="single" w:sz="4" w:space="0" w:color="000000"/>
              <w:bottom w:val="single" w:sz="4" w:space="0" w:color="000000"/>
              <w:right w:val="single" w:sz="4" w:space="0" w:color="000000"/>
            </w:tcBorders>
            <w:vAlign w:val="center"/>
          </w:tcPr>
          <w:p w14:paraId="53578397" w14:textId="77777777" w:rsidR="00EC0F1D" w:rsidRPr="00DD47DF" w:rsidRDefault="007E40DB" w:rsidP="001D58DB">
            <w:pPr>
              <w:pStyle w:val="Tabulka"/>
              <w:rPr>
                <w:rFonts w:cs="Calibri"/>
              </w:rPr>
            </w:pPr>
            <w:r w:rsidRPr="00DD47DF">
              <w:rPr>
                <w:rFonts w:cs="Calibri"/>
              </w:rPr>
              <w:t>322</w:t>
            </w:r>
            <w:r w:rsidR="008600A4" w:rsidRPr="00DD47DF">
              <w:rPr>
                <w:rFonts w:cs="Calibri"/>
              </w:rPr>
              <w:t>1</w:t>
            </w:r>
            <w:r w:rsidRPr="00DD47DF">
              <w:rPr>
                <w:rFonts w:cs="Calibri"/>
              </w:rPr>
              <w:t>0</w:t>
            </w:r>
          </w:p>
        </w:tc>
        <w:tc>
          <w:tcPr>
            <w:tcW w:w="669" w:type="pct"/>
            <w:tcBorders>
              <w:top w:val="single" w:sz="4" w:space="0" w:color="000000"/>
              <w:left w:val="single" w:sz="4" w:space="0" w:color="000000"/>
              <w:bottom w:val="single" w:sz="4" w:space="0" w:color="000000"/>
              <w:right w:val="single" w:sz="4" w:space="0" w:color="000000"/>
            </w:tcBorders>
            <w:vAlign w:val="center"/>
          </w:tcPr>
          <w:p w14:paraId="5F601570" w14:textId="77777777" w:rsidR="00EC0F1D" w:rsidRPr="00DD47DF" w:rsidRDefault="000C37B9" w:rsidP="001D58DB">
            <w:pPr>
              <w:pStyle w:val="Tabulka"/>
              <w:jc w:val="left"/>
              <w:rPr>
                <w:rFonts w:cs="Calibri"/>
              </w:rPr>
            </w:pPr>
            <w:r w:rsidRPr="00DD47DF">
              <w:rPr>
                <w:rFonts w:cs="Calibri"/>
              </w:rPr>
              <w:t>Čistá konečná spotřeba energie</w:t>
            </w:r>
            <w:r w:rsidR="00B1446E" w:rsidRPr="00DD47DF">
              <w:rPr>
                <w:rFonts w:cs="Calibri"/>
              </w:rPr>
              <w:t xml:space="preserve"> v průmyslu</w:t>
            </w:r>
          </w:p>
        </w:tc>
        <w:tc>
          <w:tcPr>
            <w:tcW w:w="507" w:type="pct"/>
            <w:tcBorders>
              <w:top w:val="single" w:sz="4" w:space="0" w:color="000000"/>
              <w:left w:val="single" w:sz="4" w:space="0" w:color="000000"/>
              <w:bottom w:val="single" w:sz="4" w:space="0" w:color="000000"/>
              <w:right w:val="single" w:sz="4" w:space="0" w:color="000000"/>
            </w:tcBorders>
            <w:vAlign w:val="center"/>
          </w:tcPr>
          <w:p w14:paraId="042364E0" w14:textId="77777777" w:rsidR="00EC0F1D" w:rsidRPr="00DD47DF" w:rsidRDefault="000C37B9" w:rsidP="001D58DB">
            <w:pPr>
              <w:pStyle w:val="Tabulka"/>
              <w:rPr>
                <w:rFonts w:cs="Calibri"/>
              </w:rPr>
            </w:pPr>
            <w:r w:rsidRPr="00DD47DF">
              <w:rPr>
                <w:rFonts w:cs="Calibri"/>
              </w:rPr>
              <w:t>TJ</w:t>
            </w:r>
          </w:p>
        </w:tc>
        <w:tc>
          <w:tcPr>
            <w:tcW w:w="617" w:type="pct"/>
            <w:tcBorders>
              <w:top w:val="single" w:sz="4" w:space="0" w:color="000000"/>
              <w:left w:val="single" w:sz="4" w:space="0" w:color="000000"/>
              <w:bottom w:val="single" w:sz="4" w:space="0" w:color="000000"/>
              <w:right w:val="single" w:sz="4" w:space="0" w:color="000000"/>
            </w:tcBorders>
            <w:vAlign w:val="center"/>
          </w:tcPr>
          <w:p w14:paraId="5CE18A2A" w14:textId="77777777" w:rsidR="00EC0F1D" w:rsidRPr="00DD47DF" w:rsidRDefault="006C17A1" w:rsidP="001D58DB">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537E4E37" w14:textId="77777777" w:rsidR="00EC0F1D" w:rsidRPr="00DD47DF" w:rsidRDefault="00B1446E" w:rsidP="001D58DB">
            <w:pPr>
              <w:pStyle w:val="Tabulka"/>
              <w:rPr>
                <w:rFonts w:cs="Calibri"/>
              </w:rPr>
            </w:pPr>
            <w:r w:rsidRPr="00DD47DF">
              <w:rPr>
                <w:rFonts w:cs="Calibri"/>
              </w:rPr>
              <w:t>306 252</w:t>
            </w:r>
          </w:p>
        </w:tc>
        <w:tc>
          <w:tcPr>
            <w:tcW w:w="468" w:type="pct"/>
            <w:tcBorders>
              <w:top w:val="single" w:sz="4" w:space="0" w:color="000000"/>
              <w:left w:val="single" w:sz="4" w:space="0" w:color="000000"/>
              <w:bottom w:val="single" w:sz="4" w:space="0" w:color="000000"/>
              <w:right w:val="single" w:sz="4" w:space="0" w:color="000000"/>
            </w:tcBorders>
            <w:vAlign w:val="center"/>
          </w:tcPr>
          <w:p w14:paraId="2F8B6F78" w14:textId="77777777" w:rsidR="00EC0F1D" w:rsidRPr="00DD47DF" w:rsidRDefault="000C37B9" w:rsidP="001D58DB">
            <w:pPr>
              <w:pStyle w:val="Tabulka"/>
              <w:rPr>
                <w:rFonts w:cs="Calibri"/>
              </w:rPr>
            </w:pPr>
            <w:r w:rsidRPr="00DD47DF">
              <w:rPr>
                <w:rFonts w:cs="Calibri"/>
              </w:rPr>
              <w:t>201</w:t>
            </w:r>
            <w:r w:rsidR="00D502CC" w:rsidRPr="00DD47DF">
              <w:rPr>
                <w:rFonts w:cs="Calibri"/>
              </w:rPr>
              <w:t>2</w:t>
            </w:r>
          </w:p>
        </w:tc>
        <w:tc>
          <w:tcPr>
            <w:tcW w:w="599" w:type="pct"/>
            <w:tcBorders>
              <w:top w:val="single" w:sz="4" w:space="0" w:color="000000"/>
              <w:left w:val="single" w:sz="4" w:space="0" w:color="000000"/>
              <w:bottom w:val="single" w:sz="4" w:space="0" w:color="000000"/>
              <w:right w:val="single" w:sz="4" w:space="0" w:color="000000"/>
            </w:tcBorders>
            <w:vAlign w:val="center"/>
          </w:tcPr>
          <w:p w14:paraId="1340201E" w14:textId="77777777" w:rsidR="00EC0F1D" w:rsidRPr="00DD47DF" w:rsidRDefault="00B1446E" w:rsidP="001D58DB">
            <w:pPr>
              <w:pStyle w:val="Tabulka"/>
              <w:rPr>
                <w:rFonts w:cs="Calibri"/>
              </w:rPr>
            </w:pPr>
            <w:r w:rsidRPr="00DD47DF">
              <w:rPr>
                <w:rFonts w:cs="Calibri"/>
              </w:rPr>
              <w:t>316 528</w:t>
            </w:r>
            <w:r w:rsidR="00C61714" w:rsidRPr="00DD47DF">
              <w:rPr>
                <w:rStyle w:val="Znakapoznpodarou"/>
                <w:rFonts w:cs="Calibri"/>
              </w:rPr>
              <w:footnoteReference w:id="59"/>
            </w:r>
          </w:p>
        </w:tc>
        <w:tc>
          <w:tcPr>
            <w:tcW w:w="523" w:type="pct"/>
            <w:tcBorders>
              <w:top w:val="single" w:sz="4" w:space="0" w:color="000000"/>
              <w:left w:val="single" w:sz="4" w:space="0" w:color="000000"/>
              <w:bottom w:val="single" w:sz="4" w:space="0" w:color="000000"/>
              <w:right w:val="single" w:sz="4" w:space="0" w:color="000000"/>
            </w:tcBorders>
            <w:vAlign w:val="center"/>
          </w:tcPr>
          <w:p w14:paraId="1E1CEA5B" w14:textId="77777777" w:rsidR="00EC0F1D" w:rsidRPr="00DD47DF" w:rsidRDefault="00AC072C" w:rsidP="001D58DB">
            <w:pPr>
              <w:pStyle w:val="Tabulka"/>
              <w:rPr>
                <w:rFonts w:cs="Calibri"/>
              </w:rPr>
            </w:pPr>
            <w:r w:rsidRPr="00DD47DF">
              <w:rPr>
                <w:rFonts w:cs="Calibri"/>
              </w:rPr>
              <w:t>ČSÚ</w:t>
            </w:r>
          </w:p>
        </w:tc>
        <w:tc>
          <w:tcPr>
            <w:tcW w:w="570" w:type="pct"/>
            <w:tcBorders>
              <w:top w:val="single" w:sz="4" w:space="0" w:color="000000"/>
              <w:left w:val="single" w:sz="4" w:space="0" w:color="000000"/>
              <w:bottom w:val="single" w:sz="4" w:space="0" w:color="000000"/>
              <w:right w:val="single" w:sz="4" w:space="0" w:color="000000"/>
            </w:tcBorders>
            <w:vAlign w:val="center"/>
          </w:tcPr>
          <w:p w14:paraId="56575529" w14:textId="77777777" w:rsidR="00EC0F1D" w:rsidRPr="00DD47DF" w:rsidRDefault="000C37B9" w:rsidP="001D58DB">
            <w:pPr>
              <w:pStyle w:val="Tabulka"/>
              <w:rPr>
                <w:rFonts w:cs="Calibri"/>
              </w:rPr>
            </w:pPr>
            <w:r w:rsidRPr="00DD47DF">
              <w:rPr>
                <w:rFonts w:cs="Calibri"/>
              </w:rPr>
              <w:t>ročně</w:t>
            </w:r>
          </w:p>
        </w:tc>
      </w:tr>
      <w:tr w:rsidR="00B1446E" w:rsidRPr="00DD47DF" w14:paraId="1D835BCD" w14:textId="77777777" w:rsidTr="00997228">
        <w:trPr>
          <w:trHeight w:hRule="exact" w:val="1417"/>
        </w:trPr>
        <w:tc>
          <w:tcPr>
            <w:tcW w:w="573" w:type="pct"/>
            <w:tcBorders>
              <w:top w:val="single" w:sz="4" w:space="0" w:color="000000"/>
              <w:left w:val="single" w:sz="4" w:space="0" w:color="000000"/>
              <w:bottom w:val="single" w:sz="4" w:space="0" w:color="000000"/>
              <w:right w:val="single" w:sz="4" w:space="0" w:color="000000"/>
            </w:tcBorders>
            <w:vAlign w:val="center"/>
          </w:tcPr>
          <w:p w14:paraId="759C985C" w14:textId="77777777" w:rsidR="00B1446E" w:rsidRPr="00DD47DF" w:rsidRDefault="008600A4" w:rsidP="001D58DB">
            <w:pPr>
              <w:pStyle w:val="Tabulka"/>
              <w:rPr>
                <w:rFonts w:cs="Calibri"/>
              </w:rPr>
            </w:pPr>
            <w:r w:rsidRPr="00DD47DF">
              <w:rPr>
                <w:rFonts w:cs="Calibri"/>
              </w:rPr>
              <w:t>32220</w:t>
            </w:r>
          </w:p>
        </w:tc>
        <w:tc>
          <w:tcPr>
            <w:tcW w:w="669" w:type="pct"/>
            <w:tcBorders>
              <w:top w:val="single" w:sz="4" w:space="0" w:color="000000"/>
              <w:left w:val="single" w:sz="4" w:space="0" w:color="000000"/>
              <w:bottom w:val="single" w:sz="4" w:space="0" w:color="000000"/>
              <w:right w:val="single" w:sz="4" w:space="0" w:color="000000"/>
            </w:tcBorders>
            <w:vAlign w:val="center"/>
          </w:tcPr>
          <w:p w14:paraId="138DE528" w14:textId="77777777" w:rsidR="00B1446E" w:rsidRPr="00DD47DF" w:rsidRDefault="00B1446E" w:rsidP="001D58DB">
            <w:pPr>
              <w:pStyle w:val="Tabulka"/>
              <w:jc w:val="left"/>
              <w:rPr>
                <w:rFonts w:cs="Calibri"/>
              </w:rPr>
            </w:pPr>
            <w:r w:rsidRPr="00DD47DF">
              <w:rPr>
                <w:rFonts w:cs="Calibri"/>
              </w:rPr>
              <w:t>Čistá konečná spotřeba energie ve službách</w:t>
            </w:r>
          </w:p>
        </w:tc>
        <w:tc>
          <w:tcPr>
            <w:tcW w:w="507" w:type="pct"/>
            <w:tcBorders>
              <w:top w:val="single" w:sz="4" w:space="0" w:color="000000"/>
              <w:left w:val="single" w:sz="4" w:space="0" w:color="000000"/>
              <w:bottom w:val="single" w:sz="4" w:space="0" w:color="000000"/>
              <w:right w:val="single" w:sz="4" w:space="0" w:color="000000"/>
            </w:tcBorders>
            <w:vAlign w:val="center"/>
          </w:tcPr>
          <w:p w14:paraId="459CDA04" w14:textId="77777777" w:rsidR="00B1446E" w:rsidRPr="00DD47DF" w:rsidRDefault="00B1446E" w:rsidP="001D58DB">
            <w:pPr>
              <w:pStyle w:val="Tabulka"/>
              <w:rPr>
                <w:rFonts w:cs="Calibri"/>
              </w:rPr>
            </w:pPr>
            <w:r w:rsidRPr="00DD47DF">
              <w:rPr>
                <w:rFonts w:cs="Calibri"/>
              </w:rPr>
              <w:t>TJ</w:t>
            </w:r>
          </w:p>
        </w:tc>
        <w:tc>
          <w:tcPr>
            <w:tcW w:w="617" w:type="pct"/>
            <w:tcBorders>
              <w:top w:val="single" w:sz="4" w:space="0" w:color="000000"/>
              <w:left w:val="single" w:sz="4" w:space="0" w:color="000000"/>
              <w:bottom w:val="single" w:sz="4" w:space="0" w:color="000000"/>
              <w:right w:val="single" w:sz="4" w:space="0" w:color="000000"/>
            </w:tcBorders>
            <w:vAlign w:val="center"/>
          </w:tcPr>
          <w:p w14:paraId="2D64A4EB" w14:textId="77777777" w:rsidR="00B1446E" w:rsidRPr="00DD47DF" w:rsidRDefault="00B1446E" w:rsidP="001D58DB">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0917A091" w14:textId="77777777" w:rsidR="00B1446E" w:rsidRPr="00DD47DF" w:rsidRDefault="00B1446E" w:rsidP="001D58DB">
            <w:pPr>
              <w:pStyle w:val="Tabulka"/>
              <w:rPr>
                <w:rFonts w:cs="Calibri"/>
              </w:rPr>
            </w:pPr>
            <w:r w:rsidRPr="00DD47DF">
              <w:rPr>
                <w:rFonts w:cs="Calibri"/>
              </w:rPr>
              <w:t>142 067</w:t>
            </w:r>
          </w:p>
        </w:tc>
        <w:tc>
          <w:tcPr>
            <w:tcW w:w="468" w:type="pct"/>
            <w:tcBorders>
              <w:top w:val="single" w:sz="4" w:space="0" w:color="000000"/>
              <w:left w:val="single" w:sz="4" w:space="0" w:color="000000"/>
              <w:bottom w:val="single" w:sz="4" w:space="0" w:color="000000"/>
              <w:right w:val="single" w:sz="4" w:space="0" w:color="000000"/>
            </w:tcBorders>
            <w:vAlign w:val="center"/>
          </w:tcPr>
          <w:p w14:paraId="6A77A24E" w14:textId="77777777" w:rsidR="00B1446E" w:rsidRPr="00DD47DF" w:rsidRDefault="00B1446E" w:rsidP="001D58DB">
            <w:pPr>
              <w:pStyle w:val="Tabulka"/>
              <w:rPr>
                <w:rFonts w:cs="Calibri"/>
              </w:rPr>
            </w:pPr>
            <w:r w:rsidRPr="00DD47DF">
              <w:rPr>
                <w:rFonts w:cs="Calibri"/>
              </w:rPr>
              <w:t>2012</w:t>
            </w:r>
          </w:p>
        </w:tc>
        <w:tc>
          <w:tcPr>
            <w:tcW w:w="599" w:type="pct"/>
            <w:tcBorders>
              <w:top w:val="single" w:sz="4" w:space="0" w:color="000000"/>
              <w:left w:val="single" w:sz="4" w:space="0" w:color="000000"/>
              <w:bottom w:val="single" w:sz="4" w:space="0" w:color="000000"/>
              <w:right w:val="single" w:sz="4" w:space="0" w:color="000000"/>
            </w:tcBorders>
            <w:vAlign w:val="center"/>
          </w:tcPr>
          <w:p w14:paraId="0A9A7D0E" w14:textId="77777777" w:rsidR="00B1446E" w:rsidRPr="00DD47DF" w:rsidRDefault="00B1446E" w:rsidP="001D58DB">
            <w:pPr>
              <w:pStyle w:val="Tabulka"/>
              <w:rPr>
                <w:rFonts w:cs="Calibri"/>
              </w:rPr>
            </w:pPr>
            <w:r w:rsidRPr="00DD47DF">
              <w:rPr>
                <w:rFonts w:cs="Calibri"/>
              </w:rPr>
              <w:t>168 573</w:t>
            </w:r>
            <w:r w:rsidR="00C61714" w:rsidRPr="00DD47DF">
              <w:rPr>
                <w:rStyle w:val="Znakapoznpodarou"/>
                <w:rFonts w:cs="Calibri"/>
              </w:rPr>
              <w:footnoteReference w:id="60"/>
            </w:r>
          </w:p>
        </w:tc>
        <w:tc>
          <w:tcPr>
            <w:tcW w:w="523" w:type="pct"/>
            <w:tcBorders>
              <w:top w:val="single" w:sz="4" w:space="0" w:color="000000"/>
              <w:left w:val="single" w:sz="4" w:space="0" w:color="000000"/>
              <w:bottom w:val="single" w:sz="4" w:space="0" w:color="000000"/>
              <w:right w:val="single" w:sz="4" w:space="0" w:color="000000"/>
            </w:tcBorders>
            <w:vAlign w:val="center"/>
          </w:tcPr>
          <w:p w14:paraId="63BC3915" w14:textId="77777777" w:rsidR="00B1446E" w:rsidRPr="00DD47DF" w:rsidRDefault="00B1446E" w:rsidP="001D58DB">
            <w:pPr>
              <w:pStyle w:val="Tabulka"/>
              <w:rPr>
                <w:rFonts w:cs="Calibri"/>
              </w:rPr>
            </w:pPr>
            <w:r w:rsidRPr="00DD47DF">
              <w:rPr>
                <w:rFonts w:cs="Calibri"/>
              </w:rPr>
              <w:t>ČSÚ</w:t>
            </w:r>
          </w:p>
        </w:tc>
        <w:tc>
          <w:tcPr>
            <w:tcW w:w="570" w:type="pct"/>
            <w:tcBorders>
              <w:top w:val="single" w:sz="4" w:space="0" w:color="000000"/>
              <w:left w:val="single" w:sz="4" w:space="0" w:color="000000"/>
              <w:bottom w:val="single" w:sz="4" w:space="0" w:color="000000"/>
              <w:right w:val="single" w:sz="4" w:space="0" w:color="000000"/>
            </w:tcBorders>
            <w:vAlign w:val="center"/>
          </w:tcPr>
          <w:p w14:paraId="46E6C0E8" w14:textId="77777777" w:rsidR="00B1446E" w:rsidRPr="00DD47DF" w:rsidRDefault="00B1446E" w:rsidP="001D58DB">
            <w:pPr>
              <w:pStyle w:val="Tabulka"/>
              <w:rPr>
                <w:rFonts w:cs="Calibri"/>
              </w:rPr>
            </w:pPr>
            <w:r w:rsidRPr="00DD47DF">
              <w:rPr>
                <w:rFonts w:cs="Calibri"/>
              </w:rPr>
              <w:t>ročně</w:t>
            </w:r>
          </w:p>
        </w:tc>
      </w:tr>
    </w:tbl>
    <w:p w14:paraId="536580F1" w14:textId="77777777" w:rsidR="00AA66A2" w:rsidRPr="00DD47DF" w:rsidRDefault="00AA66A2" w:rsidP="00DA3512">
      <w:pPr>
        <w:pStyle w:val="kapitola2A0"/>
        <w:keepNext w:val="0"/>
        <w:keepLines w:val="0"/>
        <w:numPr>
          <w:ilvl w:val="2"/>
          <w:numId w:val="65"/>
        </w:numPr>
      </w:pPr>
      <w:bookmarkStart w:id="68" w:name="_Toc506885015"/>
      <w:r w:rsidRPr="00DD47DF">
        <w:lastRenderedPageBreak/>
        <w:t>Opatření, jež má být podpořeno v rámci investiční priority</w:t>
      </w:r>
      <w:bookmarkEnd w:id="68"/>
    </w:p>
    <w:p w14:paraId="7810839A" w14:textId="77777777" w:rsidR="0058402E" w:rsidRPr="00DD47DF" w:rsidRDefault="00D479AF" w:rsidP="001D58DB">
      <w:pPr>
        <w:pStyle w:val="Nadpis5"/>
        <w:keepNext w:val="0"/>
        <w:keepLines w:val="0"/>
        <w:numPr>
          <w:ilvl w:val="4"/>
          <w:numId w:val="21"/>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2C9593EC" w14:textId="77777777" w:rsidR="0058402E" w:rsidRPr="00DD47DF" w:rsidRDefault="000A2EB4" w:rsidP="0056661C">
      <w:pPr>
        <w:pStyle w:val="Standardntext"/>
        <w:rPr>
          <w:b/>
        </w:rPr>
      </w:pPr>
      <w:r w:rsidRPr="00DD47DF">
        <w:rPr>
          <w:b/>
        </w:rPr>
        <w:t>Aktivity pro tento specifický cíl:</w:t>
      </w:r>
      <w:r w:rsidR="0058402E" w:rsidRPr="00DD47DF">
        <w:rPr>
          <w:b/>
        </w:rPr>
        <w:t xml:space="preserve"> </w:t>
      </w:r>
    </w:p>
    <w:p w14:paraId="01588AA6" w14:textId="77777777" w:rsidR="00334BD2" w:rsidRPr="00DD47DF" w:rsidRDefault="00622C4A" w:rsidP="00334BD2">
      <w:pPr>
        <w:pStyle w:val="Standardntext"/>
        <w:numPr>
          <w:ilvl w:val="0"/>
          <w:numId w:val="8"/>
        </w:numPr>
      </w:pPr>
      <w:r w:rsidRPr="00DD47DF">
        <w:t>Modernizace</w:t>
      </w:r>
      <w:r w:rsidR="00334BD2" w:rsidRPr="00DD47DF">
        <w:t xml:space="preserve"> a rekonstrukce rozvodů elektřiny, plynu a tepla v budovách a v energetických hospodářstvích výrobních závodů za účelem zvýšení účinnosti</w:t>
      </w:r>
    </w:p>
    <w:p w14:paraId="3CCBA17A" w14:textId="77777777" w:rsidR="0058402E" w:rsidRPr="00DD47DF" w:rsidRDefault="0058402E" w:rsidP="005F43DF">
      <w:pPr>
        <w:pStyle w:val="Standardntext"/>
        <w:numPr>
          <w:ilvl w:val="0"/>
          <w:numId w:val="8"/>
        </w:numPr>
      </w:pPr>
      <w:r w:rsidRPr="00DD47DF">
        <w:t>zavádění a modernizace systémů měření a regulace,</w:t>
      </w:r>
    </w:p>
    <w:p w14:paraId="6AFE8E60" w14:textId="77777777" w:rsidR="0058402E" w:rsidRPr="00DD47DF" w:rsidRDefault="0058402E" w:rsidP="005F43DF">
      <w:pPr>
        <w:pStyle w:val="Standardntext"/>
        <w:numPr>
          <w:ilvl w:val="0"/>
          <w:numId w:val="8"/>
        </w:numPr>
      </w:pPr>
      <w:r w:rsidRPr="00DD47DF">
        <w:t>modernizace, rekonstrukce</w:t>
      </w:r>
      <w:r w:rsidR="0020357B" w:rsidRPr="00DD47DF">
        <w:t xml:space="preserve"> stávajících zařízení na výrobu energie pro vlastní spotřebu vedoucí ke zvýšení její účinnosti,</w:t>
      </w:r>
    </w:p>
    <w:p w14:paraId="42A8E200" w14:textId="77777777" w:rsidR="0020357B" w:rsidRPr="00DD47DF" w:rsidRDefault="00771A39" w:rsidP="005F43DF">
      <w:pPr>
        <w:pStyle w:val="Standardntext"/>
        <w:numPr>
          <w:ilvl w:val="0"/>
          <w:numId w:val="8"/>
        </w:numPr>
      </w:pPr>
      <w:r w:rsidRPr="00DD47DF">
        <w:t>modernizace soustav osvětlení budov a průmyslových areálů (pouze v případě náhrady zastaralých technologií za nové vysoce efektivní osvětlovací systémy, např. světelných diod (LED)</w:t>
      </w:r>
      <w:r w:rsidR="0020357B" w:rsidRPr="00DD47DF">
        <w:t>,</w:t>
      </w:r>
    </w:p>
    <w:p w14:paraId="63F2EDD8" w14:textId="77777777" w:rsidR="0058402E" w:rsidRPr="00DD47DF" w:rsidRDefault="00322C22" w:rsidP="005F43DF">
      <w:pPr>
        <w:pStyle w:val="Standardntext"/>
        <w:numPr>
          <w:ilvl w:val="0"/>
          <w:numId w:val="8"/>
        </w:numPr>
      </w:pPr>
      <w:r w:rsidRPr="00DD47DF">
        <w:t xml:space="preserve">realizace opatření ke snižování </w:t>
      </w:r>
      <w:r w:rsidR="00A22765" w:rsidRPr="00DD47DF">
        <w:t>energetické náročnosti budov v podnikatelském sektoru (zateplení obvodového pláště, výměna a renovace otvorových výplní, další stavební opatření mající prokazatelně vliv na energetickou náročnost budovy, instalace vzduchotechniky</w:t>
      </w:r>
      <w:r w:rsidR="0056661C" w:rsidRPr="00DD47DF">
        <w:t xml:space="preserve"> s rekuperací odpadního tepla</w:t>
      </w:r>
      <w:r w:rsidR="00A22765" w:rsidRPr="00DD47DF">
        <w:t>)</w:t>
      </w:r>
      <w:r w:rsidR="0058402E" w:rsidRPr="00DD47DF">
        <w:t>,</w:t>
      </w:r>
    </w:p>
    <w:p w14:paraId="799B5B1F" w14:textId="77777777" w:rsidR="0058402E" w:rsidRPr="00DD47DF" w:rsidRDefault="0058402E" w:rsidP="005F43DF">
      <w:pPr>
        <w:pStyle w:val="Standardntext"/>
        <w:numPr>
          <w:ilvl w:val="0"/>
          <w:numId w:val="8"/>
        </w:numPr>
      </w:pPr>
      <w:r w:rsidRPr="00DD47DF">
        <w:t>využití odpadní energie</w:t>
      </w:r>
      <w:r w:rsidR="00526991" w:rsidRPr="00DD47DF">
        <w:t xml:space="preserve"> </w:t>
      </w:r>
      <w:r w:rsidRPr="00DD47DF">
        <w:t>ve výrobních procesech,</w:t>
      </w:r>
    </w:p>
    <w:p w14:paraId="5803A46E" w14:textId="77777777" w:rsidR="0058402E" w:rsidRPr="00DD47DF" w:rsidRDefault="0058402E" w:rsidP="005F43DF">
      <w:pPr>
        <w:pStyle w:val="Standardntext"/>
        <w:numPr>
          <w:ilvl w:val="0"/>
          <w:numId w:val="8"/>
        </w:numPr>
      </w:pPr>
      <w:r w:rsidRPr="00DD47DF">
        <w:t>snižování energetické náročnosti/zvyšování energetické účinnosti výrobních a technologických procesů</w:t>
      </w:r>
      <w:r w:rsidR="0056661C" w:rsidRPr="00DD47DF">
        <w:t>,</w:t>
      </w:r>
    </w:p>
    <w:p w14:paraId="1EC7E6A8" w14:textId="77777777" w:rsidR="0056661C" w:rsidRPr="00DD47DF" w:rsidRDefault="0056661C" w:rsidP="005F43DF">
      <w:pPr>
        <w:pStyle w:val="Standardntext"/>
        <w:numPr>
          <w:ilvl w:val="0"/>
          <w:numId w:val="8"/>
        </w:numPr>
      </w:pPr>
      <w:r w:rsidRPr="00DD47DF">
        <w:t>instalace OZE pro vlastní spotřebu podniku,</w:t>
      </w:r>
    </w:p>
    <w:p w14:paraId="71CD186C" w14:textId="14634C8D" w:rsidR="00C5217B" w:rsidRDefault="0056661C" w:rsidP="00C5217B">
      <w:pPr>
        <w:pStyle w:val="Standardntext"/>
        <w:numPr>
          <w:ilvl w:val="0"/>
          <w:numId w:val="8"/>
        </w:numPr>
      </w:pPr>
      <w:r w:rsidRPr="00DD47DF">
        <w:t>instalace kogenerační jednotky s maximálním využití</w:t>
      </w:r>
      <w:r w:rsidR="001900F1" w:rsidRPr="00DD47DF">
        <w:t>m</w:t>
      </w:r>
      <w:r w:rsidRPr="00DD47DF">
        <w:t xml:space="preserve"> elektrické a tepelné energ</w:t>
      </w:r>
      <w:r w:rsidR="00B36879" w:rsidRPr="00DD47DF">
        <w:t>ie pro vlastní spotřebu podniku,</w:t>
      </w:r>
    </w:p>
    <w:p w14:paraId="7A276D71" w14:textId="559E9284" w:rsidR="00933C64" w:rsidRPr="00DD47DF" w:rsidRDefault="00933C64" w:rsidP="00C5217B">
      <w:pPr>
        <w:pStyle w:val="Standardntext"/>
        <w:numPr>
          <w:ilvl w:val="0"/>
          <w:numId w:val="8"/>
        </w:numPr>
      </w:pPr>
      <w:r>
        <w:t>akumulace elektrické energie,</w:t>
      </w:r>
    </w:p>
    <w:p w14:paraId="642ECC29" w14:textId="0D8E0041" w:rsidR="00C56A67" w:rsidRPr="00DD47DF" w:rsidRDefault="0083236C" w:rsidP="0083236C">
      <w:pPr>
        <w:pStyle w:val="Standardntext"/>
        <w:numPr>
          <w:ilvl w:val="0"/>
          <w:numId w:val="8"/>
        </w:numPr>
      </w:pPr>
      <w:r>
        <w:t>b</w:t>
      </w:r>
      <w:r w:rsidRPr="0083236C">
        <w:t>ude podporována výstavba budov s téměř nulovou spotřebou energie (viz doporučení Komise (EU) 2016/1318) a s nižší energetickou náročností, než jsou platné vnitrostátní minimální požadavky pro budovy s téměř nulovou spotřebou energie. Částečně budou podporovány dodatečné náklady na dosažení nižší energetické náročnosti, než jsou platné požadavky týkající se budov s téměř nulovou spotřebou energie. Tato oblast podpory je určena na podporu provádění článku 9 směrnice 2010/31/EU o energetické náročnosti budov (a § 7 prováděcího zákona č. 406/2000 Sb., o hospodaření energií</w:t>
      </w:r>
      <w:r w:rsidR="0062777F" w:rsidRPr="00DD47DF">
        <w:t>.</w:t>
      </w:r>
    </w:p>
    <w:p w14:paraId="725B3482" w14:textId="77777777" w:rsidR="00FF7D38" w:rsidRPr="00DD47DF" w:rsidRDefault="00526991" w:rsidP="00EB6615">
      <w:pPr>
        <w:pStyle w:val="Standardntext"/>
      </w:pPr>
      <w:r w:rsidRPr="00DD47DF">
        <w:t xml:space="preserve">V rámci </w:t>
      </w:r>
      <w:r w:rsidR="009D1769" w:rsidRPr="00DD47DF">
        <w:t>tohoto specifického cíle budou v maximální míře aplikovány zkušenosti</w:t>
      </w:r>
      <w:r w:rsidR="003D3A17" w:rsidRPr="00DD47DF">
        <w:t xml:space="preserve"> (</w:t>
      </w:r>
      <w:r w:rsidR="009D1769" w:rsidRPr="00DD47DF">
        <w:t>„good practices“</w:t>
      </w:r>
      <w:r w:rsidR="003D3A17" w:rsidRPr="00DD47DF">
        <w:t>)</w:t>
      </w:r>
      <w:r w:rsidR="009D1769" w:rsidRPr="00DD47DF">
        <w:t xml:space="preserve"> z programovacího období 2007 - 2013, konkrétně z prioritní osy 3 OPPI, oblasti podpory </w:t>
      </w:r>
      <w:r w:rsidR="009D1769" w:rsidRPr="00DD47DF">
        <w:rPr>
          <w:i/>
        </w:rPr>
        <w:t>Efektivní energie</w:t>
      </w:r>
      <w:r w:rsidR="009D1769" w:rsidRPr="00DD47DF">
        <w:t xml:space="preserve">. </w:t>
      </w:r>
      <w:r w:rsidR="00627F71" w:rsidRPr="00DD47DF">
        <w:t xml:space="preserve">Vzhledem k dlouhodobé poptávce ze strany podnikatelských subjektů z předchozího programovacího období budou realizována zejména níže uvedená úsporná </w:t>
      </w:r>
      <w:r w:rsidR="00FF7D38" w:rsidRPr="00DD47DF">
        <w:t xml:space="preserve">opatření. Jedná se např. o zateplování vnitřních a vnějších obálek budov, výměna starých kotlů na uhlí, nebo mazuty za nové kotle na biomasu či instalace tepelných čerpadel, také instalace solárních kolektorů na ohřev vody, výměna oken, </w:t>
      </w:r>
      <w:r w:rsidR="00B95DC1" w:rsidRPr="00DD47DF">
        <w:t>dveří</w:t>
      </w:r>
      <w:r w:rsidR="00FF7D38" w:rsidRPr="00DD47DF">
        <w:t>, využití odpadního tepla v průmyslových procesech, rekonstrukce tepelných</w:t>
      </w:r>
      <w:r w:rsidR="00334BD2" w:rsidRPr="00DD47DF">
        <w:t xml:space="preserve">, plynových </w:t>
      </w:r>
      <w:r w:rsidR="00FF7D38" w:rsidRPr="00DD47DF">
        <w:t>i elekt</w:t>
      </w:r>
      <w:r w:rsidR="00C776B7" w:rsidRPr="00DD47DF">
        <w:t>rických rozvodů v rámci podniku</w:t>
      </w:r>
      <w:r w:rsidR="00FF7D38" w:rsidRPr="00DD47DF">
        <w:t xml:space="preserve"> atd.</w:t>
      </w:r>
    </w:p>
    <w:p w14:paraId="2FFA437B" w14:textId="77777777" w:rsidR="002C72B3" w:rsidRPr="00DD47DF" w:rsidRDefault="002C72B3" w:rsidP="002C72B3">
      <w:pPr>
        <w:pStyle w:val="Standardntext"/>
      </w:pPr>
      <w:r w:rsidRPr="00DD47DF">
        <w:lastRenderedPageBreak/>
        <w:t>Podpora je poskytována na investice do vysoce účinných zařízení na kombinovanou výrobu tepla a elektřiny, jejichž cílem je dosažení co nejnižších emisí CO</w:t>
      </w:r>
      <w:r w:rsidRPr="00DD47DF">
        <w:rPr>
          <w:vertAlign w:val="subscript"/>
        </w:rPr>
        <w:t>2</w:t>
      </w:r>
      <w:r w:rsidRPr="00DD47DF">
        <w:t xml:space="preserve"> a maximální snížení znečištění ovzduší a zajištění ekonomické udržitelnosti. Kromě těchto podmínek by veškeré investice do modernizace stávajících zařízení na vysoce účinná zařízení na kombinovanou výrobu tepla a elektřiny měly vést ke snížení emisí CO</w:t>
      </w:r>
      <w:r w:rsidRPr="00DD47DF">
        <w:rPr>
          <w:vertAlign w:val="subscript"/>
        </w:rPr>
        <w:t>2</w:t>
      </w:r>
      <w:r w:rsidRPr="00DD47DF">
        <w:t xml:space="preserve"> nejméně o 30 % ve srovnání se stávajícími zařízeními. Tento požadavek na snížení emisí CO</w:t>
      </w:r>
      <w:r w:rsidRPr="00DD47DF">
        <w:rPr>
          <w:vertAlign w:val="subscript"/>
        </w:rPr>
        <w:t>2</w:t>
      </w:r>
      <w:r w:rsidRPr="00DD47DF">
        <w:t xml:space="preserve"> bude vztažen pouze k výrobě tepla odpovídající výrobě navrhované kogenerace, tj. pouze části z celkové výroby tepla daného zdroje, přičemž předmětem hodnocení by mělo být porovnání globálních emisí odpovídajících oddělené výrobě elektřiny a tepla a navrhované výrobě kogenerační.</w:t>
      </w:r>
    </w:p>
    <w:p w14:paraId="2EFBA106" w14:textId="77777777" w:rsidR="002C72B3" w:rsidRPr="00DD47DF" w:rsidRDefault="002C72B3" w:rsidP="002C72B3">
      <w:pPr>
        <w:pStyle w:val="Standardntext"/>
      </w:pPr>
      <w:r w:rsidRPr="00DD47DF">
        <w:t>V případě nových zařízení by mělo být dosaženo alespoň 10% nárůstu energetické účinnosti ve srovnání s oddělenou výrobou elektřiny a tepla při využití nejlepších dostupných technologií. Investiční podporu pro vysoce účinnou kombinovanou výrobu tepla a elektřiny na bázi zemního plynu lze poskytnout, pokud to nebude mít za následek vytlačení nízkouhlíkových řešení a pokud by alternativní řešení bylo méně účinné a s vyšším obsahem uhlíku.</w:t>
      </w:r>
    </w:p>
    <w:p w14:paraId="065D26C5" w14:textId="77777777" w:rsidR="00526991" w:rsidRPr="00DD47DF" w:rsidRDefault="002C72B3" w:rsidP="002C72B3">
      <w:pPr>
        <w:pStyle w:val="Standardntext"/>
      </w:pPr>
      <w:r w:rsidRPr="00DD47DF">
        <w:t>V řádně odůvodněných případech mohou být investice určeny i pro kotle na biomasu nebo plynná paliva, pokud je v těchto případech dosažené zvýšení energetické účinnosti významné a jejich potřeba je zvláště naléhavá. Investice by měly přispět ke snížení emisí CO</w:t>
      </w:r>
      <w:r w:rsidRPr="00DD47DF">
        <w:rPr>
          <w:vertAlign w:val="subscript"/>
        </w:rPr>
        <w:t>2</w:t>
      </w:r>
      <w:r w:rsidRPr="00DD47DF">
        <w:t xml:space="preserve"> a ke značným úsporám energie. Mohou být podporovány pouze v případě, kdy není rozšíření centrálního zásobování teplem ekonomicky proveditelné. Podpora by měla být přednostně prováděna prostřednictvím finančních nástrojů na základě výsledků předběžných posouzení.</w:t>
      </w:r>
    </w:p>
    <w:p w14:paraId="3EA500E6" w14:textId="77777777" w:rsidR="008614C4" w:rsidRPr="00DD47DF" w:rsidRDefault="00627F71" w:rsidP="00627F71">
      <w:pPr>
        <w:pStyle w:val="Standardntext"/>
      </w:pPr>
      <w:r w:rsidRPr="00DD47DF">
        <w:t xml:space="preserve">Výše uvedená opatření budou realizována jako souhrn několika opatření (komplexní projekty) dle doporučení vyplývající z energetického auditu. </w:t>
      </w:r>
      <w:r w:rsidR="008614C4" w:rsidRPr="00DD47DF">
        <w:t>Prioritně budou podporovány projekty komplexních opatřeních, doporučených v energetickém auditu či energetickém posudku, za účelem maximalizace úspor energie.</w:t>
      </w:r>
    </w:p>
    <w:p w14:paraId="5B204D45" w14:textId="77777777" w:rsidR="008614C4" w:rsidRDefault="00627F71" w:rsidP="008614C4">
      <w:pPr>
        <w:pStyle w:val="Standardntext"/>
      </w:pPr>
      <w:r w:rsidRPr="00DD47DF">
        <w:t>Způsobilé výdaje budou veškeré investiční náklady mající vliv na úsporu energie, stavební náklady, pořízení technologie, zpracování projektové dokumentace a energetického auditu</w:t>
      </w:r>
      <w:r w:rsidR="0020357B" w:rsidRPr="00DD47DF">
        <w:t>, energetického posudku</w:t>
      </w:r>
      <w:r w:rsidRPr="00DD47DF">
        <w:t xml:space="preserve"> atd.</w:t>
      </w:r>
      <w:r w:rsidR="008614C4" w:rsidRPr="00DD47DF">
        <w:t xml:space="preserve"> Podpora se nesmí poskytnout velkým podnikům na energetické audity prováděné podle čl. 8 odst. 4 směrnice 2012/27/EU.</w:t>
      </w:r>
    </w:p>
    <w:p w14:paraId="00E0F435" w14:textId="77777777" w:rsidR="00933C64" w:rsidRDefault="00933C64" w:rsidP="00933C64">
      <w:pPr>
        <w:jc w:val="both"/>
        <w:rPr>
          <w:sz w:val="24"/>
          <w:szCs w:val="24"/>
        </w:rPr>
      </w:pPr>
      <w:r w:rsidRPr="00933C64">
        <w:rPr>
          <w:sz w:val="24"/>
          <w:szCs w:val="24"/>
        </w:rPr>
        <w:t>V případě projektu, který bude obsahovat podporu instalace akumulace elektrické energie, musí být akumulátor provozován v energetickém hospodářství, které má vlastní zdroj elektrické energie z obnovitelných zdrojů (např. FVE), nebo z kombinované výroby elektřiny a tepla (mimo uhlí, LTO, TTO). Současně musí být splněna komplexnost projektu. Tzn., že nebude podpořena samostatná instalace akumulátoru elektřiny, resp. projekt musí obsahovat více opatření. Smyslem podpory baterií je zvýšení využití elektřiny z obnovitelných zdrojů (intermitentní zdroj) na úkor spotřeby elektřiny z distribučních nebo přenosové soustavy, kdy podíl elektřiny z fosilních zdrojů v ČR stále v rámci energetického mixu výroby elektřiny představuje kolem 50 %. Současně spotřebou elektřiny vyrobené v místě spotřeby dochází ke snižování ztrát při distribuci a přenosu elektřiny od výrobce k spotřebiteli. Dochází tedy ke zvýšení účinnosti celého řetězce transformace energií až po konečnou spotřebu.</w:t>
      </w:r>
    </w:p>
    <w:p w14:paraId="5298E18C" w14:textId="77777777" w:rsidR="00933C64" w:rsidRPr="00933C64" w:rsidRDefault="00933C64" w:rsidP="00933C64">
      <w:pPr>
        <w:jc w:val="both"/>
        <w:rPr>
          <w:sz w:val="24"/>
          <w:szCs w:val="24"/>
        </w:rPr>
      </w:pPr>
    </w:p>
    <w:p w14:paraId="3F67C591" w14:textId="5105479B" w:rsidR="00933C64" w:rsidRPr="00DD47DF" w:rsidRDefault="00933C64" w:rsidP="00933C64">
      <w:pPr>
        <w:pStyle w:val="Standardntext"/>
      </w:pPr>
      <w:r w:rsidRPr="00933C64">
        <w:t xml:space="preserve">Z pohledu provozního režimu využití se předpokládá pravidelné cyklické zatěžování akumulátorů v rámci aplikací vykrývání energetických špiček pro lepší stanovení příkonových hodnot z distribuční soustavy a efektivnějšího využití zdroje, využívání sluneční energie získané z FVE například v noci (osvětlení) nebo v nočním provozu, pro překlenutí pravidelného času v době energetické špičky či energetické nedostatečnosti atd. V těchto aplikacích se pravidelně akumulátory dobíjejí volnými (plánovanými) přebytky z výroby a </w:t>
      </w:r>
      <w:r w:rsidRPr="00933C64">
        <w:lastRenderedPageBreak/>
        <w:t>pravidelně a plánovaně se také z těchto akumulátorů dodává v příkladném shora uvedených případech energie ke spotřebě.</w:t>
      </w:r>
    </w:p>
    <w:p w14:paraId="0141487B" w14:textId="780EB814" w:rsidR="00D01FDB" w:rsidRPr="00DD47DF" w:rsidRDefault="00BC7187" w:rsidP="00D01FDB">
      <w:pPr>
        <w:pStyle w:val="Standardntext"/>
      </w:pPr>
      <w:r w:rsidRPr="004617EF">
        <w:t>Podpora na výstavbu budov s téměř nulovou spotřebou</w:t>
      </w:r>
      <w:r w:rsidR="00D01FDB" w:rsidRPr="00DD47DF">
        <w:t xml:space="preserve"> bude poskytnuta v takovém objemu, aby investoři nebyli motivováni k výstavbě nových budov, nýbrž pouze ke zlepšení energetické účinnosti těch, které by beztak byly postaveny. V některých případech lze novostavbu na opuštěném průmyslovém pozemku podle českého stavebního zákona považovat za rozsáhlou rekonstrukci, i pokud je původní nefunkční budova stržena. Takovéto případy budou posuzovány jednotlivě. Je-li budova používána a spotřebovává energii, bude způsobilá k podpoře na energeticky účinnou renovaci podle téhož specifického cíle.</w:t>
      </w:r>
    </w:p>
    <w:p w14:paraId="40864630" w14:textId="77777777" w:rsidR="00D01FDB" w:rsidRPr="00DD47DF" w:rsidRDefault="00D01FDB" w:rsidP="00D01FDB">
      <w:pPr>
        <w:pStyle w:val="Standardntext"/>
      </w:pPr>
      <w:r w:rsidRPr="00DD47DF">
        <w:t>Úroveň podpory bude vypočtena na základě modelových případů a stanovena jako fixní částka na metr čtvereční podlahové plochy (relevantní z energetického hlediska). Tento přístup by měl pomoci zabránit a) tomu, že budou podporovány předražené investice, b) zvýšené administrativní zátěži.</w:t>
      </w:r>
    </w:p>
    <w:p w14:paraId="7A3F7F6B" w14:textId="77777777" w:rsidR="00526991" w:rsidRPr="00DD47DF" w:rsidRDefault="00D01FDB" w:rsidP="00526991">
      <w:pPr>
        <w:pStyle w:val="Standardntext"/>
      </w:pPr>
      <w:r w:rsidRPr="00DD47DF">
        <w:t>Toto opatření je třeba vnímat jako propagaci výstavby budov s téměř nulovou spotřebou energie v souladu s článkem 9 směrnice o energetické účinnosti budov (2010/31/EU)</w:t>
      </w:r>
      <w:r w:rsidR="00DD4877" w:rsidRPr="00DD47DF">
        <w:t>.</w:t>
      </w:r>
    </w:p>
    <w:p w14:paraId="71082B52" w14:textId="77777777" w:rsidR="00627F71" w:rsidRPr="00DD47DF" w:rsidRDefault="00526991" w:rsidP="008614C4">
      <w:pPr>
        <w:pStyle w:val="Standardntext"/>
      </w:pPr>
      <w:r w:rsidRPr="00DD47DF">
        <w:t xml:space="preserve">Způsobilé výdaje budou definovány </w:t>
      </w:r>
      <w:r w:rsidR="008614C4" w:rsidRPr="00DD47DF">
        <w:t>v souladu s Nařízením Komise (EU) č. 651/2014 ze dne 17. června 2014,  oddílem  7 – Podpora na ochranu životního prostředí.</w:t>
      </w:r>
    </w:p>
    <w:p w14:paraId="6172E7F1" w14:textId="77777777" w:rsidR="00FF7D38" w:rsidRPr="00DD47DF" w:rsidRDefault="00C776B7" w:rsidP="00FF7D38">
      <w:pPr>
        <w:pStyle w:val="Standardntext"/>
      </w:pPr>
      <w:r w:rsidRPr="00DD47DF">
        <w:t xml:space="preserve">Výstupy </w:t>
      </w:r>
      <w:r w:rsidR="00FF7D38" w:rsidRPr="00DD47DF">
        <w:t xml:space="preserve">všech těchto opatření </w:t>
      </w:r>
      <w:r w:rsidR="00E37DD9" w:rsidRPr="00DD47DF">
        <w:t xml:space="preserve">představují </w:t>
      </w:r>
      <w:r w:rsidRPr="00DD47DF">
        <w:t xml:space="preserve">zásadní příspěvek k naplnění směrnice 2012/27/EU o energetické účinnosti, což je </w:t>
      </w:r>
      <w:r w:rsidR="00E37DD9" w:rsidRPr="00DD47DF">
        <w:t>i výsledkem</w:t>
      </w:r>
      <w:r w:rsidRPr="00DD47DF">
        <w:t xml:space="preserve"> tohoto specifického cíle.</w:t>
      </w:r>
    </w:p>
    <w:p w14:paraId="1038EBD6" w14:textId="77777777" w:rsidR="0058402E" w:rsidRPr="00DD47DF" w:rsidRDefault="0058402E" w:rsidP="001D35B1">
      <w:pPr>
        <w:pStyle w:val="Standardntext"/>
      </w:pPr>
      <w:r w:rsidRPr="00DD47DF">
        <w:rPr>
          <w:b/>
        </w:rPr>
        <w:t xml:space="preserve">Hlavní cílová skupina: </w:t>
      </w:r>
      <w:r w:rsidR="00127389" w:rsidRPr="00DD47DF">
        <w:t>P</w:t>
      </w:r>
      <w:r w:rsidRPr="00DD47DF">
        <w:t>odnikatelé z oblasti především MSP,</w:t>
      </w:r>
      <w:r w:rsidR="00A22765" w:rsidRPr="00DD47DF">
        <w:t xml:space="preserve"> ale i možných velkých podniků.</w:t>
      </w:r>
    </w:p>
    <w:p w14:paraId="72BC17B4" w14:textId="77777777" w:rsidR="0058402E" w:rsidRPr="00DD47DF" w:rsidRDefault="0058402E" w:rsidP="001D35B1">
      <w:pPr>
        <w:pStyle w:val="Standardntext"/>
        <w:rPr>
          <w:color w:val="FF0000"/>
        </w:rPr>
      </w:pPr>
      <w:r w:rsidRPr="00DD47DF">
        <w:rPr>
          <w:b/>
        </w:rPr>
        <w:t xml:space="preserve">Cílové území: </w:t>
      </w:r>
      <w:r w:rsidR="001E0AA2" w:rsidRPr="00DD47DF">
        <w:t xml:space="preserve">Území České republiky, </w:t>
      </w:r>
      <w:r w:rsidR="008771A5" w:rsidRPr="00DD47DF">
        <w:t xml:space="preserve">mimo </w:t>
      </w:r>
      <w:r w:rsidR="000D70DC" w:rsidRPr="00DD47DF">
        <w:t xml:space="preserve">hl. m. Prahy. </w:t>
      </w:r>
      <w:r w:rsidR="00015039" w:rsidRPr="00DD47DF">
        <w:t>Předpokládá se plošné směrování intervencí bez vymezení územní dimenze (bude vymezeno sektory průmyslové činnosti).</w:t>
      </w:r>
    </w:p>
    <w:p w14:paraId="34E63F9D" w14:textId="77777777" w:rsidR="00545498" w:rsidRPr="00DD47DF" w:rsidRDefault="00545498" w:rsidP="00627F71">
      <w:pPr>
        <w:pStyle w:val="Standardntext"/>
      </w:pPr>
      <w:r w:rsidRPr="00DD47DF">
        <w:rPr>
          <w:b/>
        </w:rPr>
        <w:t xml:space="preserve">Typy příjemců: </w:t>
      </w:r>
      <w:r w:rsidRPr="00DD47DF">
        <w:t>Podnikatelské subjekty (malé, střední a případně velké podniky); pro intervence v oblasti úspor energie (zateplování výrobních a podnikatelských objektů</w:t>
      </w:r>
      <w:r w:rsidR="00112C3A" w:rsidRPr="00DD47DF">
        <w:t>, komplexní řešení úspor energie</w:t>
      </w:r>
      <w:r w:rsidRPr="00DD47DF">
        <w:t>) rovněž zemědělští podnikatelé, podnikatelé v potravinářství, a maloobchodní organizace</w:t>
      </w:r>
      <w:r w:rsidR="00E24193" w:rsidRPr="00DD47DF">
        <w:t>, podnikatelé v oblasti akvakultury</w:t>
      </w:r>
      <w:r w:rsidRPr="00DD47DF">
        <w:t>.</w:t>
      </w:r>
    </w:p>
    <w:p w14:paraId="0023412E" w14:textId="77777777" w:rsidR="00627F71" w:rsidRPr="00DD47DF" w:rsidRDefault="00627F71" w:rsidP="00627F71">
      <w:pPr>
        <w:pStyle w:val="Standardntext"/>
      </w:pPr>
      <w:r w:rsidRPr="00DD47DF">
        <w:t>K začlenění velkých podniků mezi podporované typy příjemců (dle čl. 3 odst. 1 písm. b) nařízení o EFRR) je nutné upozornit na specifickou situaci České republiky, tj. vysoký podíl velkých firem vzhledem ke struktuře ekonomiky a nadprůměrný podíl průmyslu a jeho dlouhodobý význam a tradice. Vzhledem k tomuto vysokému podílu velkých podniků a zejména jejich značnému potenciálu úspory energie je nezbytné jejich začlenění mezi podporované subjekty. Vyloučení či omezení podpory velkých podniků může ohrozit splnění směrnice o energetické účinnosti pro ČR a tím pádem i plnění společných cílů EU v oblasti energetické účinnosti.</w:t>
      </w:r>
    </w:p>
    <w:p w14:paraId="63883EB3" w14:textId="77777777" w:rsidR="0058402E" w:rsidRPr="00DD47DF" w:rsidRDefault="00627F71" w:rsidP="00627F71">
      <w:pPr>
        <w:pStyle w:val="Standardntext"/>
      </w:pPr>
      <w:r w:rsidRPr="00DD47DF">
        <w:t xml:space="preserve">V souvislosti s podporou velkých podniků je také důležité zmínit, že při realizaci projektů (např. při zpracování projektové dokumentace, samotných stavebních pracích či různých dodávkách zařízení) se vytváří prostor pro dodávky či subdodávky ze strany MSP, a tudíž podpora velkých podniků </w:t>
      </w:r>
      <w:r w:rsidR="009D1769" w:rsidRPr="00DD47DF">
        <w:t>má pozitivní efekty i pro sektor MSP</w:t>
      </w:r>
      <w:r w:rsidRPr="00DD47DF">
        <w:t>.</w:t>
      </w:r>
    </w:p>
    <w:p w14:paraId="7CDA53AF" w14:textId="77777777" w:rsidR="0058402E" w:rsidRPr="00DD47DF" w:rsidRDefault="00BA6461" w:rsidP="005F43DF">
      <w:pPr>
        <w:pStyle w:val="Nadpis5"/>
        <w:numPr>
          <w:ilvl w:val="4"/>
          <w:numId w:val="21"/>
        </w:numPr>
      </w:pPr>
      <w:r w:rsidRPr="00DD47DF">
        <w:t>Hlavní zásady pro výběr operací</w:t>
      </w:r>
    </w:p>
    <w:p w14:paraId="5EC9560F"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6CF77675" w14:textId="77777777" w:rsidR="00B12F31" w:rsidRPr="00DD47DF" w:rsidRDefault="00B12F31" w:rsidP="00B12F31">
      <w:pPr>
        <w:pStyle w:val="Standardntext"/>
      </w:pPr>
      <w:r w:rsidRPr="00DD47DF">
        <w:t>V rámci výběru a hodnocení projektů budou posuzována především následující kritéria:</w:t>
      </w:r>
    </w:p>
    <w:p w14:paraId="6C884DC1" w14:textId="77777777" w:rsidR="00B12F31" w:rsidRPr="00DD47DF" w:rsidRDefault="00B12F31" w:rsidP="00D927A2">
      <w:pPr>
        <w:pStyle w:val="Standardntext"/>
        <w:numPr>
          <w:ilvl w:val="0"/>
          <w:numId w:val="43"/>
        </w:numPr>
      </w:pPr>
      <w:r w:rsidRPr="00DD47DF">
        <w:lastRenderedPageBreak/>
        <w:t xml:space="preserve">Kvalita a potřebnost </w:t>
      </w:r>
      <w:r w:rsidR="00C0640C" w:rsidRPr="00DD47DF">
        <w:t xml:space="preserve">projektu </w:t>
      </w:r>
      <w:r w:rsidRPr="00DD47DF">
        <w:t xml:space="preserve">s ohledem na </w:t>
      </w:r>
      <w:r w:rsidR="00DC4382" w:rsidRPr="00DD47DF">
        <w:t>jeho</w:t>
      </w:r>
      <w:r w:rsidRPr="00DD47DF">
        <w:t xml:space="preserve"> ekologické příno</w:t>
      </w:r>
      <w:r w:rsidR="00DC4382" w:rsidRPr="00DD47DF">
        <w:t>sy a nově zavedené technologie; z</w:t>
      </w:r>
      <w:r w:rsidRPr="00DD47DF">
        <w:t>ejména bude kladen důraz na poměr investičních nákladů k úspoře energii a redukci emisí znečišťujících látek.</w:t>
      </w:r>
    </w:p>
    <w:p w14:paraId="441BCAA4" w14:textId="77777777" w:rsidR="00B12F31" w:rsidRPr="00DD47DF" w:rsidRDefault="00B12F31" w:rsidP="00D927A2">
      <w:pPr>
        <w:pStyle w:val="Standardntext"/>
        <w:numPr>
          <w:ilvl w:val="0"/>
          <w:numId w:val="43"/>
        </w:numPr>
        <w:ind w:left="714" w:hanging="357"/>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7939D436" w14:textId="47CB73E0" w:rsidR="00B12F31" w:rsidRPr="00DD47DF" w:rsidRDefault="00B12F31" w:rsidP="00DC0681">
      <w:pPr>
        <w:pStyle w:val="Standardntext"/>
        <w:numPr>
          <w:ilvl w:val="0"/>
          <w:numId w:val="43"/>
        </w:numPr>
      </w:pPr>
      <w:r w:rsidRPr="00DD47DF">
        <w:t>Vliv projektu na oblast klimatu a ovzduší. Nad rámec výše uvedených indikátorů specifického cíle bude na projektové úrovni interně monitorován</w:t>
      </w:r>
      <w:r w:rsidR="001E054A" w:rsidRPr="00DD47DF">
        <w:t xml:space="preserve"> a vykazován EK</w:t>
      </w:r>
      <w:r w:rsidRPr="00DD47DF">
        <w:t xml:space="preserve"> vliv daného projektu na oblast klimatu prostřednictvím indikátoru „Snížení emisí CO2“</w:t>
      </w:r>
      <w:r w:rsidR="00C306CB" w:rsidRPr="00DD47DF">
        <w:t xml:space="preserve"> (3 61 13)</w:t>
      </w:r>
      <w:r w:rsidRPr="00DD47DF">
        <w:t xml:space="preserve"> a dále na vliv na oblast ovzduší prostřednictvím indikátoru „</w:t>
      </w:r>
      <w:r w:rsidR="00DC0681" w:rsidRPr="00DC0681">
        <w:t>Množství emisí primárních částic a prekurzorů sekundárních částic</w:t>
      </w:r>
      <w:r w:rsidRPr="00DD47DF">
        <w:t>“</w:t>
      </w:r>
      <w:r w:rsidR="00C306CB" w:rsidRPr="00DD47DF">
        <w:t xml:space="preserve"> (3 61 11)</w:t>
      </w:r>
      <w:r w:rsidR="00E624A1" w:rsidRPr="00DD47DF">
        <w:rPr>
          <w:rStyle w:val="Znakapoznpodarou"/>
        </w:rPr>
        <w:footnoteReference w:id="61"/>
      </w:r>
      <w:r w:rsidRPr="00DD47DF">
        <w:t xml:space="preserve">. Tyto </w:t>
      </w:r>
      <w:r w:rsidR="00032047" w:rsidRPr="00DD47DF">
        <w:t xml:space="preserve">environmentální </w:t>
      </w:r>
      <w:r w:rsidRPr="00DD47DF">
        <w:t>indikátory budou dále agregovány pro potřeby Dohody o partnerství</w:t>
      </w:r>
      <w:r w:rsidR="00E624A1" w:rsidRPr="00DD47DF">
        <w:t xml:space="preserve"> a Výročních zpráv OP PIK</w:t>
      </w:r>
      <w:r w:rsidRPr="00DD47DF">
        <w:t>.</w:t>
      </w:r>
    </w:p>
    <w:p w14:paraId="3A8F0544" w14:textId="77777777" w:rsidR="0038435E" w:rsidRPr="00DD47DF" w:rsidRDefault="0038435E" w:rsidP="0038435E">
      <w:pPr>
        <w:pStyle w:val="Standardntext"/>
        <w:numPr>
          <w:ilvl w:val="0"/>
          <w:numId w:val="43"/>
        </w:numPr>
      </w:pPr>
      <w:r w:rsidRPr="00DD47DF">
        <w:t>Projekt musí splňovat alespoň požadavky na úrovni kladené spodní polovinou intervalu nejlepších dostupných technik</w:t>
      </w:r>
      <w:r w:rsidRPr="00DD47DF" w:rsidDel="00A808D6">
        <w:t xml:space="preserve"> </w:t>
      </w:r>
      <w:r w:rsidRPr="00DD47DF">
        <w:rPr>
          <w:rStyle w:val="Znakapoznpodarou"/>
        </w:rPr>
        <w:footnoteReference w:id="62"/>
      </w:r>
      <w:r w:rsidRPr="00DD47DF">
        <w:t>.</w:t>
      </w:r>
    </w:p>
    <w:p w14:paraId="1BC9E00A" w14:textId="77777777" w:rsidR="001B4E71" w:rsidRPr="00DD47DF" w:rsidRDefault="001B4E71" w:rsidP="00D927A2">
      <w:pPr>
        <w:pStyle w:val="Standardntext"/>
        <w:numPr>
          <w:ilvl w:val="0"/>
          <w:numId w:val="43"/>
        </w:numPr>
      </w:pPr>
      <w:r w:rsidRPr="00DD47DF">
        <w:t>Projekt musí splnit nákladově optimální úroveň, která bude stanovena v prováděcí dokumentaci.</w:t>
      </w:r>
    </w:p>
    <w:p w14:paraId="2AA4AD69" w14:textId="77777777" w:rsidR="00D3112E" w:rsidRPr="00DD47DF" w:rsidRDefault="00D3112E" w:rsidP="00441D67">
      <w:pPr>
        <w:pStyle w:val="Odstavecseseznamem"/>
        <w:numPr>
          <w:ilvl w:val="0"/>
          <w:numId w:val="43"/>
        </w:numPr>
        <w:spacing w:after="120"/>
        <w:ind w:left="714" w:hanging="357"/>
        <w:contextualSpacing w:val="0"/>
        <w:jc w:val="both"/>
      </w:pPr>
      <w:r w:rsidRPr="00DD47DF">
        <w:rPr>
          <w:sz w:val="24"/>
          <w:szCs w:val="24"/>
        </w:rPr>
        <w:t>Projekty obsahující kombinovanou výrobu elektřiny a tepla budou podporovány jenom v případě, pokud splní kritéria vysokoúčinné výroby elektřiny a tepla.</w:t>
      </w:r>
    </w:p>
    <w:p w14:paraId="0A9D5D74" w14:textId="77777777" w:rsidR="000B12B7" w:rsidRPr="00DD47DF" w:rsidRDefault="000B12B7" w:rsidP="00D927A2">
      <w:pPr>
        <w:pStyle w:val="Standardntext"/>
        <w:numPr>
          <w:ilvl w:val="0"/>
          <w:numId w:val="43"/>
        </w:numPr>
      </w:pPr>
      <w:r w:rsidRPr="00DD47DF">
        <w:t>Energetický audit, energetický posudek a průkaz energetické náročnosti budovy bude sloužit k určení předpokládané výše úspor dle opatření a následně po realizaci také k jeho monitoringu a verifikaci.</w:t>
      </w:r>
    </w:p>
    <w:p w14:paraId="5216E97B" w14:textId="4B77CD2F" w:rsidR="00D3112E" w:rsidRPr="00DD47DF" w:rsidRDefault="00AC1814" w:rsidP="00AC1814">
      <w:pPr>
        <w:pStyle w:val="Odstavecseseznamem"/>
        <w:numPr>
          <w:ilvl w:val="0"/>
          <w:numId w:val="43"/>
        </w:numPr>
        <w:spacing w:after="120"/>
        <w:contextualSpacing w:val="0"/>
        <w:jc w:val="both"/>
      </w:pPr>
      <w:r w:rsidRPr="00AC1814">
        <w:rPr>
          <w:sz w:val="24"/>
          <w:szCs w:val="24"/>
        </w:rPr>
        <w:t>Modernizace soustav osvětlení budov a průmyslových areálů bude podpořena dotací pouze v případě, že bude součástí komplexního projektu. Jako samostatné opatření lze podpořit formou finančního nástroje.</w:t>
      </w:r>
    </w:p>
    <w:p w14:paraId="5407F251" w14:textId="77777777" w:rsidR="000B12B7" w:rsidRPr="00DD47DF" w:rsidRDefault="000B12B7" w:rsidP="00D01FDB">
      <w:pPr>
        <w:pStyle w:val="Standardntext"/>
        <w:numPr>
          <w:ilvl w:val="0"/>
          <w:numId w:val="43"/>
        </w:numPr>
      </w:pPr>
      <w:r w:rsidRPr="00DD47DF">
        <w:t xml:space="preserve">Podpořen nebude projekt </w:t>
      </w:r>
      <w:r w:rsidR="00DE7B56" w:rsidRPr="00DD47DF">
        <w:t xml:space="preserve">instalace a </w:t>
      </w:r>
      <w:r w:rsidRPr="00DD47DF">
        <w:t>rekonstrukce zařízení (zdroje) nad 20MW tepelného příkon (po rekonstrukci)</w:t>
      </w:r>
      <w:r w:rsidR="00DE7B56" w:rsidRPr="00DD47DF">
        <w:t xml:space="preserve">, </w:t>
      </w:r>
      <w:r w:rsidR="00D01FDB" w:rsidRPr="00DD47DF">
        <w:t>s výjimkou zařízení využívajících výhradně biomasu</w:t>
      </w:r>
      <w:r w:rsidRPr="00DD47DF">
        <w:t>.</w:t>
      </w:r>
    </w:p>
    <w:p w14:paraId="4FE7F713" w14:textId="77777777" w:rsidR="008614C4" w:rsidRPr="00DD47DF" w:rsidRDefault="00D01FDB" w:rsidP="00DE7B56">
      <w:pPr>
        <w:pStyle w:val="Standardntext"/>
        <w:numPr>
          <w:ilvl w:val="0"/>
          <w:numId w:val="43"/>
        </w:numPr>
      </w:pPr>
      <w:r w:rsidRPr="00DD47DF">
        <w:t>Žádná podpora nebude poskytnuta na spolufinancování zařízení, na něž se vztahuje směrnice o průmyslových emisích, která je použitelná na zařízení pro výrobu energie a dálkové vytápění nad 50 MW.</w:t>
      </w:r>
    </w:p>
    <w:p w14:paraId="10FE7217" w14:textId="77777777" w:rsidR="00D3112E" w:rsidRPr="00DD47DF" w:rsidRDefault="002C72B3" w:rsidP="00441D67">
      <w:pPr>
        <w:pStyle w:val="Odstavecseseznamem"/>
        <w:numPr>
          <w:ilvl w:val="0"/>
          <w:numId w:val="43"/>
        </w:numPr>
        <w:spacing w:after="120"/>
        <w:ind w:left="714" w:hanging="357"/>
        <w:contextualSpacing w:val="0"/>
        <w:jc w:val="both"/>
      </w:pPr>
      <w:r w:rsidRPr="00DD47DF">
        <w:rPr>
          <w:sz w:val="24"/>
        </w:rPr>
        <w:t xml:space="preserve">Životnost investic v tomto odvětví se počítá na desítky let, a měly by proto odpovídat příslušným ustanovením a politikám právních předpisů EU. Systémy vytápění finančně </w:t>
      </w:r>
      <w:r w:rsidRPr="00DD47DF">
        <w:rPr>
          <w:sz w:val="24"/>
        </w:rPr>
        <w:lastRenderedPageBreak/>
        <w:t>podporované z OP musí již od počátku programového období splňovat minimální požadavky na energetickou účinnost a na emise platné ke konci roku 2020, jak to stanoví prováděcí opatření směrnice o ekodesignu 2009/125/ES.</w:t>
      </w:r>
    </w:p>
    <w:p w14:paraId="0C6B9C33" w14:textId="56B8F46B" w:rsidR="00D3112E" w:rsidRPr="00DD47DF" w:rsidRDefault="00E37A33" w:rsidP="00E37A33">
      <w:pPr>
        <w:pStyle w:val="Odstavecseseznamem"/>
        <w:numPr>
          <w:ilvl w:val="0"/>
          <w:numId w:val="43"/>
        </w:numPr>
        <w:spacing w:after="120"/>
        <w:contextualSpacing w:val="0"/>
        <w:jc w:val="both"/>
      </w:pPr>
      <w:r w:rsidRPr="00E37A33">
        <w:rPr>
          <w:sz w:val="24"/>
          <w:szCs w:val="24"/>
        </w:rPr>
        <w:t>Podpořeny budou pouze projekty, které splňují požadavky mezních hodnot emisí pro spalovací zařízení podle Směrnice 2015/2193/ES o omezení emisí některých znečišťujících látek do ovzduší ze středních spalovacích zařízení. Prioritně budou podporovány projekty, které přispívají k plnění směrnice o nových národních emisních stropech, která vstoupila v platnost dne 31. prosince 2016.</w:t>
      </w:r>
    </w:p>
    <w:p w14:paraId="1753FAB7" w14:textId="77777777" w:rsidR="000B12B7" w:rsidRPr="00DD47DF" w:rsidRDefault="000B12B7" w:rsidP="00D3112E">
      <w:pPr>
        <w:pStyle w:val="Standardntext"/>
        <w:numPr>
          <w:ilvl w:val="0"/>
          <w:numId w:val="43"/>
        </w:numPr>
      </w:pPr>
      <w:r w:rsidRPr="00DD47DF">
        <w:t xml:space="preserve">Podpořeny nebudou projekty zaměřené na rekonstrukci/výstavbu zdroje kombinované výroby elektřiny a tepla a monovýroby tepla, která využívá jako palivo uhlí včetně  spoluspalování uhlí a biomasy. </w:t>
      </w:r>
    </w:p>
    <w:p w14:paraId="0BC5FC13" w14:textId="77777777" w:rsidR="008614C4" w:rsidRPr="00DD47DF" w:rsidRDefault="000B12B7" w:rsidP="00D927A2">
      <w:pPr>
        <w:pStyle w:val="Standardntext"/>
        <w:numPr>
          <w:ilvl w:val="0"/>
          <w:numId w:val="43"/>
        </w:numPr>
      </w:pPr>
      <w:r w:rsidRPr="00DD47DF">
        <w:t>Projekt nesmí být financován provozní podporou obnovitelných zdrojů energie.</w:t>
      </w:r>
    </w:p>
    <w:p w14:paraId="45642437" w14:textId="77777777" w:rsidR="000B12B7" w:rsidRPr="00DD47DF" w:rsidRDefault="000B12B7" w:rsidP="00D927A2">
      <w:pPr>
        <w:pStyle w:val="Standardntext"/>
        <w:numPr>
          <w:ilvl w:val="0"/>
          <w:numId w:val="43"/>
        </w:numPr>
      </w:pPr>
      <w:r w:rsidRPr="00DD47DF">
        <w:t>V případě přechodu z uhelného zdroje na biomasu musí být projekt v souladu se Zprávou EK z července 2014 „o současném stavu udržitelnosti pevné a plynné biomasy používání pro výrobu elektrické energie, vytápění a chlazení v EU“.</w:t>
      </w:r>
    </w:p>
    <w:p w14:paraId="2DCE3E7A" w14:textId="77777777" w:rsidR="00351AB8" w:rsidRPr="00DD47DF" w:rsidRDefault="00D01FDB" w:rsidP="00351AB8">
      <w:pPr>
        <w:pStyle w:val="Standardntext"/>
        <w:numPr>
          <w:ilvl w:val="0"/>
          <w:numId w:val="43"/>
        </w:numPr>
      </w:pPr>
      <w:r w:rsidRPr="00DD47DF">
        <w:t>Projekty musí být v souladu s udržitelným využíváním dřevní biomasy a působnost bude stanovena na regionální úrovni, aby se zajistilo, že využívání dřevní biomasy nepřekročí funkční mez umožňující obnovu přirozených ekosystémů</w:t>
      </w:r>
      <w:r w:rsidR="00351AB8" w:rsidRPr="00DD47DF">
        <w:t>.</w:t>
      </w:r>
    </w:p>
    <w:p w14:paraId="5C3FA8C2" w14:textId="77777777" w:rsidR="007C6B14" w:rsidRPr="00DD47DF" w:rsidRDefault="007C6B14" w:rsidP="007C6B14">
      <w:pPr>
        <w:pStyle w:val="Standardntext"/>
        <w:numPr>
          <w:ilvl w:val="0"/>
          <w:numId w:val="43"/>
        </w:numPr>
      </w:pPr>
      <w:r w:rsidRPr="00DD47DF">
        <w:t>Pro podporovaná tepelná čerpadla a solární kolektory budou respektovány požadavky na energetickou účinnost stanovené prováděcím opatřením směrnice 2009/125/ES o ekodesignu pro rok 2020.</w:t>
      </w:r>
    </w:p>
    <w:p w14:paraId="1139FD89" w14:textId="77777777" w:rsidR="002C72B3" w:rsidRPr="00DD47DF" w:rsidRDefault="002C72B3" w:rsidP="002C72B3">
      <w:pPr>
        <w:pStyle w:val="Standardntext"/>
        <w:numPr>
          <w:ilvl w:val="0"/>
          <w:numId w:val="43"/>
        </w:numPr>
      </w:pPr>
      <w:r w:rsidRPr="00DD47DF">
        <w:t>Hlavní zásady týkající se investic do vysoce účinné kombinované výroby tepla a elektřiny:</w:t>
      </w:r>
    </w:p>
    <w:p w14:paraId="78C02930" w14:textId="77777777" w:rsidR="002C72B3" w:rsidRPr="00DD47DF" w:rsidRDefault="002C72B3" w:rsidP="00F44C65">
      <w:pPr>
        <w:pStyle w:val="Standardntext"/>
        <w:numPr>
          <w:ilvl w:val="1"/>
          <w:numId w:val="43"/>
        </w:numPr>
      </w:pPr>
      <w:r w:rsidRPr="00DD47DF">
        <w:t>Měly by být vybírány projekty, které zajišťují nejnižší emise CO</w:t>
      </w:r>
      <w:r w:rsidRPr="00DD47DF">
        <w:rPr>
          <w:vertAlign w:val="subscript"/>
        </w:rPr>
        <w:t>2</w:t>
      </w:r>
      <w:r w:rsidRPr="00DD47DF">
        <w:t xml:space="preserve"> a nejmenší znečištění ovzduší – zejména PM10.</w:t>
      </w:r>
    </w:p>
    <w:p w14:paraId="7EF90E05" w14:textId="77777777" w:rsidR="002C72B3" w:rsidRPr="00DD47DF" w:rsidRDefault="002C72B3" w:rsidP="00F44C65">
      <w:pPr>
        <w:pStyle w:val="Standardntext"/>
        <w:numPr>
          <w:ilvl w:val="1"/>
          <w:numId w:val="43"/>
        </w:numPr>
      </w:pPr>
      <w:r w:rsidRPr="00DD47DF">
        <w:t xml:space="preserve">Projekty by měly prokázat ekonomickou udržitelnost </w:t>
      </w:r>
    </w:p>
    <w:p w14:paraId="339BD220" w14:textId="77777777" w:rsidR="002C72B3" w:rsidRPr="00DD47DF" w:rsidRDefault="002C72B3" w:rsidP="00F44C65">
      <w:pPr>
        <w:pStyle w:val="Standardntext"/>
        <w:numPr>
          <w:ilvl w:val="1"/>
          <w:numId w:val="43"/>
        </w:numPr>
      </w:pPr>
      <w:r w:rsidRPr="00DD47DF">
        <w:t xml:space="preserve">Přednost by měly dostat projekty využívající energii z obnovitelných zdrojů. </w:t>
      </w:r>
    </w:p>
    <w:p w14:paraId="7BD8D649" w14:textId="77777777" w:rsidR="002C72B3" w:rsidRPr="00DD47DF" w:rsidRDefault="002C72B3" w:rsidP="00F44C65">
      <w:pPr>
        <w:pStyle w:val="Standardntext"/>
        <w:numPr>
          <w:ilvl w:val="1"/>
          <w:numId w:val="43"/>
        </w:numPr>
      </w:pPr>
      <w:r w:rsidRPr="00DD47DF">
        <w:t xml:space="preserve">Projekty by měly prokázat, že byly realizovány investice do zvýšení energetické účinnosti a snížení energetické náročnosti budov, jimž tato zařízení slouží, a tím bylo zajištěno, že investice se zakládají na poptávce po užitečném teple. </w:t>
      </w:r>
    </w:p>
    <w:p w14:paraId="48A1A55B" w14:textId="77777777" w:rsidR="002C72B3" w:rsidRPr="00DD47DF" w:rsidRDefault="002C72B3" w:rsidP="00F44C65">
      <w:pPr>
        <w:pStyle w:val="Standardntext"/>
        <w:numPr>
          <w:ilvl w:val="1"/>
          <w:numId w:val="43"/>
        </w:numPr>
      </w:pPr>
      <w:r w:rsidRPr="00DD47DF">
        <w:t>Všechny investice musí být v souladu s normami a právními předpisy EU v oblasti životního prostředí.</w:t>
      </w:r>
    </w:p>
    <w:p w14:paraId="7C517131" w14:textId="77777777" w:rsidR="002C72B3" w:rsidRPr="00DD47DF" w:rsidRDefault="002C72B3" w:rsidP="00F44C65">
      <w:pPr>
        <w:pStyle w:val="Standardntext"/>
        <w:numPr>
          <w:ilvl w:val="1"/>
          <w:numId w:val="43"/>
        </w:numPr>
      </w:pPr>
      <w:r w:rsidRPr="00DD47DF">
        <w:t>Mělo by být podporováno využívání poskytovatelů energetických služeb a finančních nástrojů.</w:t>
      </w:r>
    </w:p>
    <w:p w14:paraId="5B705C89" w14:textId="77777777" w:rsidR="002C72B3" w:rsidRPr="00DD47DF" w:rsidRDefault="002C72B3" w:rsidP="002C72B3">
      <w:pPr>
        <w:pStyle w:val="Standardntext"/>
        <w:numPr>
          <w:ilvl w:val="0"/>
          <w:numId w:val="43"/>
        </w:numPr>
      </w:pPr>
      <w:r w:rsidRPr="00DD47DF">
        <w:t>Hlavní zásady týkající se investic do individuálních kotlů a mikrokogeneračních jednotek:</w:t>
      </w:r>
    </w:p>
    <w:p w14:paraId="009AD7CE" w14:textId="77777777" w:rsidR="00D3112E" w:rsidRPr="00DD47DF" w:rsidRDefault="002C72B3" w:rsidP="00F44C65">
      <w:pPr>
        <w:pStyle w:val="Standardntext"/>
        <w:numPr>
          <w:ilvl w:val="1"/>
          <w:numId w:val="43"/>
        </w:numPr>
      </w:pPr>
      <w:r w:rsidRPr="00DD47DF">
        <w:t>Investice by měly vést k významnému snížení emisí CO</w:t>
      </w:r>
      <w:r w:rsidRPr="00DD47DF">
        <w:rPr>
          <w:vertAlign w:val="subscript"/>
        </w:rPr>
        <w:t>2</w:t>
      </w:r>
      <w:r w:rsidRPr="00DD47DF">
        <w:t xml:space="preserve"> v porovnání se stávajícími zařízeními (v případě přechodu na jiná paliva minimálně o 30 %).</w:t>
      </w:r>
      <w:r w:rsidR="00D3112E" w:rsidRPr="00DD47DF">
        <w:t xml:space="preserve"> Tento požadavek na snížení emisí CO2 bude vztažen pouze k výrobě tepla odpovídající výrobě navrhované mikrokogenerace, tj. pouze části z celkové výroby tepla daného zdroje, přičemž předmětem hodnocení by mělo být </w:t>
      </w:r>
      <w:r w:rsidR="00D3112E" w:rsidRPr="00DD47DF">
        <w:lastRenderedPageBreak/>
        <w:t>porovnání globálních emisí odpovídajících oddělené výrobě elektřiny a tepla a navrhované výrobě kogenerační.</w:t>
      </w:r>
    </w:p>
    <w:p w14:paraId="4F5599C1" w14:textId="77777777" w:rsidR="002C72B3" w:rsidRPr="00DD47DF" w:rsidRDefault="002C72B3" w:rsidP="00D01FDB">
      <w:pPr>
        <w:pStyle w:val="Standardntext"/>
        <w:numPr>
          <w:ilvl w:val="1"/>
          <w:numId w:val="43"/>
        </w:numPr>
      </w:pPr>
      <w:r w:rsidRPr="00DD47DF">
        <w:t>Investice by měly vést k významnému snížení emisí CO</w:t>
      </w:r>
      <w:r w:rsidRPr="00DD47DF">
        <w:rPr>
          <w:vertAlign w:val="subscript"/>
        </w:rPr>
        <w:t>2</w:t>
      </w:r>
      <w:r w:rsidRPr="00DD47DF">
        <w:t xml:space="preserve"> v porovnání se stávajícími zařízeními (v případě přechodu na </w:t>
      </w:r>
      <w:r w:rsidR="00F44C65" w:rsidRPr="00DD47DF">
        <w:t xml:space="preserve">jiná paliva minimálně o 30 %). </w:t>
      </w:r>
      <w:r w:rsidRPr="00DD47DF">
        <w:t>U individuálních kotlů, pouze v případě přechodu na jiné palivo (například z tuhých fosilních paliv na zemní plyn), neměla by se však vztahovat na výměnu stávajících plynových kotlů s novými jednotkami (vysoce účinné kondenzační kotle).</w:t>
      </w:r>
      <w:r w:rsidR="00351AB8" w:rsidRPr="00DD47DF">
        <w:t xml:space="preserve"> </w:t>
      </w:r>
      <w:r w:rsidR="00D01FDB" w:rsidRPr="00DD47DF">
        <w:t>Investice mohou zahrnovat kotle na biomasu, nebo v řádně odůvodněných případech na plynná paliva, pokud tak dojde k významnému navýšení energetické účinnosti a potřeba je obzvláště naléhavá</w:t>
      </w:r>
      <w:r w:rsidR="00351AB8" w:rsidRPr="00DD47DF">
        <w:t>.</w:t>
      </w:r>
    </w:p>
    <w:p w14:paraId="21F8697E" w14:textId="77777777" w:rsidR="002C72B3" w:rsidRPr="00DD47DF" w:rsidRDefault="002C72B3" w:rsidP="00F44C65">
      <w:pPr>
        <w:pStyle w:val="Standardntext"/>
        <w:numPr>
          <w:ilvl w:val="1"/>
          <w:numId w:val="43"/>
        </w:numPr>
      </w:pPr>
      <w:r w:rsidRPr="00DD47DF">
        <w:t xml:space="preserve">Investice by měly být sociálně i ekonomicky udržitelné. </w:t>
      </w:r>
    </w:p>
    <w:p w14:paraId="51F3C6B0" w14:textId="77777777" w:rsidR="002C72B3" w:rsidRPr="00DD47DF" w:rsidRDefault="002C72B3" w:rsidP="00F44C65">
      <w:pPr>
        <w:pStyle w:val="Standardntext"/>
        <w:numPr>
          <w:ilvl w:val="1"/>
          <w:numId w:val="43"/>
        </w:numPr>
      </w:pPr>
      <w:r w:rsidRPr="00DD47DF">
        <w:t>Přednost by měly dostat projekty využívající energii z obnovitelných zdrojů.</w:t>
      </w:r>
    </w:p>
    <w:p w14:paraId="101A2575" w14:textId="77777777" w:rsidR="002C72B3" w:rsidRPr="00DD47DF" w:rsidRDefault="002C72B3" w:rsidP="00F44C65">
      <w:pPr>
        <w:pStyle w:val="Standardntext"/>
        <w:numPr>
          <w:ilvl w:val="1"/>
          <w:numId w:val="43"/>
        </w:numPr>
      </w:pPr>
      <w:r w:rsidRPr="00DD47DF">
        <w:t>Investice by měly být podmíněny zlepšením energetické účinnosti a snížením energetické náročnosti budov, pro které jsou tato zařízení určena.</w:t>
      </w:r>
    </w:p>
    <w:p w14:paraId="561BB2F9" w14:textId="77777777" w:rsidR="002C72B3" w:rsidRPr="00DD47DF" w:rsidRDefault="002C72B3" w:rsidP="00F44C65">
      <w:pPr>
        <w:pStyle w:val="Standardntext"/>
        <w:numPr>
          <w:ilvl w:val="1"/>
          <w:numId w:val="43"/>
        </w:numPr>
      </w:pPr>
      <w:r w:rsidRPr="00DD47DF">
        <w:t>Všechny investice musí být v souladu s normami a právními předpisy EU v oblasti životního prostředí.</w:t>
      </w:r>
    </w:p>
    <w:p w14:paraId="7FADE081" w14:textId="77777777" w:rsidR="00D3112E" w:rsidRPr="00DD47DF" w:rsidRDefault="002C72B3" w:rsidP="00F44C65">
      <w:pPr>
        <w:pStyle w:val="Standardntext"/>
        <w:numPr>
          <w:ilvl w:val="1"/>
          <w:numId w:val="43"/>
        </w:numPr>
      </w:pPr>
      <w:r w:rsidRPr="00DD47DF">
        <w:t>Mělo být podporováno využívání poskytovatelů energetických služeb a finančních nástrojů.</w:t>
      </w:r>
    </w:p>
    <w:p w14:paraId="4C8AC433" w14:textId="70E09F82" w:rsidR="00832CB9" w:rsidRPr="00DD47DF" w:rsidRDefault="002B6D7C" w:rsidP="002B6D7C">
      <w:pPr>
        <w:pStyle w:val="Standardntext"/>
        <w:numPr>
          <w:ilvl w:val="0"/>
          <w:numId w:val="43"/>
        </w:numPr>
      </w:pPr>
      <w:r w:rsidRPr="002B6D7C">
        <w:rPr>
          <w:lang w:eastAsia="x-none"/>
        </w:rPr>
        <w:t>V případě podpory formou finančních nástrojů bude výběr operací a příjemců proveden ŘO podle výběrových kritérií schválených MV OP PIK, v souladu s výsledky předběžného posouzení FN. Výběr konečných příjemců bude provádět správce finančního nástroje.</w:t>
      </w:r>
    </w:p>
    <w:p w14:paraId="0295C4CE" w14:textId="77777777" w:rsidR="00516E97" w:rsidRPr="00DD47DF" w:rsidRDefault="00516E97"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46ABB202" w14:textId="77777777" w:rsidR="0058402E" w:rsidRPr="00DD47DF" w:rsidRDefault="00BA6461" w:rsidP="005F43DF">
      <w:pPr>
        <w:pStyle w:val="Nadpis5"/>
        <w:numPr>
          <w:ilvl w:val="4"/>
          <w:numId w:val="21"/>
        </w:numPr>
        <w:rPr>
          <w:rFonts w:cs="Calibri"/>
        </w:rPr>
      </w:pPr>
      <w:r w:rsidRPr="00DD47DF">
        <w:t xml:space="preserve">Plánované využití finančních nástrojů </w:t>
      </w:r>
    </w:p>
    <w:p w14:paraId="43D8BFC9" w14:textId="77777777" w:rsidR="0058402E" w:rsidRPr="00DD47DF" w:rsidRDefault="001049C5" w:rsidP="002A4D1D">
      <w:pPr>
        <w:pStyle w:val="Standardntext"/>
      </w:pPr>
      <w:r w:rsidRPr="00DD47DF">
        <w:t>Při provádění této investiční priority budou koneční příjemci podpořeni finančními nástroji. Detaily stanoví Řídící orgán OP PIK na základě předběžného posouzení finančních nástrojů OP PIK dle čl. 37 odst. 2 obecného nařízení, případně jeho revize podle čl. 37 odst. 2 písm. g) obecného nařízení. Předběžné posouzení finančních nástrojů musí být dokončeno dříve, než řídicí orgán rozhodne, že finanční nástroj obdrží příspěvek z programu.</w:t>
      </w:r>
    </w:p>
    <w:p w14:paraId="6D425051" w14:textId="77777777" w:rsidR="0058402E" w:rsidRPr="00DD47DF" w:rsidRDefault="00BA6461" w:rsidP="005F43DF">
      <w:pPr>
        <w:pStyle w:val="Nadpis5"/>
        <w:numPr>
          <w:ilvl w:val="4"/>
          <w:numId w:val="21"/>
        </w:numPr>
      </w:pPr>
      <w:r w:rsidRPr="00DD47DF">
        <w:t>Plánované využití velkých projektů (použije-li se)</w:t>
      </w:r>
    </w:p>
    <w:p w14:paraId="24102C83" w14:textId="77777777" w:rsidR="002A4D1D" w:rsidRPr="00DD47DF" w:rsidRDefault="002A4D1D" w:rsidP="002A4D1D">
      <w:pPr>
        <w:pStyle w:val="Standardntext"/>
      </w:pPr>
      <w:r w:rsidRPr="00DD47DF">
        <w:t xml:space="preserve">Velké projekty ve smyslu čl. </w:t>
      </w:r>
      <w:r w:rsidR="008F52F8" w:rsidRPr="00DD47DF">
        <w:t>10</w:t>
      </w:r>
      <w:r w:rsidRPr="00DD47DF">
        <w:t>0 obecného nařízení nejsou plánovány.</w:t>
      </w:r>
    </w:p>
    <w:p w14:paraId="1B886573" w14:textId="77777777" w:rsidR="0058402E" w:rsidRPr="00DD47DF" w:rsidRDefault="00BA6461" w:rsidP="005F43DF">
      <w:pPr>
        <w:pStyle w:val="Nadpis5"/>
        <w:numPr>
          <w:ilvl w:val="4"/>
          <w:numId w:val="21"/>
        </w:numPr>
      </w:pPr>
      <w:r w:rsidRPr="00DD47DF">
        <w:lastRenderedPageBreak/>
        <w:t>Ukazatele výstupů podle investiční priority a případně podle kategorie regionů</w:t>
      </w:r>
    </w:p>
    <w:p w14:paraId="5AA8A7AB" w14:textId="77777777" w:rsidR="0058402E" w:rsidRPr="00DD47DF" w:rsidRDefault="0058402E" w:rsidP="00AA66A2">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75"/>
        <w:gridCol w:w="2348"/>
        <w:gridCol w:w="1087"/>
        <w:gridCol w:w="665"/>
        <w:gridCol w:w="1285"/>
        <w:gridCol w:w="1151"/>
        <w:gridCol w:w="1053"/>
        <w:gridCol w:w="1262"/>
      </w:tblGrid>
      <w:tr w:rsidR="001B2E5C" w:rsidRPr="00DD47DF" w14:paraId="448C8263" w14:textId="77777777" w:rsidTr="00081C97">
        <w:trPr>
          <w:trHeight w:hRule="exact" w:val="1032"/>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335427C" w14:textId="77777777" w:rsidR="001B2E5C" w:rsidRPr="00DD47DF" w:rsidRDefault="001B2E5C" w:rsidP="00AA66A2">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D445015" w14:textId="77777777" w:rsidR="001B2E5C" w:rsidRPr="00DD47DF" w:rsidRDefault="001B2E5C" w:rsidP="00AA66A2">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0C128F2" w14:textId="77777777" w:rsidR="001B2E5C" w:rsidRPr="00DD47DF" w:rsidRDefault="001B2E5C" w:rsidP="00AA66A2">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D4C945F" w14:textId="77777777" w:rsidR="001B2E5C" w:rsidRPr="00DD47DF" w:rsidRDefault="001B2E5C" w:rsidP="00AA66A2">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DE4CCCB" w14:textId="77777777" w:rsidR="001B2E5C" w:rsidRPr="00DD47DF" w:rsidRDefault="001B2E5C" w:rsidP="00AA66A2">
            <w:pPr>
              <w:pStyle w:val="Tabulka"/>
              <w:keepNext/>
              <w:keepLines/>
              <w:rPr>
                <w:rFonts w:cs="Calibri"/>
                <w:b/>
              </w:rPr>
            </w:pPr>
            <w:r w:rsidRPr="00DD47DF">
              <w:rPr>
                <w:rFonts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D9137C7" w14:textId="77777777" w:rsidR="001B2E5C" w:rsidRPr="00DD47DF" w:rsidRDefault="001B2E5C" w:rsidP="009F18F5">
            <w:pPr>
              <w:pStyle w:val="Tabulka"/>
              <w:keepNext/>
              <w:keepLines/>
              <w:rPr>
                <w:rFonts w:cs="Calibri"/>
                <w:b/>
              </w:rPr>
            </w:pPr>
            <w:r w:rsidRPr="00DD47DF">
              <w:rPr>
                <w:rFonts w:cs="Calibri"/>
                <w:b/>
              </w:rPr>
              <w:t>Cílová hodnota</w:t>
            </w:r>
            <w:r w:rsidR="009F18F5" w:rsidRPr="00DD47DF">
              <w:rPr>
                <w:rFonts w:cs="Calibri"/>
                <w:b/>
              </w:rPr>
              <w:t xml:space="preserve"> </w:t>
            </w: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7159153" w14:textId="77777777" w:rsidR="001B2E5C" w:rsidRPr="00DD47DF" w:rsidRDefault="001B2E5C" w:rsidP="00AA66A2">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1751AA8" w14:textId="77777777" w:rsidR="001B2E5C" w:rsidRPr="00DD47DF" w:rsidRDefault="001B2E5C" w:rsidP="00AA66A2">
            <w:pPr>
              <w:pStyle w:val="Tabulka"/>
              <w:keepNext/>
              <w:keepLines/>
              <w:rPr>
                <w:rFonts w:cs="Calibri"/>
                <w:b/>
              </w:rPr>
            </w:pPr>
            <w:r w:rsidRPr="00DD47DF">
              <w:rPr>
                <w:rFonts w:cs="Calibri"/>
                <w:b/>
              </w:rPr>
              <w:t>Četnost podávání zpráv</w:t>
            </w:r>
          </w:p>
        </w:tc>
      </w:tr>
      <w:tr w:rsidR="00826B6B" w:rsidRPr="00DD47DF" w14:paraId="585931F0"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D72E442" w14:textId="59B3FE6C" w:rsidR="00826B6B" w:rsidRPr="00DD47DF" w:rsidRDefault="00C75691" w:rsidP="00AA66A2">
            <w:pPr>
              <w:pStyle w:val="Tabulka"/>
              <w:keepNext/>
              <w:keepLines/>
              <w:rPr>
                <w:rFonts w:cs="Calibri"/>
              </w:rPr>
            </w:pPr>
            <w:r w:rsidRPr="00DD47DF">
              <w:rPr>
                <w:rFonts w:cs="Calibri"/>
              </w:rPr>
              <w:t xml:space="preserve">CO </w:t>
            </w:r>
            <w:r w:rsidR="00081C97" w:rsidRPr="00DD47DF">
              <w:rPr>
                <w:rFonts w:cs="Calibri"/>
              </w:rPr>
              <w:t>0</w:t>
            </w:r>
            <w:r w:rsidR="00826B6B"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1BAB9F15" w14:textId="77777777" w:rsidR="00826B6B" w:rsidRPr="00DD47DF" w:rsidRDefault="007D6298" w:rsidP="00AA66A2">
            <w:pPr>
              <w:pStyle w:val="Tabulka"/>
              <w:keepNext/>
              <w:keepLines/>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220299B6" w14:textId="77777777" w:rsidR="00826B6B" w:rsidRPr="00DD47DF" w:rsidRDefault="00826B6B" w:rsidP="00AA66A2">
            <w:pPr>
              <w:pStyle w:val="Tabulka"/>
              <w:keepNext/>
              <w:keepLines/>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58CF8D9E" w14:textId="77777777" w:rsidR="00826B6B" w:rsidRPr="00DD47DF" w:rsidRDefault="002B3F69" w:rsidP="00AA66A2">
            <w:pPr>
              <w:pStyle w:val="Tabulka"/>
              <w:keepNext/>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D78D093" w14:textId="77777777" w:rsidR="00826B6B" w:rsidRPr="00DD47DF" w:rsidRDefault="00826B6B" w:rsidP="00AA66A2">
            <w:pPr>
              <w:pStyle w:val="Tabulka"/>
              <w:keepNext/>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0EE659A4" w14:textId="5A45C93F" w:rsidR="00826B6B" w:rsidRPr="00DD47DF" w:rsidRDefault="00AD624B" w:rsidP="002F2D15">
            <w:pPr>
              <w:pStyle w:val="Tabulka"/>
              <w:keepNext/>
              <w:keepLines/>
              <w:rPr>
                <w:rFonts w:cs="Calibri"/>
              </w:rPr>
            </w:pPr>
            <w:r w:rsidRPr="00DD47DF">
              <w:rPr>
                <w:rFonts w:cs="Calibri"/>
              </w:rPr>
              <w:t xml:space="preserve">2 </w:t>
            </w:r>
            <w:r w:rsidR="002F2D15" w:rsidRPr="00DD47DF">
              <w:rPr>
                <w:rFonts w:cs="Calibri"/>
              </w:rPr>
              <w:t>7</w:t>
            </w:r>
            <w:r w:rsidR="002F2D15">
              <w:rPr>
                <w:rFonts w:cs="Calibri"/>
              </w:rPr>
              <w:t>39</w:t>
            </w:r>
          </w:p>
        </w:tc>
        <w:tc>
          <w:tcPr>
            <w:tcW w:w="0" w:type="auto"/>
            <w:tcBorders>
              <w:top w:val="single" w:sz="4" w:space="0" w:color="000000"/>
              <w:left w:val="single" w:sz="4" w:space="0" w:color="000000"/>
              <w:bottom w:val="single" w:sz="4" w:space="0" w:color="000000"/>
              <w:right w:val="single" w:sz="4" w:space="0" w:color="000000"/>
            </w:tcBorders>
            <w:vAlign w:val="center"/>
          </w:tcPr>
          <w:p w14:paraId="3609B1EF" w14:textId="77777777" w:rsidR="00826B6B" w:rsidRPr="00DD47DF" w:rsidRDefault="00FC7054" w:rsidP="00AA66A2">
            <w:pPr>
              <w:pStyle w:val="Tabulka"/>
              <w:keepNext/>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2CFBF0FF" w14:textId="77777777" w:rsidR="00826B6B" w:rsidRPr="00DD47DF" w:rsidRDefault="00FC7054" w:rsidP="00AA66A2">
            <w:pPr>
              <w:pStyle w:val="Tabulka"/>
              <w:keepNext/>
              <w:keepLines/>
              <w:rPr>
                <w:rFonts w:cs="Calibri"/>
              </w:rPr>
            </w:pPr>
            <w:r>
              <w:rPr>
                <w:rFonts w:cs="Calibri"/>
              </w:rPr>
              <w:t>průběžně</w:t>
            </w:r>
          </w:p>
        </w:tc>
      </w:tr>
      <w:tr w:rsidR="00826B6B" w:rsidRPr="00DD47DF" w14:paraId="693D0C2B"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0DDB314" w14:textId="693455AA" w:rsidR="00826B6B" w:rsidRPr="00DD47DF" w:rsidRDefault="00C75691" w:rsidP="00E2570C">
            <w:pPr>
              <w:pStyle w:val="Tabulka"/>
              <w:rPr>
                <w:rFonts w:cs="Calibri"/>
              </w:rPr>
            </w:pPr>
            <w:r w:rsidRPr="00DD47DF">
              <w:rPr>
                <w:rFonts w:cs="Calibri"/>
              </w:rPr>
              <w:t xml:space="preserve">CO </w:t>
            </w:r>
            <w:r w:rsidR="00081C97" w:rsidRPr="00DD47DF">
              <w:rPr>
                <w:rFonts w:cs="Calibri"/>
              </w:rPr>
              <w:t>0</w:t>
            </w:r>
            <w:r w:rsidR="00826B6B"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042BFFE1" w14:textId="77777777" w:rsidR="00826B6B" w:rsidRPr="00DD47DF" w:rsidRDefault="00826B6B" w:rsidP="00E2570C">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270406B9" w14:textId="77777777" w:rsidR="00826B6B" w:rsidRPr="00DD47DF" w:rsidRDefault="00826B6B" w:rsidP="00E2570C">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6082B295" w14:textId="77777777" w:rsidR="00826B6B" w:rsidRPr="00DD47DF" w:rsidRDefault="002B3F69" w:rsidP="00E2570C">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109F3FF" w14:textId="77777777" w:rsidR="00826B6B" w:rsidRPr="00DD47DF" w:rsidRDefault="00826B6B" w:rsidP="00E2570C">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45E22666" w14:textId="42466874" w:rsidR="00826B6B" w:rsidRPr="00DD47DF" w:rsidRDefault="00AD624B" w:rsidP="002F2D15">
            <w:pPr>
              <w:pStyle w:val="Tabulka"/>
              <w:rPr>
                <w:rFonts w:cs="Calibri"/>
              </w:rPr>
            </w:pPr>
            <w:r w:rsidRPr="00DD47DF">
              <w:rPr>
                <w:rFonts w:cs="Calibri"/>
              </w:rPr>
              <w:t xml:space="preserve">2 </w:t>
            </w:r>
            <w:r w:rsidR="002F2D15">
              <w:rPr>
                <w:rFonts w:cs="Calibri"/>
              </w:rPr>
              <w:t>593</w:t>
            </w:r>
          </w:p>
        </w:tc>
        <w:tc>
          <w:tcPr>
            <w:tcW w:w="0" w:type="auto"/>
            <w:tcBorders>
              <w:top w:val="single" w:sz="4" w:space="0" w:color="000000"/>
              <w:left w:val="single" w:sz="4" w:space="0" w:color="000000"/>
              <w:bottom w:val="single" w:sz="4" w:space="0" w:color="000000"/>
              <w:right w:val="single" w:sz="4" w:space="0" w:color="000000"/>
            </w:tcBorders>
            <w:vAlign w:val="center"/>
          </w:tcPr>
          <w:p w14:paraId="0FE7E9B4" w14:textId="77777777" w:rsidR="00826B6B" w:rsidRPr="00DD47DF" w:rsidRDefault="00FC7054" w:rsidP="00826B6B">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4EFD5F47" w14:textId="77777777" w:rsidR="00826B6B" w:rsidRPr="00DD47DF" w:rsidRDefault="00FC7054" w:rsidP="00826B6B">
            <w:pPr>
              <w:pStyle w:val="Tabulka"/>
              <w:rPr>
                <w:rFonts w:cs="Calibri"/>
              </w:rPr>
            </w:pPr>
            <w:r>
              <w:rPr>
                <w:rFonts w:cs="Calibri"/>
              </w:rPr>
              <w:t>průběžně</w:t>
            </w:r>
          </w:p>
        </w:tc>
      </w:tr>
      <w:tr w:rsidR="00826B6B" w:rsidRPr="00DD47DF" w14:paraId="7EC35ACD"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608C49B" w14:textId="17C75232" w:rsidR="00826B6B" w:rsidRPr="00DD47DF" w:rsidRDefault="00C75691" w:rsidP="00E2570C">
            <w:pPr>
              <w:pStyle w:val="Tabulka"/>
              <w:rPr>
                <w:rFonts w:cs="Calibri"/>
              </w:rPr>
            </w:pPr>
            <w:r w:rsidRPr="00DD47DF">
              <w:rPr>
                <w:rFonts w:cs="Calibri"/>
              </w:rPr>
              <w:t xml:space="preserve">CO </w:t>
            </w:r>
            <w:r w:rsidR="00081C97" w:rsidRPr="00DD47DF">
              <w:rPr>
                <w:rFonts w:cs="Calibri"/>
              </w:rPr>
              <w:t>0</w:t>
            </w:r>
            <w:r w:rsidR="00826B6B" w:rsidRPr="00DD47DF">
              <w:rPr>
                <w:rFonts w:cs="Calibri"/>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796B593A" w14:textId="77777777" w:rsidR="00826B6B" w:rsidRPr="00DD47DF" w:rsidRDefault="00EA2DBD" w:rsidP="00E2570C">
            <w:pPr>
              <w:pStyle w:val="Tabulka"/>
              <w:jc w:val="left"/>
              <w:rPr>
                <w:rFonts w:cs="Calibri"/>
              </w:rPr>
            </w:pPr>
            <w:r w:rsidRPr="00DD47DF">
              <w:rPr>
                <w:rFonts w:cs="Calibri"/>
              </w:rPr>
              <w:t>Počet podniků p</w:t>
            </w:r>
            <w:r w:rsidR="00E15FFB">
              <w:rPr>
                <w:rFonts w:cs="Calibri"/>
              </w:rPr>
              <w:t>obírajících jinou finanční podporu</w:t>
            </w:r>
            <w:r w:rsidRPr="00DD47DF">
              <w:rPr>
                <w:rFonts w:cs="Calibri"/>
              </w:rPr>
              <w:t xml:space="preserve">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264B0DFE" w14:textId="77777777" w:rsidR="00826B6B" w:rsidRPr="00DD47DF" w:rsidRDefault="00826B6B" w:rsidP="00E2570C">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8648FEF" w14:textId="77777777" w:rsidR="00826B6B" w:rsidRPr="00DD47DF" w:rsidRDefault="002B3F69" w:rsidP="00E2570C">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4F28251" w14:textId="77777777" w:rsidR="00826B6B" w:rsidRPr="00DD47DF" w:rsidRDefault="00826B6B" w:rsidP="00E2570C">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67E23A2" w14:textId="2221F991" w:rsidR="00826B6B" w:rsidRPr="00DD47DF" w:rsidRDefault="002F2D15" w:rsidP="007963A4">
            <w:pPr>
              <w:pStyle w:val="Tabulka"/>
              <w:rPr>
                <w:rFonts w:cs="Calibri"/>
              </w:rPr>
            </w:pPr>
            <w:r>
              <w:rPr>
                <w:rFonts w:cs="Calibri"/>
              </w:rPr>
              <w:t>146</w:t>
            </w:r>
          </w:p>
        </w:tc>
        <w:tc>
          <w:tcPr>
            <w:tcW w:w="0" w:type="auto"/>
            <w:tcBorders>
              <w:top w:val="single" w:sz="4" w:space="0" w:color="000000"/>
              <w:left w:val="single" w:sz="4" w:space="0" w:color="000000"/>
              <w:bottom w:val="single" w:sz="4" w:space="0" w:color="000000"/>
              <w:right w:val="single" w:sz="4" w:space="0" w:color="000000"/>
            </w:tcBorders>
            <w:vAlign w:val="center"/>
          </w:tcPr>
          <w:p w14:paraId="4029DF42" w14:textId="77777777" w:rsidR="00826B6B" w:rsidRPr="00DD47DF" w:rsidRDefault="00392BCA" w:rsidP="00826B6B">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166C5EA" w14:textId="77777777" w:rsidR="00826B6B" w:rsidRPr="00DD47DF" w:rsidRDefault="00392BCA" w:rsidP="00826B6B">
            <w:pPr>
              <w:pStyle w:val="Tabulka"/>
              <w:rPr>
                <w:rFonts w:cs="Calibri"/>
              </w:rPr>
            </w:pPr>
            <w:r>
              <w:rPr>
                <w:rFonts w:cs="Calibri"/>
              </w:rPr>
              <w:t>průběžně</w:t>
            </w:r>
          </w:p>
        </w:tc>
      </w:tr>
      <w:tr w:rsidR="00826B6B" w:rsidRPr="00DD47DF" w14:paraId="309A14E7"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77F5E8A" w14:textId="54A9102B" w:rsidR="00826B6B" w:rsidRPr="00DD47DF" w:rsidRDefault="00C75691" w:rsidP="00E2570C">
            <w:pPr>
              <w:pStyle w:val="Tabulka"/>
              <w:rPr>
                <w:rFonts w:cs="Calibri"/>
              </w:rPr>
            </w:pPr>
            <w:r w:rsidRPr="00DD47DF">
              <w:rPr>
                <w:rFonts w:cs="Calibri"/>
              </w:rPr>
              <w:t xml:space="preserve">CO </w:t>
            </w:r>
            <w:r w:rsidR="00081C97" w:rsidRPr="00DD47DF">
              <w:rPr>
                <w:rFonts w:cs="Calibri"/>
              </w:rPr>
              <w:t>0</w:t>
            </w:r>
            <w:r w:rsidR="00826B6B"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5C5A958B" w14:textId="77777777" w:rsidR="00826B6B" w:rsidRPr="00DD47DF" w:rsidRDefault="00892451" w:rsidP="00E2570C">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A27E54B" w14:textId="77777777" w:rsidR="00826B6B" w:rsidRPr="00DD47DF" w:rsidRDefault="00826B6B" w:rsidP="00E2570C">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07942206" w14:textId="77777777" w:rsidR="00826B6B" w:rsidRPr="00DD47DF" w:rsidRDefault="002B3F69" w:rsidP="00E2570C">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8EA075C" w14:textId="77777777" w:rsidR="00826B6B" w:rsidRPr="00DD47DF" w:rsidRDefault="00826B6B" w:rsidP="00E2570C">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252943B1" w14:textId="193E9B54" w:rsidR="00826B6B" w:rsidRPr="00DD47DF" w:rsidRDefault="002F2D15" w:rsidP="002F2D15">
            <w:pPr>
              <w:pStyle w:val="Tabulka"/>
              <w:rPr>
                <w:rFonts w:cs="Calibri"/>
              </w:rPr>
            </w:pPr>
            <w:r>
              <w:rPr>
                <w:rFonts w:cs="Calibri"/>
              </w:rPr>
              <w:t>1</w:t>
            </w:r>
            <w:r w:rsidR="00E8002C" w:rsidRPr="00DD47DF">
              <w:rPr>
                <w:rFonts w:cs="Calibri"/>
              </w:rPr>
              <w:t> </w:t>
            </w:r>
            <w:r>
              <w:rPr>
                <w:rFonts w:cs="Calibri"/>
              </w:rPr>
              <w:t>96</w:t>
            </w:r>
            <w:r w:rsidRPr="00DD47DF">
              <w:rPr>
                <w:rFonts w:cs="Calibri"/>
              </w:rPr>
              <w:t xml:space="preserve">0 </w:t>
            </w:r>
            <w:r w:rsidR="00E8002C" w:rsidRPr="00DD47DF">
              <w:rPr>
                <w:rFonts w:cs="Calibri"/>
              </w:rPr>
              <w:t>000</w:t>
            </w:r>
            <w:r w:rsidR="00F21878" w:rsidRPr="00DD47DF">
              <w:rPr>
                <w:rFonts w:cs="Calibri"/>
              </w:rPr>
              <w:t xml:space="preserve"> </w:t>
            </w:r>
            <w:r w:rsidR="00E8002C" w:rsidRPr="00DD47DF">
              <w:rPr>
                <w:rFonts w:cs="Calibri"/>
              </w:rPr>
              <w:t>0</w:t>
            </w:r>
            <w:r w:rsidR="00F21878" w:rsidRPr="00DD47DF">
              <w:rPr>
                <w:rFonts w:cs="Calibri"/>
              </w:rPr>
              <w:t>00</w:t>
            </w:r>
          </w:p>
        </w:tc>
        <w:tc>
          <w:tcPr>
            <w:tcW w:w="0" w:type="auto"/>
            <w:tcBorders>
              <w:top w:val="single" w:sz="4" w:space="0" w:color="000000"/>
              <w:left w:val="single" w:sz="4" w:space="0" w:color="000000"/>
              <w:bottom w:val="single" w:sz="4" w:space="0" w:color="000000"/>
              <w:right w:val="single" w:sz="4" w:space="0" w:color="000000"/>
            </w:tcBorders>
            <w:vAlign w:val="center"/>
          </w:tcPr>
          <w:p w14:paraId="3B16AD06" w14:textId="77777777" w:rsidR="00826B6B" w:rsidRPr="00DD47DF" w:rsidRDefault="00800418" w:rsidP="00826B6B">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FF8A335" w14:textId="77777777" w:rsidR="00826B6B" w:rsidRPr="00DD47DF" w:rsidRDefault="00934A97" w:rsidP="00826B6B">
            <w:pPr>
              <w:pStyle w:val="Tabulka"/>
              <w:rPr>
                <w:rFonts w:cs="Calibri"/>
              </w:rPr>
            </w:pPr>
            <w:r>
              <w:rPr>
                <w:rFonts w:cs="Calibri"/>
              </w:rPr>
              <w:t>průběžně</w:t>
            </w:r>
          </w:p>
        </w:tc>
      </w:tr>
      <w:tr w:rsidR="00826B6B" w:rsidRPr="00DD47DF" w14:paraId="38452025"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220A415" w14:textId="74DE30D0" w:rsidR="00826B6B" w:rsidRPr="00DD47DF" w:rsidRDefault="00C75691" w:rsidP="00E2570C">
            <w:pPr>
              <w:pStyle w:val="Tabulka"/>
              <w:rPr>
                <w:rFonts w:cs="Calibri"/>
              </w:rPr>
            </w:pPr>
            <w:r w:rsidRPr="00DD47DF">
              <w:rPr>
                <w:rFonts w:cs="Calibri"/>
              </w:rPr>
              <w:t xml:space="preserve">CO </w:t>
            </w:r>
            <w:r w:rsidR="00081C97" w:rsidRPr="00DD47DF">
              <w:rPr>
                <w:rFonts w:cs="Calibri"/>
              </w:rPr>
              <w:t>0</w:t>
            </w:r>
            <w:r w:rsidR="00826B6B" w:rsidRPr="00DD47DF">
              <w:rPr>
                <w:rFonts w:cs="Calibri"/>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59437C04" w14:textId="77777777" w:rsidR="00826B6B" w:rsidRPr="00DD47DF" w:rsidRDefault="006D0B6D" w:rsidP="00E2570C">
            <w:pPr>
              <w:pStyle w:val="Tabulka"/>
              <w:jc w:val="left"/>
              <w:rPr>
                <w:rFonts w:cs="Calibri"/>
              </w:rPr>
            </w:pPr>
            <w:r w:rsidRPr="006D0B6D">
              <w:rPr>
                <w:rFonts w:cs="Calibri"/>
              </w:rPr>
              <w:t>Soukromé investice odpovídající veřejné podpoře podniků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0CF97CBF" w14:textId="77777777" w:rsidR="00826B6B" w:rsidRPr="00DD47DF" w:rsidRDefault="00826B6B" w:rsidP="00E2570C">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5A337650" w14:textId="77777777" w:rsidR="00826B6B" w:rsidRPr="00DD47DF" w:rsidRDefault="002B3F69" w:rsidP="00E2570C">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034ECD7B" w14:textId="77777777" w:rsidR="00826B6B" w:rsidRPr="00DD47DF" w:rsidRDefault="00826B6B" w:rsidP="00E2570C">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012DA92D" w14:textId="11D9A462" w:rsidR="00826B6B" w:rsidRPr="00DD47DF" w:rsidRDefault="005520E5" w:rsidP="007963A4">
            <w:pPr>
              <w:pStyle w:val="Tabulka"/>
              <w:rPr>
                <w:rFonts w:cs="Calibri"/>
              </w:rPr>
            </w:pPr>
            <w:r>
              <w:rPr>
                <w:rFonts w:cs="Calibri"/>
              </w:rPr>
              <w:t>83</w:t>
            </w:r>
            <w:r w:rsidRPr="00DD47DF">
              <w:rPr>
                <w:rFonts w:cs="Calibri"/>
              </w:rPr>
              <w:t> </w:t>
            </w:r>
            <w:r w:rsidR="00757F45" w:rsidRPr="00DD47DF">
              <w:rPr>
                <w:rFonts w:cs="Calibri"/>
              </w:rPr>
              <w:t>000 000</w:t>
            </w:r>
          </w:p>
        </w:tc>
        <w:tc>
          <w:tcPr>
            <w:tcW w:w="0" w:type="auto"/>
            <w:tcBorders>
              <w:top w:val="single" w:sz="4" w:space="0" w:color="000000"/>
              <w:left w:val="single" w:sz="4" w:space="0" w:color="000000"/>
              <w:bottom w:val="single" w:sz="4" w:space="0" w:color="000000"/>
              <w:right w:val="single" w:sz="4" w:space="0" w:color="000000"/>
            </w:tcBorders>
            <w:vAlign w:val="center"/>
          </w:tcPr>
          <w:p w14:paraId="4FBFCD62" w14:textId="77777777" w:rsidR="00826B6B" w:rsidRPr="00DD47DF" w:rsidRDefault="00392BCA" w:rsidP="00826B6B">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C37159F" w14:textId="77777777" w:rsidR="00826B6B" w:rsidRPr="00DD47DF" w:rsidRDefault="00392BCA" w:rsidP="00826B6B">
            <w:pPr>
              <w:pStyle w:val="Tabulka"/>
              <w:rPr>
                <w:rFonts w:cs="Calibri"/>
              </w:rPr>
            </w:pPr>
            <w:r>
              <w:rPr>
                <w:rFonts w:cs="Calibri"/>
              </w:rPr>
              <w:t>průběžně</w:t>
            </w:r>
          </w:p>
        </w:tc>
      </w:tr>
    </w:tbl>
    <w:p w14:paraId="4EEF0BCC" w14:textId="77777777" w:rsidR="00AA66A2" w:rsidRPr="00DD47DF" w:rsidRDefault="00AA66A2" w:rsidP="00DA3512">
      <w:pPr>
        <w:pStyle w:val="kapitola2A0"/>
        <w:numPr>
          <w:ilvl w:val="2"/>
          <w:numId w:val="66"/>
        </w:numPr>
      </w:pPr>
      <w:bookmarkStart w:id="69" w:name="_Toc506885016"/>
      <w:r w:rsidRPr="00DD47DF">
        <w:t>INVESTIČNÍ PRIORITA 3 prioritní osy 3: Rozvoj a zavádění inteligentních distribučních soustav, jež fungují na hladině nízkého a středního napětí</w:t>
      </w:r>
      <w:bookmarkEnd w:id="69"/>
    </w:p>
    <w:p w14:paraId="43A48194" w14:textId="77777777" w:rsidR="003B05CA" w:rsidRPr="00DD47DF" w:rsidRDefault="008C7D72" w:rsidP="00DA3512">
      <w:pPr>
        <w:pStyle w:val="kapitola2A0"/>
        <w:numPr>
          <w:ilvl w:val="2"/>
          <w:numId w:val="66"/>
        </w:numPr>
      </w:pPr>
      <w:bookmarkStart w:id="70" w:name="_Toc506885017"/>
      <w:r w:rsidRPr="00DD47DF">
        <w:t>Specifické cíle odpovídající investiční prioritě a očekávané výsledky</w:t>
      </w:r>
      <w:bookmarkEnd w:id="70"/>
    </w:p>
    <w:p w14:paraId="190BD6E5" w14:textId="77777777" w:rsidR="009D1769" w:rsidRPr="00DD47DF" w:rsidRDefault="00EC0F1D" w:rsidP="009D1769">
      <w:pPr>
        <w:pStyle w:val="Modrnadpis"/>
      </w:pPr>
      <w:r w:rsidRPr="00DD47DF">
        <w:t xml:space="preserve">SPECIFICKÝ CÍL </w:t>
      </w:r>
      <w:r w:rsidR="00C71E6F" w:rsidRPr="00DD47DF">
        <w:t>3.</w:t>
      </w:r>
      <w:r w:rsidRPr="00DD47DF">
        <w:t>3:</w:t>
      </w:r>
      <w:r w:rsidR="00BA4E72" w:rsidRPr="00DD47DF">
        <w:t xml:space="preserve"> </w:t>
      </w:r>
      <w:r w:rsidR="009D1769" w:rsidRPr="00DD47DF">
        <w:t>Zvýšit aplikaci prvků inteligentních sítí v distribučních soustavách</w:t>
      </w:r>
    </w:p>
    <w:p w14:paraId="763FD7A5" w14:textId="77777777" w:rsidR="00F82915" w:rsidRPr="00DD47DF" w:rsidRDefault="00C461F7" w:rsidP="00F24686">
      <w:pPr>
        <w:pStyle w:val="Standardntext"/>
      </w:pPr>
      <w:r w:rsidRPr="00DD47DF">
        <w:t>S postupně se zvyšující integrací decentralizovaných zdrojů energie vzrůstá potřeba vhodně doplňovat stávající distribuční soustavy technologiemi, které umožňují zajistit spolehlivý provoz. Prvky inteligentních sítí přispějí k aktivnímu řízení distribučních soustav a ke zvýšení spolehlivosti a kvality dodávek energie.</w:t>
      </w:r>
      <w:r w:rsidR="004B2602" w:rsidRPr="00DD47DF">
        <w:t xml:space="preserve"> </w:t>
      </w:r>
      <w:r w:rsidR="00F82915" w:rsidRPr="00DD47DF">
        <w:t xml:space="preserve">Hlavním cílem je posílení konkurenceschopnosti a udržitelnosti české ekonomiky </w:t>
      </w:r>
      <w:r w:rsidR="00DA544B" w:rsidRPr="00DD47DF">
        <w:t>pomocí</w:t>
      </w:r>
      <w:r w:rsidR="00F82915" w:rsidRPr="00DD47DF">
        <w:t xml:space="preserve"> rozvoje a modernizace energetické infrastruktury na hladině nízkého a </w:t>
      </w:r>
      <w:r w:rsidRPr="00DD47DF">
        <w:t>středního</w:t>
      </w:r>
      <w:r w:rsidR="00F82915" w:rsidRPr="00DD47DF">
        <w:t xml:space="preserve"> napětí.</w:t>
      </w:r>
    </w:p>
    <w:p w14:paraId="0A40C796" w14:textId="77777777" w:rsidR="004F2013" w:rsidRPr="00DD47DF" w:rsidRDefault="003508A9" w:rsidP="004F2013">
      <w:pPr>
        <w:pStyle w:val="Modrnadpis"/>
      </w:pPr>
      <w:r w:rsidRPr="00DD47DF">
        <w:t>Výsledky, kterých chce ČR dosáhnout s podporou Unie</w:t>
      </w:r>
    </w:p>
    <w:p w14:paraId="723575AB" w14:textId="77777777" w:rsidR="004F2013" w:rsidRPr="00DD47DF" w:rsidRDefault="00997A9B" w:rsidP="00D927A2">
      <w:pPr>
        <w:pStyle w:val="Standardntext"/>
        <w:numPr>
          <w:ilvl w:val="0"/>
          <w:numId w:val="43"/>
        </w:numPr>
      </w:pPr>
      <w:r w:rsidRPr="00DD47DF">
        <w:t>Z</w:t>
      </w:r>
      <w:r w:rsidR="003412FC" w:rsidRPr="00DD47DF">
        <w:t xml:space="preserve">lepšení </w:t>
      </w:r>
      <w:r w:rsidR="003A58B4" w:rsidRPr="00DD47DF">
        <w:t xml:space="preserve">kvality, </w:t>
      </w:r>
      <w:r w:rsidR="004B2602" w:rsidRPr="00DD47DF">
        <w:t xml:space="preserve">spolehlivosti, </w:t>
      </w:r>
      <w:r w:rsidR="003A58B4" w:rsidRPr="00DD47DF">
        <w:t>bezpečnosti a udržitelnosti dodávek elektřiny konečným zákazníkům</w:t>
      </w:r>
      <w:r w:rsidR="003412FC" w:rsidRPr="00DD47DF">
        <w:t xml:space="preserve"> ve všech regionech České republiky</w:t>
      </w:r>
      <w:r w:rsidR="00E314F2" w:rsidRPr="00DD47DF">
        <w:t xml:space="preserve"> </w:t>
      </w:r>
      <w:r w:rsidR="00FA0C8C" w:rsidRPr="00DD47DF">
        <w:t>kromě</w:t>
      </w:r>
      <w:r w:rsidR="00E314F2" w:rsidRPr="00DD47DF">
        <w:t xml:space="preserve"> </w:t>
      </w:r>
      <w:r w:rsidR="00FA0C8C" w:rsidRPr="00DD47DF">
        <w:t xml:space="preserve">hl. m. </w:t>
      </w:r>
      <w:r w:rsidR="00E314F2" w:rsidRPr="00DD47DF">
        <w:t>Prah</w:t>
      </w:r>
      <w:r w:rsidR="00FA0C8C" w:rsidRPr="00DD47DF">
        <w:t>y</w:t>
      </w:r>
      <w:r w:rsidR="004B2602" w:rsidRPr="00DD47DF">
        <w:t xml:space="preserve"> a přiblížení na úroveň obvyklou v zemích EU-15</w:t>
      </w:r>
      <w:r w:rsidR="002471EA" w:rsidRPr="00DD47DF">
        <w:t>.</w:t>
      </w:r>
    </w:p>
    <w:p w14:paraId="07F01976" w14:textId="77777777" w:rsidR="003412FC" w:rsidRPr="00DD47DF" w:rsidRDefault="002471EA" w:rsidP="00D927A2">
      <w:pPr>
        <w:pStyle w:val="Standardntext"/>
        <w:numPr>
          <w:ilvl w:val="0"/>
          <w:numId w:val="43"/>
        </w:numPr>
      </w:pPr>
      <w:r w:rsidRPr="00DD47DF">
        <w:lastRenderedPageBreak/>
        <w:t>Minimalizace úzkých profilů a integrace decentralizovaných zdrojů energie.</w:t>
      </w:r>
      <w:r w:rsidR="003412FC" w:rsidRPr="00DD47DF">
        <w:t xml:space="preserve"> S tím souvisí z</w:t>
      </w:r>
      <w:r w:rsidRPr="00DD47DF">
        <w:t>avedení inteligentních technologických prvků, které budou řešit nepříznivé jevy nepredikovatelných výrobních zdrojů</w:t>
      </w:r>
      <w:r w:rsidR="003412FC" w:rsidRPr="00DD47DF">
        <w:t>, zejména OZE</w:t>
      </w:r>
      <w:r w:rsidRPr="00DD47DF">
        <w:t>.</w:t>
      </w:r>
      <w:r w:rsidR="003412FC" w:rsidRPr="00DD47DF">
        <w:t xml:space="preserve"> </w:t>
      </w:r>
      <w:r w:rsidR="00C1180B" w:rsidRPr="00DD47DF">
        <w:t xml:space="preserve">V návaznosti na to dojde k usnadnění připojení nových OZE do sítě, přičemž důsledkem rozvoje OZE bude pozitivní dopad na </w:t>
      </w:r>
      <w:r w:rsidR="00E314F2" w:rsidRPr="00DD47DF">
        <w:t>ochranu klimatu a energetickou bezpečnost</w:t>
      </w:r>
      <w:r w:rsidR="00C1180B" w:rsidRPr="00DD47DF">
        <w:t>.</w:t>
      </w:r>
    </w:p>
    <w:p w14:paraId="210D6C8E" w14:textId="77777777" w:rsidR="004B2602" w:rsidRPr="00DD47DF" w:rsidRDefault="004B2602" w:rsidP="00D927A2">
      <w:pPr>
        <w:pStyle w:val="Standardntext"/>
        <w:numPr>
          <w:ilvl w:val="0"/>
          <w:numId w:val="43"/>
        </w:numPr>
      </w:pPr>
      <w:r w:rsidRPr="00DD47DF">
        <w:t>Snížení ztrát a zvýšení účinnosti distribuce elektrické energie.</w:t>
      </w:r>
    </w:p>
    <w:p w14:paraId="1B0A4F44" w14:textId="77777777" w:rsidR="004B2602" w:rsidRPr="00DD47DF" w:rsidRDefault="004B2602" w:rsidP="00D927A2">
      <w:pPr>
        <w:pStyle w:val="Standardntext"/>
        <w:numPr>
          <w:ilvl w:val="0"/>
          <w:numId w:val="43"/>
        </w:numPr>
      </w:pPr>
      <w:r w:rsidRPr="00DD47DF">
        <w:t xml:space="preserve">Zvýšení volné připojovací kapacity a dodatečného výkonu pro integraci decentralizovaných zdrojů energie </w:t>
      </w:r>
      <w:r w:rsidR="00C461F7" w:rsidRPr="00DD47DF">
        <w:t>na hladině nízkého (do 1000 V) a středního napětí (1000 V až 50 kV)</w:t>
      </w:r>
      <w:r w:rsidRPr="00DD47DF">
        <w:t>.</w:t>
      </w:r>
    </w:p>
    <w:p w14:paraId="758FA8B6" w14:textId="77777777" w:rsidR="002471EA" w:rsidRPr="00DD47DF" w:rsidRDefault="002471EA" w:rsidP="00D927A2">
      <w:pPr>
        <w:pStyle w:val="Standardntext"/>
        <w:numPr>
          <w:ilvl w:val="0"/>
          <w:numId w:val="43"/>
        </w:numPr>
      </w:pPr>
      <w:r w:rsidRPr="00DD47DF">
        <w:t>Impuls pro rozvoj průmyslu, podnikání a celé ekonomiky díky rozvoji a modernizaci energetické infrastruktury.</w:t>
      </w:r>
    </w:p>
    <w:p w14:paraId="2348331F" w14:textId="77777777" w:rsidR="00002031" w:rsidRPr="00DD47DF" w:rsidRDefault="00002031" w:rsidP="00DA544B">
      <w:pPr>
        <w:pStyle w:val="Titulek"/>
        <w:keepNext/>
        <w:keepLines/>
        <w:rPr>
          <w:rFonts w:cs="Calibri"/>
        </w:rPr>
      </w:pPr>
      <w:r w:rsidRPr="00DD47DF">
        <w:rPr>
          <w:rFonts w:cs="Calibri"/>
        </w:rPr>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Layout w:type="fixed"/>
        <w:tblCellMar>
          <w:left w:w="57" w:type="dxa"/>
          <w:right w:w="57" w:type="dxa"/>
        </w:tblCellMar>
        <w:tblLook w:val="01E0" w:firstRow="1" w:lastRow="1" w:firstColumn="1" w:lastColumn="1" w:noHBand="0" w:noVBand="0"/>
      </w:tblPr>
      <w:tblGrid>
        <w:gridCol w:w="908"/>
        <w:gridCol w:w="811"/>
        <w:gridCol w:w="987"/>
        <w:gridCol w:w="1201"/>
        <w:gridCol w:w="970"/>
        <w:gridCol w:w="992"/>
        <w:gridCol w:w="992"/>
        <w:gridCol w:w="1445"/>
        <w:gridCol w:w="1020"/>
      </w:tblGrid>
      <w:tr w:rsidR="00CF739D" w:rsidRPr="00DD47DF" w14:paraId="64B00D08" w14:textId="77777777">
        <w:trPr>
          <w:trHeight w:hRule="exact" w:val="1385"/>
        </w:trPr>
        <w:tc>
          <w:tcPr>
            <w:tcW w:w="9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3DE0069" w14:textId="77777777" w:rsidR="00CF739D" w:rsidRPr="00DD47DF" w:rsidRDefault="00CF739D" w:rsidP="00DA544B">
            <w:pPr>
              <w:pStyle w:val="Tabulka"/>
              <w:keepNext/>
              <w:keepLines/>
              <w:rPr>
                <w:rFonts w:cs="Calibri"/>
                <w:b/>
                <w:bCs/>
              </w:rPr>
            </w:pPr>
            <w:r w:rsidRPr="00DD47DF">
              <w:rPr>
                <w:rFonts w:cs="Calibri"/>
                <w:b/>
                <w:bCs/>
              </w:rPr>
              <w:t>ID</w:t>
            </w:r>
          </w:p>
        </w:tc>
        <w:tc>
          <w:tcPr>
            <w:tcW w:w="81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6C26EF3" w14:textId="77777777" w:rsidR="00CF739D" w:rsidRPr="00DD47DF" w:rsidRDefault="00CF739D" w:rsidP="00DA544B">
            <w:pPr>
              <w:pStyle w:val="Tabulka"/>
              <w:keepNext/>
              <w:keepLines/>
              <w:rPr>
                <w:rFonts w:cs="Calibri"/>
                <w:b/>
                <w:bCs/>
              </w:rPr>
            </w:pPr>
            <w:r w:rsidRPr="00DD47DF">
              <w:rPr>
                <w:rFonts w:cs="Calibri"/>
                <w:b/>
                <w:bCs/>
              </w:rPr>
              <w:t>Ukazatel</w:t>
            </w:r>
          </w:p>
        </w:tc>
        <w:tc>
          <w:tcPr>
            <w:tcW w:w="98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C271999" w14:textId="77777777" w:rsidR="00CF739D" w:rsidRPr="00DD47DF" w:rsidRDefault="00CF739D" w:rsidP="00DA544B">
            <w:pPr>
              <w:pStyle w:val="Tabulka"/>
              <w:keepNext/>
              <w:keepLines/>
              <w:rPr>
                <w:rFonts w:cs="Calibri"/>
                <w:b/>
                <w:bCs/>
              </w:rPr>
            </w:pPr>
            <w:r w:rsidRPr="00DD47DF">
              <w:rPr>
                <w:rFonts w:cs="Calibri"/>
                <w:b/>
                <w:bCs/>
              </w:rPr>
              <w:t>Měrná</w:t>
            </w:r>
          </w:p>
          <w:p w14:paraId="430DDAB3" w14:textId="77777777" w:rsidR="00CF739D" w:rsidRPr="00DD47DF" w:rsidRDefault="00CF739D" w:rsidP="00DA544B">
            <w:pPr>
              <w:pStyle w:val="Tabulka"/>
              <w:keepNext/>
              <w:keepLines/>
              <w:rPr>
                <w:rFonts w:cs="Calibri"/>
                <w:b/>
                <w:bCs/>
              </w:rPr>
            </w:pPr>
            <w:r w:rsidRPr="00DD47DF">
              <w:rPr>
                <w:rFonts w:cs="Calibri"/>
                <w:b/>
                <w:bCs/>
              </w:rPr>
              <w:t>jednotka</w:t>
            </w:r>
          </w:p>
        </w:tc>
        <w:tc>
          <w:tcPr>
            <w:tcW w:w="120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58BCFE2" w14:textId="77777777" w:rsidR="00CF739D" w:rsidRPr="00DD47DF" w:rsidRDefault="00CF739D" w:rsidP="00DA544B">
            <w:pPr>
              <w:pStyle w:val="Tabulka"/>
              <w:keepNext/>
              <w:keepLines/>
              <w:rPr>
                <w:rFonts w:cs="Calibri"/>
                <w:b/>
                <w:bCs/>
              </w:rPr>
            </w:pPr>
            <w:r w:rsidRPr="00DD47DF">
              <w:rPr>
                <w:rFonts w:cs="Calibri"/>
                <w:b/>
                <w:bCs/>
              </w:rPr>
              <w:t>Kategorie regionů (je-li relevantní)</w:t>
            </w:r>
          </w:p>
        </w:tc>
        <w:tc>
          <w:tcPr>
            <w:tcW w:w="9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FB2D62F" w14:textId="77777777" w:rsidR="00CF739D" w:rsidRPr="00DD47DF" w:rsidRDefault="004B0854" w:rsidP="00DA544B">
            <w:pPr>
              <w:pStyle w:val="Tabulka"/>
              <w:keepNext/>
              <w:keepLines/>
              <w:rPr>
                <w:rFonts w:cs="Calibri"/>
                <w:b/>
                <w:bCs/>
              </w:rPr>
            </w:pPr>
            <w:r w:rsidRPr="00DD47DF">
              <w:rPr>
                <w:rFonts w:cs="Calibri"/>
                <w:b/>
                <w:bCs/>
              </w:rPr>
              <w:t>Výchozí hodnota</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ACFB50B" w14:textId="77777777" w:rsidR="00CF739D" w:rsidRPr="00DD47DF" w:rsidRDefault="004B0854" w:rsidP="004B0854">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D615D62" w14:textId="77777777" w:rsidR="00CF739D" w:rsidRPr="00DD47DF" w:rsidRDefault="00CF739D" w:rsidP="00DA544B">
            <w:pPr>
              <w:pStyle w:val="Tabulka"/>
              <w:keepNext/>
              <w:keepLines/>
              <w:rPr>
                <w:rFonts w:cs="Calibri"/>
                <w:b/>
                <w:bCs/>
              </w:rPr>
            </w:pPr>
            <w:r w:rsidRPr="00DD47DF">
              <w:rPr>
                <w:rFonts w:cs="Calibri"/>
                <w:b/>
                <w:bCs/>
              </w:rPr>
              <w:t>Cílová hodnota (2023)</w:t>
            </w:r>
          </w:p>
        </w:tc>
        <w:tc>
          <w:tcPr>
            <w:tcW w:w="144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B485224" w14:textId="77777777" w:rsidR="00CF739D" w:rsidRPr="00DD47DF" w:rsidRDefault="00CF739D" w:rsidP="00DA544B">
            <w:pPr>
              <w:pStyle w:val="Tabulka"/>
              <w:keepNext/>
              <w:keepLines/>
              <w:rPr>
                <w:rFonts w:cs="Calibri"/>
                <w:b/>
                <w:bCs/>
              </w:rPr>
            </w:pPr>
            <w:r w:rsidRPr="00DD47DF">
              <w:rPr>
                <w:rFonts w:cs="Calibri"/>
                <w:b/>
                <w:bCs/>
              </w:rPr>
              <w:t>Zdroj údajů</w:t>
            </w:r>
          </w:p>
        </w:tc>
        <w:tc>
          <w:tcPr>
            <w:tcW w:w="102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0840B3E" w14:textId="77777777" w:rsidR="00CF739D" w:rsidRPr="00DD47DF" w:rsidRDefault="00CF739D" w:rsidP="00DA544B">
            <w:pPr>
              <w:pStyle w:val="Tabulka"/>
              <w:keepNext/>
              <w:keepLines/>
              <w:rPr>
                <w:rFonts w:cs="Calibri"/>
                <w:b/>
                <w:bCs/>
              </w:rPr>
            </w:pPr>
            <w:r w:rsidRPr="00DD47DF">
              <w:rPr>
                <w:rFonts w:cs="Calibri"/>
                <w:b/>
                <w:bCs/>
              </w:rPr>
              <w:t>Četnost podávání zpráv</w:t>
            </w:r>
          </w:p>
        </w:tc>
      </w:tr>
      <w:tr w:rsidR="00ED13F4" w:rsidRPr="00DD47DF" w14:paraId="42708DF6" w14:textId="77777777">
        <w:trPr>
          <w:trHeight w:hRule="exact" w:val="980"/>
        </w:trPr>
        <w:tc>
          <w:tcPr>
            <w:tcW w:w="908" w:type="dxa"/>
            <w:tcBorders>
              <w:top w:val="single" w:sz="4" w:space="0" w:color="000000"/>
              <w:left w:val="single" w:sz="4" w:space="0" w:color="000000"/>
              <w:bottom w:val="single" w:sz="4" w:space="0" w:color="000000"/>
              <w:right w:val="single" w:sz="4" w:space="0" w:color="000000"/>
            </w:tcBorders>
            <w:vAlign w:val="center"/>
          </w:tcPr>
          <w:p w14:paraId="50F0DEFF" w14:textId="77777777" w:rsidR="00ED13F4" w:rsidRPr="00DD47DF" w:rsidRDefault="004E0F70" w:rsidP="003A6FFF">
            <w:pPr>
              <w:pStyle w:val="Tabulka"/>
              <w:rPr>
                <w:rFonts w:cs="Calibri"/>
              </w:rPr>
            </w:pPr>
            <w:r w:rsidRPr="00DD47DF">
              <w:rPr>
                <w:rFonts w:cs="Calibri"/>
              </w:rPr>
              <w:t>33700</w:t>
            </w:r>
          </w:p>
        </w:tc>
        <w:tc>
          <w:tcPr>
            <w:tcW w:w="811" w:type="dxa"/>
            <w:tcBorders>
              <w:top w:val="single" w:sz="4" w:space="0" w:color="000000"/>
              <w:left w:val="single" w:sz="4" w:space="0" w:color="000000"/>
              <w:bottom w:val="single" w:sz="4" w:space="0" w:color="000000"/>
              <w:right w:val="single" w:sz="4" w:space="0" w:color="000000"/>
            </w:tcBorders>
            <w:vAlign w:val="center"/>
          </w:tcPr>
          <w:p w14:paraId="43A7C1F1" w14:textId="77777777" w:rsidR="00ED13F4" w:rsidRPr="00DD47DF" w:rsidRDefault="008F1E9F" w:rsidP="003A6FFF">
            <w:pPr>
              <w:pStyle w:val="Tabulka"/>
              <w:jc w:val="left"/>
              <w:rPr>
                <w:rFonts w:cs="Calibri"/>
                <w:szCs w:val="20"/>
              </w:rPr>
            </w:pPr>
            <w:r w:rsidRPr="00DD47DF">
              <w:rPr>
                <w:rFonts w:cs="Calibri"/>
                <w:szCs w:val="20"/>
              </w:rPr>
              <w:t>SAIFI</w:t>
            </w:r>
            <w:r w:rsidR="0068667C" w:rsidRPr="00DD47DF">
              <w:rPr>
                <w:rStyle w:val="Znakapoznpodarou"/>
                <w:rFonts w:cs="Calibri"/>
                <w:szCs w:val="20"/>
              </w:rPr>
              <w:footnoteReference w:id="63"/>
            </w:r>
          </w:p>
        </w:tc>
        <w:tc>
          <w:tcPr>
            <w:tcW w:w="987" w:type="dxa"/>
            <w:tcBorders>
              <w:top w:val="single" w:sz="4" w:space="0" w:color="000000"/>
              <w:left w:val="single" w:sz="4" w:space="0" w:color="000000"/>
              <w:bottom w:val="single" w:sz="4" w:space="0" w:color="000000"/>
              <w:right w:val="single" w:sz="4" w:space="0" w:color="000000"/>
            </w:tcBorders>
            <w:vAlign w:val="center"/>
          </w:tcPr>
          <w:p w14:paraId="15C80435" w14:textId="77777777" w:rsidR="00ED13F4" w:rsidRPr="00DD47DF" w:rsidRDefault="00DA544B" w:rsidP="003A6FFF">
            <w:pPr>
              <w:pStyle w:val="Tabulka"/>
              <w:rPr>
                <w:rFonts w:cs="Calibri"/>
              </w:rPr>
            </w:pPr>
            <w:r w:rsidRPr="00DD47DF">
              <w:rPr>
                <w:rFonts w:cs="Calibri"/>
              </w:rPr>
              <w:t>počet přerušení</w:t>
            </w:r>
            <w:r w:rsidR="00D57106" w:rsidRPr="00DD47DF">
              <w:rPr>
                <w:rFonts w:cs="Calibri"/>
              </w:rPr>
              <w:t xml:space="preserve"> </w:t>
            </w:r>
            <w:r w:rsidRPr="00DD47DF">
              <w:rPr>
                <w:rFonts w:cs="Calibri"/>
              </w:rPr>
              <w:t>/</w:t>
            </w:r>
            <w:r w:rsidR="00D57106" w:rsidRPr="00DD47DF">
              <w:rPr>
                <w:rFonts w:cs="Calibri"/>
              </w:rPr>
              <w:t xml:space="preserve"> </w:t>
            </w:r>
            <w:r w:rsidRPr="00DD47DF">
              <w:rPr>
                <w:rFonts w:cs="Calibri"/>
              </w:rPr>
              <w:t>rok</w:t>
            </w:r>
          </w:p>
        </w:tc>
        <w:tc>
          <w:tcPr>
            <w:tcW w:w="1201" w:type="dxa"/>
            <w:tcBorders>
              <w:top w:val="single" w:sz="4" w:space="0" w:color="000000"/>
              <w:left w:val="single" w:sz="4" w:space="0" w:color="000000"/>
              <w:bottom w:val="single" w:sz="4" w:space="0" w:color="000000"/>
              <w:right w:val="single" w:sz="4" w:space="0" w:color="000000"/>
            </w:tcBorders>
            <w:vAlign w:val="center"/>
          </w:tcPr>
          <w:p w14:paraId="35562DEF" w14:textId="77777777" w:rsidR="00ED13F4" w:rsidRPr="00DD47DF" w:rsidRDefault="00FD0399" w:rsidP="003A6FFF">
            <w:pPr>
              <w:pStyle w:val="Tabulka"/>
              <w:rPr>
                <w:rFonts w:cs="Calibri"/>
              </w:rPr>
            </w:pPr>
            <w:r w:rsidRPr="00DD47DF">
              <w:rPr>
                <w:rFonts w:cs="Calibri"/>
              </w:rPr>
              <w:t>Méně rozvinuté regiony</w:t>
            </w:r>
          </w:p>
        </w:tc>
        <w:tc>
          <w:tcPr>
            <w:tcW w:w="970" w:type="dxa"/>
            <w:tcBorders>
              <w:top w:val="single" w:sz="4" w:space="0" w:color="000000"/>
              <w:left w:val="single" w:sz="4" w:space="0" w:color="000000"/>
              <w:bottom w:val="single" w:sz="4" w:space="0" w:color="000000"/>
              <w:right w:val="single" w:sz="4" w:space="0" w:color="000000"/>
            </w:tcBorders>
            <w:vAlign w:val="center"/>
          </w:tcPr>
          <w:p w14:paraId="462D0B02" w14:textId="77777777" w:rsidR="00ED13F4" w:rsidRPr="00DD47DF" w:rsidRDefault="007A1429" w:rsidP="003A6FFF">
            <w:pPr>
              <w:pStyle w:val="Tabulka"/>
              <w:rPr>
                <w:rFonts w:cs="Calibri"/>
              </w:rPr>
            </w:pPr>
            <w:r w:rsidRPr="00DD47DF">
              <w:rPr>
                <w:rFonts w:cs="Calibri"/>
              </w:rPr>
              <w:t>2,755</w:t>
            </w:r>
            <w:r w:rsidR="00DC16B0" w:rsidRPr="00DD47DF">
              <w:rPr>
                <w:rStyle w:val="Znakapoznpodarou"/>
                <w:rFonts w:cs="Calibri"/>
              </w:rPr>
              <w:footnoteReference w:id="64"/>
            </w:r>
          </w:p>
        </w:tc>
        <w:tc>
          <w:tcPr>
            <w:tcW w:w="992" w:type="dxa"/>
            <w:tcBorders>
              <w:top w:val="single" w:sz="4" w:space="0" w:color="000000"/>
              <w:left w:val="single" w:sz="4" w:space="0" w:color="000000"/>
              <w:bottom w:val="single" w:sz="4" w:space="0" w:color="000000"/>
              <w:right w:val="single" w:sz="4" w:space="0" w:color="000000"/>
            </w:tcBorders>
            <w:vAlign w:val="center"/>
          </w:tcPr>
          <w:p w14:paraId="490C15C1" w14:textId="77777777" w:rsidR="00ED13F4" w:rsidRPr="00DD47DF" w:rsidRDefault="007A1429" w:rsidP="003A6FFF">
            <w:pPr>
              <w:pStyle w:val="Tabulka"/>
              <w:rPr>
                <w:rFonts w:cs="Calibri"/>
              </w:rPr>
            </w:pPr>
            <w:r w:rsidRPr="00DD47DF">
              <w:rPr>
                <w:rFonts w:cs="Calibri"/>
              </w:rPr>
              <w:t>2013</w:t>
            </w:r>
          </w:p>
        </w:tc>
        <w:tc>
          <w:tcPr>
            <w:tcW w:w="992" w:type="dxa"/>
            <w:tcBorders>
              <w:top w:val="single" w:sz="4" w:space="0" w:color="000000"/>
              <w:left w:val="single" w:sz="4" w:space="0" w:color="000000"/>
              <w:bottom w:val="single" w:sz="4" w:space="0" w:color="000000"/>
              <w:right w:val="single" w:sz="4" w:space="0" w:color="000000"/>
            </w:tcBorders>
            <w:vAlign w:val="center"/>
          </w:tcPr>
          <w:p w14:paraId="6FAB78A2" w14:textId="77777777" w:rsidR="00ED13F4" w:rsidRPr="00DD47DF" w:rsidRDefault="007A1429" w:rsidP="003A6FFF">
            <w:pPr>
              <w:pStyle w:val="Tabulka"/>
              <w:rPr>
                <w:rFonts w:cs="Calibri"/>
              </w:rPr>
            </w:pPr>
            <w:r w:rsidRPr="00DD47DF">
              <w:rPr>
                <w:rFonts w:cs="Calibri"/>
              </w:rPr>
              <w:t>1,925</w:t>
            </w:r>
            <w:r w:rsidR="00DC16B0" w:rsidRPr="00DD47DF">
              <w:rPr>
                <w:rStyle w:val="Znakapoznpodarou"/>
                <w:rFonts w:cs="Calibri"/>
              </w:rPr>
              <w:footnoteReference w:id="65"/>
            </w:r>
          </w:p>
        </w:tc>
        <w:tc>
          <w:tcPr>
            <w:tcW w:w="1445" w:type="dxa"/>
            <w:tcBorders>
              <w:top w:val="single" w:sz="4" w:space="0" w:color="000000"/>
              <w:left w:val="single" w:sz="4" w:space="0" w:color="000000"/>
              <w:bottom w:val="single" w:sz="4" w:space="0" w:color="000000"/>
              <w:right w:val="single" w:sz="4" w:space="0" w:color="000000"/>
            </w:tcBorders>
            <w:vAlign w:val="center"/>
          </w:tcPr>
          <w:p w14:paraId="203FD1CB" w14:textId="77777777" w:rsidR="00ED13F4" w:rsidRPr="00DD47DF" w:rsidRDefault="00942A5B" w:rsidP="00120476">
            <w:pPr>
              <w:pStyle w:val="Tabulka"/>
              <w:rPr>
                <w:rFonts w:cs="Calibri"/>
              </w:rPr>
            </w:pPr>
            <w:r w:rsidRPr="00DD47DF">
              <w:rPr>
                <w:rFonts w:cs="Calibri"/>
              </w:rPr>
              <w:t>Provozovatelé distribučních soustav</w:t>
            </w:r>
          </w:p>
        </w:tc>
        <w:tc>
          <w:tcPr>
            <w:tcW w:w="1020" w:type="dxa"/>
            <w:tcBorders>
              <w:top w:val="single" w:sz="4" w:space="0" w:color="000000"/>
              <w:left w:val="single" w:sz="4" w:space="0" w:color="000000"/>
              <w:bottom w:val="single" w:sz="4" w:space="0" w:color="000000"/>
              <w:right w:val="single" w:sz="4" w:space="0" w:color="000000"/>
            </w:tcBorders>
            <w:vAlign w:val="center"/>
          </w:tcPr>
          <w:p w14:paraId="4B6024CC" w14:textId="77777777" w:rsidR="00ED13F4" w:rsidRPr="00DD47DF" w:rsidRDefault="00274100" w:rsidP="003A6FFF">
            <w:pPr>
              <w:pStyle w:val="Tabulka"/>
              <w:rPr>
                <w:rFonts w:cs="Calibri"/>
              </w:rPr>
            </w:pPr>
            <w:r w:rsidRPr="00DD47DF">
              <w:rPr>
                <w:rFonts w:cs="Calibri"/>
              </w:rPr>
              <w:t>r</w:t>
            </w:r>
            <w:r w:rsidR="005F2E5E" w:rsidRPr="00DD47DF">
              <w:rPr>
                <w:rFonts w:cs="Calibri"/>
              </w:rPr>
              <w:t>očně</w:t>
            </w:r>
          </w:p>
        </w:tc>
      </w:tr>
      <w:tr w:rsidR="008F1E9F" w:rsidRPr="00DD47DF" w14:paraId="360572A7" w14:textId="77777777">
        <w:trPr>
          <w:trHeight w:hRule="exact" w:val="1137"/>
        </w:trPr>
        <w:tc>
          <w:tcPr>
            <w:tcW w:w="908" w:type="dxa"/>
            <w:tcBorders>
              <w:top w:val="single" w:sz="4" w:space="0" w:color="000000"/>
              <w:left w:val="single" w:sz="4" w:space="0" w:color="000000"/>
              <w:bottom w:val="single" w:sz="4" w:space="0" w:color="000000"/>
              <w:right w:val="single" w:sz="4" w:space="0" w:color="000000"/>
            </w:tcBorders>
            <w:vAlign w:val="center"/>
          </w:tcPr>
          <w:p w14:paraId="7302E6C3" w14:textId="77777777" w:rsidR="008F1E9F" w:rsidRPr="00DD47DF" w:rsidRDefault="004E0F70" w:rsidP="003A6FFF">
            <w:pPr>
              <w:pStyle w:val="Tabulka"/>
              <w:rPr>
                <w:rFonts w:cs="Calibri"/>
              </w:rPr>
            </w:pPr>
            <w:r w:rsidRPr="00DD47DF">
              <w:rPr>
                <w:rFonts w:cs="Calibri"/>
              </w:rPr>
              <w:t>33600</w:t>
            </w:r>
          </w:p>
        </w:tc>
        <w:tc>
          <w:tcPr>
            <w:tcW w:w="811" w:type="dxa"/>
            <w:tcBorders>
              <w:top w:val="single" w:sz="4" w:space="0" w:color="000000"/>
              <w:left w:val="single" w:sz="4" w:space="0" w:color="000000"/>
              <w:bottom w:val="single" w:sz="4" w:space="0" w:color="000000"/>
              <w:right w:val="single" w:sz="4" w:space="0" w:color="000000"/>
            </w:tcBorders>
            <w:vAlign w:val="center"/>
          </w:tcPr>
          <w:p w14:paraId="515BC338" w14:textId="77777777" w:rsidR="008F1E9F" w:rsidRPr="00DD47DF" w:rsidRDefault="008F1E9F" w:rsidP="003A6FFF">
            <w:pPr>
              <w:pStyle w:val="Tabulka"/>
              <w:jc w:val="left"/>
              <w:rPr>
                <w:rFonts w:cs="Calibri"/>
                <w:szCs w:val="20"/>
              </w:rPr>
            </w:pPr>
            <w:r w:rsidRPr="00DD47DF">
              <w:rPr>
                <w:rFonts w:cs="Calibri"/>
                <w:szCs w:val="20"/>
              </w:rPr>
              <w:t>SAIDI</w:t>
            </w:r>
            <w:r w:rsidR="0068667C" w:rsidRPr="00DD47DF">
              <w:rPr>
                <w:rStyle w:val="Znakapoznpodarou"/>
                <w:rFonts w:cs="Calibri"/>
                <w:szCs w:val="20"/>
              </w:rPr>
              <w:footnoteReference w:id="66"/>
            </w:r>
          </w:p>
        </w:tc>
        <w:tc>
          <w:tcPr>
            <w:tcW w:w="987" w:type="dxa"/>
            <w:tcBorders>
              <w:top w:val="single" w:sz="4" w:space="0" w:color="000000"/>
              <w:left w:val="single" w:sz="4" w:space="0" w:color="000000"/>
              <w:bottom w:val="single" w:sz="4" w:space="0" w:color="000000"/>
              <w:right w:val="single" w:sz="4" w:space="0" w:color="000000"/>
            </w:tcBorders>
            <w:vAlign w:val="center"/>
          </w:tcPr>
          <w:p w14:paraId="485D2943" w14:textId="77777777" w:rsidR="008F1E9F" w:rsidRPr="00DD47DF" w:rsidRDefault="008F1E9F" w:rsidP="003A6FFF">
            <w:pPr>
              <w:pStyle w:val="Tabulka"/>
              <w:rPr>
                <w:rFonts w:cs="Calibri"/>
              </w:rPr>
            </w:pPr>
            <w:r w:rsidRPr="00DD47DF">
              <w:rPr>
                <w:rFonts w:cs="Calibri"/>
              </w:rPr>
              <w:t>délka přerušení v</w:t>
            </w:r>
            <w:r w:rsidR="00D57106" w:rsidRPr="00DD47DF">
              <w:rPr>
                <w:rFonts w:cs="Calibri"/>
              </w:rPr>
              <w:t> </w:t>
            </w:r>
            <w:r w:rsidRPr="00DD47DF">
              <w:rPr>
                <w:rFonts w:cs="Calibri"/>
              </w:rPr>
              <w:t>min</w:t>
            </w:r>
            <w:r w:rsidR="00D57106" w:rsidRPr="00DD47DF">
              <w:rPr>
                <w:rFonts w:cs="Calibri"/>
              </w:rPr>
              <w:t xml:space="preserve"> </w:t>
            </w:r>
            <w:r w:rsidRPr="00DD47DF">
              <w:rPr>
                <w:rFonts w:cs="Calibri"/>
              </w:rPr>
              <w:t>/</w:t>
            </w:r>
            <w:r w:rsidR="00D57106" w:rsidRPr="00DD47DF">
              <w:rPr>
                <w:rFonts w:cs="Calibri"/>
              </w:rPr>
              <w:t xml:space="preserve"> </w:t>
            </w:r>
            <w:r w:rsidRPr="00DD47DF">
              <w:rPr>
                <w:rFonts w:cs="Calibri"/>
              </w:rPr>
              <w:t>rok</w:t>
            </w:r>
          </w:p>
        </w:tc>
        <w:tc>
          <w:tcPr>
            <w:tcW w:w="1201" w:type="dxa"/>
            <w:tcBorders>
              <w:top w:val="single" w:sz="4" w:space="0" w:color="000000"/>
              <w:left w:val="single" w:sz="4" w:space="0" w:color="000000"/>
              <w:bottom w:val="single" w:sz="4" w:space="0" w:color="000000"/>
              <w:right w:val="single" w:sz="4" w:space="0" w:color="000000"/>
            </w:tcBorders>
            <w:vAlign w:val="center"/>
          </w:tcPr>
          <w:p w14:paraId="3904DB16" w14:textId="77777777" w:rsidR="008F1E9F" w:rsidRPr="00DD47DF" w:rsidRDefault="008F1E9F" w:rsidP="003A6FFF">
            <w:pPr>
              <w:pStyle w:val="Tabulka"/>
              <w:rPr>
                <w:rFonts w:cs="Calibri"/>
              </w:rPr>
            </w:pPr>
            <w:r w:rsidRPr="00DD47DF">
              <w:rPr>
                <w:rFonts w:cs="Calibri"/>
              </w:rPr>
              <w:t>Méně rozvinuté regiony</w:t>
            </w:r>
          </w:p>
        </w:tc>
        <w:tc>
          <w:tcPr>
            <w:tcW w:w="970" w:type="dxa"/>
            <w:tcBorders>
              <w:top w:val="single" w:sz="4" w:space="0" w:color="000000"/>
              <w:left w:val="single" w:sz="4" w:space="0" w:color="000000"/>
              <w:bottom w:val="single" w:sz="4" w:space="0" w:color="000000"/>
              <w:right w:val="single" w:sz="4" w:space="0" w:color="000000"/>
            </w:tcBorders>
            <w:vAlign w:val="center"/>
          </w:tcPr>
          <w:p w14:paraId="0A55BC7A" w14:textId="77777777" w:rsidR="008F1E9F" w:rsidRPr="00DD47DF" w:rsidRDefault="00157ABA" w:rsidP="003A6FFF">
            <w:pPr>
              <w:pStyle w:val="Tabulka"/>
              <w:rPr>
                <w:rFonts w:cs="Calibri"/>
              </w:rPr>
            </w:pPr>
            <w:r w:rsidRPr="00DD47DF">
              <w:rPr>
                <w:rFonts w:cs="Calibri"/>
              </w:rPr>
              <w:t>394,33</w:t>
            </w:r>
          </w:p>
        </w:tc>
        <w:tc>
          <w:tcPr>
            <w:tcW w:w="992" w:type="dxa"/>
            <w:tcBorders>
              <w:top w:val="single" w:sz="4" w:space="0" w:color="000000"/>
              <w:left w:val="single" w:sz="4" w:space="0" w:color="000000"/>
              <w:bottom w:val="single" w:sz="4" w:space="0" w:color="000000"/>
              <w:right w:val="single" w:sz="4" w:space="0" w:color="000000"/>
            </w:tcBorders>
            <w:vAlign w:val="center"/>
          </w:tcPr>
          <w:p w14:paraId="162C53DD" w14:textId="77777777" w:rsidR="008F1E9F" w:rsidRPr="00DD47DF" w:rsidRDefault="00157ABA" w:rsidP="003A6FFF">
            <w:pPr>
              <w:pStyle w:val="Tabulka"/>
              <w:rPr>
                <w:rFonts w:cs="Calibri"/>
              </w:rPr>
            </w:pPr>
            <w:r w:rsidRPr="00DD47DF">
              <w:rPr>
                <w:rFonts w:cs="Calibri"/>
              </w:rPr>
              <w:t>2013</w:t>
            </w:r>
          </w:p>
        </w:tc>
        <w:tc>
          <w:tcPr>
            <w:tcW w:w="992" w:type="dxa"/>
            <w:tcBorders>
              <w:top w:val="single" w:sz="4" w:space="0" w:color="000000"/>
              <w:left w:val="single" w:sz="4" w:space="0" w:color="000000"/>
              <w:bottom w:val="single" w:sz="4" w:space="0" w:color="000000"/>
              <w:right w:val="single" w:sz="4" w:space="0" w:color="000000"/>
            </w:tcBorders>
            <w:vAlign w:val="center"/>
          </w:tcPr>
          <w:p w14:paraId="3D99F9F6" w14:textId="77777777" w:rsidR="008F1E9F" w:rsidRPr="00DD47DF" w:rsidRDefault="00157ABA" w:rsidP="003A6FFF">
            <w:pPr>
              <w:pStyle w:val="Tabulka"/>
              <w:rPr>
                <w:rFonts w:cs="Calibri"/>
              </w:rPr>
            </w:pPr>
            <w:r w:rsidRPr="00DD47DF">
              <w:rPr>
                <w:rFonts w:cs="Calibri"/>
              </w:rPr>
              <w:t>230</w:t>
            </w:r>
          </w:p>
        </w:tc>
        <w:tc>
          <w:tcPr>
            <w:tcW w:w="1445" w:type="dxa"/>
            <w:tcBorders>
              <w:top w:val="single" w:sz="4" w:space="0" w:color="000000"/>
              <w:left w:val="single" w:sz="4" w:space="0" w:color="000000"/>
              <w:bottom w:val="single" w:sz="4" w:space="0" w:color="000000"/>
              <w:right w:val="single" w:sz="4" w:space="0" w:color="000000"/>
            </w:tcBorders>
            <w:vAlign w:val="center"/>
          </w:tcPr>
          <w:p w14:paraId="57172071" w14:textId="77777777" w:rsidR="008F1E9F" w:rsidRPr="00DD47DF" w:rsidRDefault="00942A5B" w:rsidP="00120476">
            <w:pPr>
              <w:pStyle w:val="Tabulka"/>
              <w:rPr>
                <w:rFonts w:cs="Calibri"/>
              </w:rPr>
            </w:pPr>
            <w:r w:rsidRPr="00DD47DF">
              <w:rPr>
                <w:rFonts w:cs="Calibri"/>
              </w:rPr>
              <w:t>Provozovatelé distribučních soustav</w:t>
            </w:r>
          </w:p>
        </w:tc>
        <w:tc>
          <w:tcPr>
            <w:tcW w:w="1020" w:type="dxa"/>
            <w:tcBorders>
              <w:top w:val="single" w:sz="4" w:space="0" w:color="000000"/>
              <w:left w:val="single" w:sz="4" w:space="0" w:color="000000"/>
              <w:bottom w:val="single" w:sz="4" w:space="0" w:color="000000"/>
              <w:right w:val="single" w:sz="4" w:space="0" w:color="000000"/>
            </w:tcBorders>
            <w:vAlign w:val="center"/>
          </w:tcPr>
          <w:p w14:paraId="2D44733B" w14:textId="77777777" w:rsidR="008F1E9F" w:rsidRPr="00DD47DF" w:rsidRDefault="00274100" w:rsidP="003A6FFF">
            <w:pPr>
              <w:pStyle w:val="Tabulka"/>
              <w:rPr>
                <w:rFonts w:cs="Calibri"/>
              </w:rPr>
            </w:pPr>
            <w:r w:rsidRPr="00DD47DF">
              <w:rPr>
                <w:rFonts w:cs="Calibri"/>
              </w:rPr>
              <w:t>r</w:t>
            </w:r>
            <w:r w:rsidR="005F2E5E" w:rsidRPr="00DD47DF">
              <w:rPr>
                <w:rFonts w:cs="Calibri"/>
              </w:rPr>
              <w:t>očně</w:t>
            </w:r>
          </w:p>
        </w:tc>
      </w:tr>
    </w:tbl>
    <w:p w14:paraId="0A0C50CE" w14:textId="77777777" w:rsidR="00EC2D25" w:rsidRPr="00DD47DF" w:rsidRDefault="00EC2D25" w:rsidP="00DA3512">
      <w:pPr>
        <w:pStyle w:val="kapitola2A0"/>
        <w:numPr>
          <w:ilvl w:val="2"/>
          <w:numId w:val="66"/>
        </w:numPr>
      </w:pPr>
      <w:bookmarkStart w:id="71" w:name="_Toc506885018"/>
      <w:r w:rsidRPr="00DD47DF">
        <w:t>Opatření, jež má být podpořeno v rámci investiční priority</w:t>
      </w:r>
      <w:bookmarkEnd w:id="71"/>
    </w:p>
    <w:p w14:paraId="1584A40A" w14:textId="77777777" w:rsidR="0058402E" w:rsidRPr="00DD47DF" w:rsidRDefault="00D479AF" w:rsidP="003A6FFF">
      <w:pPr>
        <w:pStyle w:val="Nadpis5"/>
        <w:numPr>
          <w:ilvl w:val="4"/>
          <w:numId w:val="22"/>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1C95C5C3" w14:textId="77777777" w:rsidR="0058402E" w:rsidRPr="00DD47DF" w:rsidRDefault="000A2EB4" w:rsidP="007D5585">
      <w:pPr>
        <w:pStyle w:val="Standardntext"/>
        <w:keepNext/>
        <w:keepLines/>
        <w:rPr>
          <w:b/>
        </w:rPr>
      </w:pPr>
      <w:r w:rsidRPr="00DD47DF">
        <w:rPr>
          <w:b/>
        </w:rPr>
        <w:t>Aktivity pro tento specifický cíl:</w:t>
      </w:r>
    </w:p>
    <w:p w14:paraId="38D0912C" w14:textId="77777777" w:rsidR="00F24686" w:rsidRPr="00DD47DF" w:rsidRDefault="00E314F2" w:rsidP="00D927A2">
      <w:pPr>
        <w:pStyle w:val="Standardntext"/>
        <w:numPr>
          <w:ilvl w:val="0"/>
          <w:numId w:val="39"/>
        </w:numPr>
      </w:pPr>
      <w:r w:rsidRPr="00DD47DF">
        <w:t>N</w:t>
      </w:r>
      <w:r w:rsidR="00F24686" w:rsidRPr="00DD47DF">
        <w:t xml:space="preserve">asazení </w:t>
      </w:r>
      <w:r w:rsidR="00DA544B" w:rsidRPr="00DD47DF">
        <w:t xml:space="preserve">automatizovaných </w:t>
      </w:r>
      <w:r w:rsidR="00F24686" w:rsidRPr="00DD47DF">
        <w:t>dálkově ovládaných prvků v distribučních soustavách,</w:t>
      </w:r>
    </w:p>
    <w:p w14:paraId="345E1BD4" w14:textId="77777777" w:rsidR="00F24686" w:rsidRPr="00DD47DF" w:rsidRDefault="00F24686" w:rsidP="00D927A2">
      <w:pPr>
        <w:pStyle w:val="Standardntext"/>
        <w:numPr>
          <w:ilvl w:val="0"/>
          <w:numId w:val="39"/>
        </w:numPr>
      </w:pPr>
      <w:r w:rsidRPr="00DD47DF">
        <w:t xml:space="preserve">nasazení technologických prvků řízení napětí </w:t>
      </w:r>
      <w:r w:rsidR="00DA544B" w:rsidRPr="00DD47DF">
        <w:t xml:space="preserve">a výběrové osazení měření kvality elektrické energie </w:t>
      </w:r>
      <w:r w:rsidRPr="00DD47DF">
        <w:t>v distribučních soustavách,</w:t>
      </w:r>
    </w:p>
    <w:p w14:paraId="195E5B80" w14:textId="77777777" w:rsidR="00F24686" w:rsidRPr="00DD47DF" w:rsidRDefault="00E314F2" w:rsidP="00D927A2">
      <w:pPr>
        <w:pStyle w:val="Standardntext"/>
        <w:numPr>
          <w:ilvl w:val="0"/>
          <w:numId w:val="39"/>
        </w:numPr>
      </w:pPr>
      <w:r w:rsidRPr="00DD47DF">
        <w:lastRenderedPageBreak/>
        <w:t xml:space="preserve">řešení </w:t>
      </w:r>
      <w:r w:rsidR="00DA544B" w:rsidRPr="00DD47DF">
        <w:t>lokální bilance řízením toků výkonu mezi odběrateli a provozovatelem distribuční sítě</w:t>
      </w:r>
      <w:r w:rsidRPr="00DD47DF">
        <w:t>.</w:t>
      </w:r>
    </w:p>
    <w:p w14:paraId="53E8FBEA" w14:textId="77777777" w:rsidR="00896EDF" w:rsidRPr="00DD47DF" w:rsidRDefault="00E314F2" w:rsidP="00E314F2">
      <w:pPr>
        <w:pStyle w:val="Standardntext"/>
      </w:pPr>
      <w:r w:rsidRPr="00DD47DF">
        <w:t>Typovým projektem v rámci tohoto specifického cíle je nasazení vyššího</w:t>
      </w:r>
      <w:r w:rsidR="00E7342F" w:rsidRPr="00DD47DF">
        <w:t xml:space="preserve"> počtu </w:t>
      </w:r>
      <w:r w:rsidR="00DA544B" w:rsidRPr="00DD47DF">
        <w:t xml:space="preserve">automatizovaných </w:t>
      </w:r>
      <w:r w:rsidR="00E7342F" w:rsidRPr="00DD47DF">
        <w:t>dálkově ovládaných prvků</w:t>
      </w:r>
      <w:r w:rsidRPr="00DD47DF">
        <w:t xml:space="preserve"> v distribuční soustavě na hladině </w:t>
      </w:r>
      <w:r w:rsidR="00F444C1" w:rsidRPr="00DD47DF">
        <w:t xml:space="preserve">středního </w:t>
      </w:r>
      <w:r w:rsidRPr="00DD47DF">
        <w:t xml:space="preserve">napětí na topologicky vhodně zvolená místa. </w:t>
      </w:r>
      <w:r w:rsidR="00DA544B" w:rsidRPr="00DD47DF">
        <w:t>Dálkově ovládané prvky zlepší spolehlivost dodávky ve smyslu počtu přeruše</w:t>
      </w:r>
      <w:r w:rsidR="00E43457" w:rsidRPr="00DD47DF">
        <w:t>ní a zkrácení doby nedodávky elektrické</w:t>
      </w:r>
      <w:r w:rsidR="00DA544B" w:rsidRPr="00DD47DF">
        <w:t xml:space="preserve"> energie, snížení počtu postižených zákazníků a snížení nákladů souvisejících s identifikací poruchy v postiženém úseku vedení. Mezi automatizované dálkově ovládané prvky patří vypínače s funkcionalitou opětovného zapnutí, reclosery, dálkově ovládané odpínače s indikací, indikátory poruchových proudů, apod. Určení topologicky vhodně zvoleného místa bude na základě předložené výpočtové studie vždy s výběrem výsledné technické varianty řešení dle parametrů SAIDI a </w:t>
      </w:r>
      <w:r w:rsidR="007E355B" w:rsidRPr="00DD47DF">
        <w:t>čisté současné hodnoty</w:t>
      </w:r>
      <w:r w:rsidR="00DA544B" w:rsidRPr="00DD47DF">
        <w:t>.</w:t>
      </w:r>
    </w:p>
    <w:p w14:paraId="2C15259D" w14:textId="77777777" w:rsidR="00E314F2" w:rsidRPr="00DD47DF" w:rsidRDefault="00942A5B" w:rsidP="00E314F2">
      <w:pPr>
        <w:pStyle w:val="Standardntext"/>
      </w:pPr>
      <w:r w:rsidRPr="00DD47DF">
        <w:t xml:space="preserve">Výstupem projektu bude nasazení dálkově </w:t>
      </w:r>
      <w:r w:rsidR="00E314F2" w:rsidRPr="00DD47DF">
        <w:t xml:space="preserve">ovládaných prvků v distribuční soustavě, které se promítají do výsledků ve formě snížení provozních nákladů </w:t>
      </w:r>
      <w:r w:rsidR="00E873A7" w:rsidRPr="00DD47DF">
        <w:t>provozovatele distribuční soustavy</w:t>
      </w:r>
      <w:r w:rsidR="00E314F2" w:rsidRPr="00DD47DF">
        <w:t xml:space="preserve"> spojené s </w:t>
      </w:r>
      <w:r w:rsidR="00E873A7" w:rsidRPr="00DD47DF">
        <w:t>obnovou a zajištěním dodávek elektrické energie</w:t>
      </w:r>
      <w:r w:rsidR="00E43457" w:rsidRPr="00DD47DF">
        <w:t>,</w:t>
      </w:r>
      <w:r w:rsidR="00E314F2" w:rsidRPr="00DD47DF">
        <w:t xml:space="preserve"> z</w:t>
      </w:r>
      <w:r w:rsidR="00E873A7" w:rsidRPr="00DD47DF">
        <w:t>výšení spolehlivosti dodávek elektrické energie</w:t>
      </w:r>
      <w:r w:rsidR="00E43457" w:rsidRPr="00DD47DF">
        <w:t xml:space="preserve"> a postupné přiblížení spolehlivosti dodávek na úroveň obvyklou v zemích EU-15.</w:t>
      </w:r>
    </w:p>
    <w:p w14:paraId="4250B733" w14:textId="77777777" w:rsidR="00E43457" w:rsidRPr="00DD47DF" w:rsidRDefault="00E43457" w:rsidP="00E43457">
      <w:pPr>
        <w:pStyle w:val="Standardntext"/>
      </w:pPr>
      <w:r w:rsidRPr="00DD47DF">
        <w:t>Dalším typovým projektem v rámci tohoto specifického cíle je nasazení technologických prvků řízení napětí v distribučních soustavách a výběrové osazení měření kvality na hladině nízkého</w:t>
      </w:r>
      <w:r w:rsidR="00007987" w:rsidRPr="00DD47DF">
        <w:t xml:space="preserve"> (nn)</w:t>
      </w:r>
      <w:r w:rsidRPr="00DD47DF">
        <w:t xml:space="preserve"> a středního </w:t>
      </w:r>
      <w:r w:rsidR="00007987" w:rsidRPr="00DD47DF">
        <w:t xml:space="preserve">(vn) </w:t>
      </w:r>
      <w:r w:rsidRPr="00DD47DF">
        <w:t xml:space="preserve">napětí. Tyto prvky umožní zvýšení kvality dodávané energie (především parametr napětí), umožní eliminaci nepříznivých jevů nepredikovatelných výrobních zdrojů na kvalitu napětí a připraví distribuční společnosti na další očekávanou integraci decentralizovaných zdrojů energie. </w:t>
      </w:r>
    </w:p>
    <w:p w14:paraId="2D90FE17" w14:textId="77777777" w:rsidR="00E43457" w:rsidRPr="00DD47DF" w:rsidRDefault="00E43457" w:rsidP="00E43457">
      <w:pPr>
        <w:pStyle w:val="Standardntext"/>
      </w:pPr>
      <w:r w:rsidRPr="00DD47DF">
        <w:t>Mezi technologické prvky řízení napětí patří linkové kondicionéry na nn úrovni, distribuční transformátory vn/nn s automatickou regulací odboček pod zátěží a opatření na straně provozovatele distribuční sítě v oblasti regulace jalového výkonu výroben (úpravy dispečerských řídicích systémů, úpravy a integrace SW algoritmů pro řízení napětí v jednotlivých oblastech 110 kV/vn, prostředky dálkové komunikace a doplnění měření). Mezi technologické prvky měření kvality na vn/nn úrovni patří výběrové osazení univerzálních monitorů, integrovaných datových koncentrátorů umožňujících měření parametrů kvality, prostředků dálkové komunikace, úpravu SW systémů pro vyhodnocování kvality el. energie).</w:t>
      </w:r>
    </w:p>
    <w:p w14:paraId="2E7074AD" w14:textId="77777777" w:rsidR="00E43457" w:rsidRPr="00DD47DF" w:rsidRDefault="00942A5B" w:rsidP="00E43457">
      <w:pPr>
        <w:pStyle w:val="Standardntext"/>
      </w:pPr>
      <w:r w:rsidRPr="00DD47DF">
        <w:t xml:space="preserve">Výstupem projektu bude nasazení prvků řízení napětí v distribučních soustavách a výběrové osazení </w:t>
      </w:r>
      <w:r w:rsidR="00E43457" w:rsidRPr="00DD47DF">
        <w:t>měření kvality na vn/nn úrovni, které se promítají do výsledků ve formě snížení investičních nákladů provozovatele distribuční soustavy spojené s nápra</w:t>
      </w:r>
      <w:r w:rsidR="00007987" w:rsidRPr="00DD47DF">
        <w:t>vným řešením kvality dodávek elektrické</w:t>
      </w:r>
      <w:r w:rsidR="00E43457" w:rsidRPr="00DD47DF">
        <w:t xml:space="preserve"> energie, snížením počtu stížností zák</w:t>
      </w:r>
      <w:r w:rsidR="00007987" w:rsidRPr="00DD47DF">
        <w:t>azníků na kvalitu elektrické</w:t>
      </w:r>
      <w:r w:rsidR="00E43457" w:rsidRPr="00DD47DF">
        <w:t xml:space="preserve"> energie, snížením budoucího rizika zhoršování kvality napětí související s dalším připojováním decentralizovaných zdrojů energie na hladině nn a provozování vn vedení s konstantní úrovní napětí, tzn. zvýšení bezpečnosti a spolehlivosti.</w:t>
      </w:r>
    </w:p>
    <w:p w14:paraId="2B38CCCB" w14:textId="77777777" w:rsidR="00E43457" w:rsidRPr="00DD47DF" w:rsidRDefault="00E43457" w:rsidP="00007987">
      <w:pPr>
        <w:pStyle w:val="Standardntext"/>
      </w:pPr>
      <w:r w:rsidRPr="00DD47DF">
        <w:t>Dalším typovým projektem v rámci tohoto specifického cíle je technologické řešení lokální bilance řízením toků výkonu mezi odběrateli a provozovatelem distribuční sítě. Využitím dostupného výkonu akumulačních spotřebičů a změny logiky spínání hromadného dálkového ovládání na výkonovou bilanci distribuční trafostanice se sníží</w:t>
      </w:r>
      <w:r w:rsidR="00007987" w:rsidRPr="00DD47DF">
        <w:t>,</w:t>
      </w:r>
      <w:r w:rsidRPr="00DD47DF">
        <w:t xml:space="preserve"> až eliminují negativní vlivy lokálně zapojených nepredikovatelných výrobních zdrojů (FVE), především přetoky el</w:t>
      </w:r>
      <w:r w:rsidR="00007987" w:rsidRPr="00DD47DF">
        <w:t>ektrické</w:t>
      </w:r>
      <w:r w:rsidRPr="00DD47DF">
        <w:t xml:space="preserve"> energie do vyšší napěťové hladiny. Mezi technologické prvky lokální bilance řízení patří </w:t>
      </w:r>
      <w:r w:rsidRPr="00DD47DF">
        <w:lastRenderedPageBreak/>
        <w:t xml:space="preserve">spínače dostupného výkonu akumulačních spotřebičů u odběratelů, predikční nástroje pro výrobní zdroje (FVE) na lokální úrovni a </w:t>
      </w:r>
      <w:r w:rsidR="00007987" w:rsidRPr="00DD47DF">
        <w:t>řídicí</w:t>
      </w:r>
      <w:r w:rsidRPr="00DD47DF">
        <w:t xml:space="preserve"> systém na lokální úrovni.</w:t>
      </w:r>
    </w:p>
    <w:p w14:paraId="3D154736" w14:textId="77777777" w:rsidR="00E43457" w:rsidRPr="00DD47DF" w:rsidRDefault="00E43457" w:rsidP="00007987">
      <w:pPr>
        <w:pStyle w:val="Standardntext"/>
      </w:pPr>
      <w:r w:rsidRPr="00DD47DF">
        <w:t>Výstupem projektu bude nasazení prvků řešení lokální bilance řízením toků výkonu mezi odběrateli a provozovatelem distribuční sítě, které se promítají do výsledků ve formě eliminace přetoků do vyšších napěťových hladin, snižování ztrát a zvyšování účinnosti distribuce el</w:t>
      </w:r>
      <w:r w:rsidR="00007987" w:rsidRPr="00DD47DF">
        <w:t>ektrické</w:t>
      </w:r>
      <w:r w:rsidRPr="00DD47DF">
        <w:t xml:space="preserve"> energie na lokální úrovni.</w:t>
      </w:r>
    </w:p>
    <w:p w14:paraId="7459B6AF" w14:textId="77777777" w:rsidR="00E314F2" w:rsidRPr="00DD47DF" w:rsidRDefault="00C64425" w:rsidP="00E314F2">
      <w:pPr>
        <w:pStyle w:val="Standardntext"/>
      </w:pPr>
      <w:r w:rsidRPr="00DD47DF">
        <w:t>Aktivity jsou definovány ve vazbě na aktualizovanou Státní energetickou koncepci</w:t>
      </w:r>
      <w:r w:rsidR="007D0E83" w:rsidRPr="00DD47DF">
        <w:t>, přičemž p</w:t>
      </w:r>
      <w:r w:rsidR="00007987" w:rsidRPr="00DD47DF">
        <w:t>odrobnější specifikace realizovaných opatření bude v souladu s cíli a kartami opatření </w:t>
      </w:r>
      <w:r w:rsidR="00E314F2" w:rsidRPr="00DD47DF">
        <w:t xml:space="preserve">Národního akčního plánu </w:t>
      </w:r>
      <w:r w:rsidR="00007987" w:rsidRPr="00DD47DF">
        <w:t>Smart Grids</w:t>
      </w:r>
      <w:r w:rsidR="00E314F2" w:rsidRPr="00DD47DF">
        <w:t>.</w:t>
      </w:r>
    </w:p>
    <w:p w14:paraId="30C25023" w14:textId="77777777" w:rsidR="00A56556" w:rsidRPr="00DD47DF" w:rsidRDefault="00A56556" w:rsidP="00A56556">
      <w:pPr>
        <w:pStyle w:val="Standardntext"/>
      </w:pPr>
      <w:r w:rsidRPr="00DD47DF">
        <w:t xml:space="preserve">Současně budou aktivity v souladu s níže uvedenou definici Smart grid: </w:t>
      </w:r>
    </w:p>
    <w:p w14:paraId="29890C3C" w14:textId="77777777" w:rsidR="00A56556" w:rsidRPr="00DD47DF" w:rsidRDefault="00270C11" w:rsidP="00A56556">
      <w:pPr>
        <w:pStyle w:val="Standardntext"/>
      </w:pPr>
      <w:r w:rsidRPr="00DD47DF">
        <w:t>Inteligentní sítí se rozumí elektrická síť, která může nákladově efektivně zohlednit chování a akce všech uživatelů na ni napojených, včetně výrobců, spotřebitelů a těch, kteří elektřinu vyrábějí i spotřebovávají, k zajištění ekonomicky efektivní udržitelné elektrické soustavy s malými ztrátami a vysokou úrovní jakosti a bezpečnosti dodávek a zabezpečení.</w:t>
      </w:r>
    </w:p>
    <w:p w14:paraId="09A71226" w14:textId="77777777" w:rsidR="0058402E" w:rsidRPr="00DD47DF" w:rsidRDefault="0058402E" w:rsidP="00D540FC">
      <w:pPr>
        <w:pStyle w:val="Standardntext"/>
      </w:pPr>
      <w:r w:rsidRPr="00DD47DF">
        <w:rPr>
          <w:b/>
        </w:rPr>
        <w:t xml:space="preserve">Hlavní cílová skupina: </w:t>
      </w:r>
      <w:r w:rsidR="00127389" w:rsidRPr="00DD47DF">
        <w:t>P</w:t>
      </w:r>
      <w:r w:rsidR="00D540FC" w:rsidRPr="00DD47DF">
        <w:t>rovozovatelé distribučních soustav, kteří se hodlají soustředit na modernizaci a rozvoj distribučních soustav.</w:t>
      </w:r>
      <w:r w:rsidRPr="00DD47DF">
        <w:t xml:space="preserve"> </w:t>
      </w:r>
    </w:p>
    <w:p w14:paraId="696FDFB1" w14:textId="77777777" w:rsidR="0058402E" w:rsidRPr="00DD47DF" w:rsidRDefault="0058402E" w:rsidP="00D540FC">
      <w:pPr>
        <w:pStyle w:val="Standardntext"/>
      </w:pPr>
      <w:r w:rsidRPr="00DD47DF">
        <w:rPr>
          <w:b/>
        </w:rPr>
        <w:t>Cílové území:</w:t>
      </w:r>
      <w:r w:rsidRPr="00DD47DF">
        <w:t xml:space="preserve"> </w:t>
      </w:r>
      <w:r w:rsidR="001E0AA2" w:rsidRPr="00DD47DF">
        <w:t>Území České republiky, mimo území hl. m. Prahy.</w:t>
      </w:r>
      <w:r w:rsidR="00015039" w:rsidRPr="00DD47DF">
        <w:t xml:space="preserve"> </w:t>
      </w:r>
      <w:r w:rsidR="00A46CD6" w:rsidRPr="00DD47DF">
        <w:t>Předpokládá se plošné směrování intervencí bez vymezení územní dimenze</w:t>
      </w:r>
      <w:r w:rsidR="00015039" w:rsidRPr="00DD47DF">
        <w:t>.</w:t>
      </w:r>
    </w:p>
    <w:p w14:paraId="03E589BB" w14:textId="77777777" w:rsidR="007D0E83" w:rsidRPr="00DD47DF" w:rsidRDefault="0058402E" w:rsidP="007D0E83">
      <w:pPr>
        <w:pStyle w:val="Standardntext"/>
      </w:pPr>
      <w:r w:rsidRPr="00DD47DF">
        <w:rPr>
          <w:b/>
        </w:rPr>
        <w:t xml:space="preserve">Typy příjemců: </w:t>
      </w:r>
      <w:r w:rsidRPr="00DD47DF">
        <w:t>Podnikatelské subjekty (</w:t>
      </w:r>
      <w:r w:rsidR="00D540FC" w:rsidRPr="00DD47DF">
        <w:t>zejména střední a velké podniky</w:t>
      </w:r>
      <w:r w:rsidRPr="00DD47DF">
        <w:t>).</w:t>
      </w:r>
      <w:r w:rsidR="00E314F2" w:rsidRPr="00DD47DF">
        <w:t xml:space="preserve"> Provozovatelé distribučních sítí jsou </w:t>
      </w:r>
      <w:r w:rsidR="007D0E83" w:rsidRPr="00DD47DF">
        <w:t xml:space="preserve">v ČR </w:t>
      </w:r>
      <w:r w:rsidR="00E314F2" w:rsidRPr="00DD47DF">
        <w:t xml:space="preserve">zpravidla velké podniky, tudíž rozvoj </w:t>
      </w:r>
      <w:r w:rsidR="007D0E83" w:rsidRPr="00DD47DF">
        <w:t>inteligentních</w:t>
      </w:r>
      <w:r w:rsidR="00E314F2" w:rsidRPr="00DD47DF">
        <w:t xml:space="preserve"> sítí nelze realizovat v segmentu malých a středních firem.</w:t>
      </w:r>
      <w:r w:rsidR="007D0E83" w:rsidRPr="00DD47DF">
        <w:t xml:space="preserve"> Provozovatelé distribučních sítí jsou držitelem licence na distribuci elektřiny a zřizují technický dispečink pro výkon činností v případě, že provozují zařízení s napětím 110 kV ve smyslu energetického zákona č. 458/2000 Sb. K realizaci výše uvedených podporovaných aktivit je nutné dispečerské řízení prostřednictvím technického dispečinku. Odpovědnost za realizaci podporovaných aktivit inteligentních sítí mají provozovatelé distribučních sítí, jak vyplývá např. z dokumentů SET Plan / iniciativy European Electricity Grid Initiative.</w:t>
      </w:r>
    </w:p>
    <w:p w14:paraId="17E18B26" w14:textId="77777777" w:rsidR="0058402E" w:rsidRPr="00DD47DF" w:rsidRDefault="00BA6461" w:rsidP="005F43DF">
      <w:pPr>
        <w:pStyle w:val="Nadpis5"/>
        <w:numPr>
          <w:ilvl w:val="4"/>
          <w:numId w:val="22"/>
        </w:numPr>
      </w:pPr>
      <w:r w:rsidRPr="00DD47DF">
        <w:t>Hlavní zásady pro výběr operací</w:t>
      </w:r>
    </w:p>
    <w:p w14:paraId="42A3FDD5"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284DA3BB" w14:textId="77777777" w:rsidR="00B12F31" w:rsidRPr="00DD47DF" w:rsidRDefault="00B12F31" w:rsidP="00B12F31">
      <w:pPr>
        <w:pStyle w:val="Standardntext"/>
      </w:pPr>
      <w:r w:rsidRPr="00DD47DF">
        <w:t>V rámci výběru a hodnocení projektů budou posuzována především následující kritéria:</w:t>
      </w:r>
    </w:p>
    <w:p w14:paraId="458EFE1F" w14:textId="77777777" w:rsidR="00B12F31" w:rsidRPr="00DD47DF" w:rsidRDefault="00B12F31" w:rsidP="00D927A2">
      <w:pPr>
        <w:pStyle w:val="Standardntext"/>
        <w:numPr>
          <w:ilvl w:val="0"/>
          <w:numId w:val="43"/>
        </w:numPr>
      </w:pPr>
      <w:r w:rsidRPr="00DD47DF">
        <w:t xml:space="preserve">Kvalita a potřebnost </w:t>
      </w:r>
      <w:r w:rsidR="00C0640C" w:rsidRPr="00DD47DF">
        <w:t xml:space="preserve">projektu </w:t>
      </w:r>
      <w:r w:rsidRPr="00DD47DF">
        <w:t xml:space="preserve">s ohledem na </w:t>
      </w:r>
      <w:r w:rsidR="00DC4382" w:rsidRPr="00DD47DF">
        <w:t>jeho</w:t>
      </w:r>
      <w:r w:rsidRPr="00DD47DF">
        <w:t xml:space="preserve"> přínosy k bezpečnosti distribuční soustavy a nově zavedené technologie.</w:t>
      </w:r>
    </w:p>
    <w:p w14:paraId="19B7C627" w14:textId="77777777" w:rsidR="00B12F31" w:rsidRPr="00DD47DF" w:rsidRDefault="00B12F31"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3A39864F" w14:textId="77777777" w:rsidR="00192F36" w:rsidRPr="00DD47DF" w:rsidRDefault="00192F36"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4BE24AC2" w14:textId="77777777" w:rsidR="0058402E" w:rsidRPr="00DD47DF" w:rsidRDefault="00BA6461" w:rsidP="005F43DF">
      <w:pPr>
        <w:pStyle w:val="Nadpis5"/>
        <w:numPr>
          <w:ilvl w:val="4"/>
          <w:numId w:val="22"/>
        </w:numPr>
        <w:rPr>
          <w:rFonts w:cs="Calibri"/>
        </w:rPr>
      </w:pPr>
      <w:r w:rsidRPr="00DD47DF">
        <w:lastRenderedPageBreak/>
        <w:t>Plánované využití finančních nástrojů (použije-li se)</w:t>
      </w:r>
    </w:p>
    <w:p w14:paraId="435AC7F2" w14:textId="77777777" w:rsidR="0058402E" w:rsidRPr="00DD47DF" w:rsidRDefault="00352703" w:rsidP="002A4D1D">
      <w:pPr>
        <w:pStyle w:val="Standardntext"/>
        <w:rPr>
          <w:color w:val="FF0000"/>
        </w:rPr>
      </w:pPr>
      <w:r w:rsidRPr="00DD47DF">
        <w:t xml:space="preserve">Řídící orgán nepředpokládá využití finančních nástrojů v této investiční prioritě. </w:t>
      </w:r>
      <w:r w:rsidR="006F58B4" w:rsidRPr="00DD47DF">
        <w:t>Detaily</w:t>
      </w:r>
      <w:r w:rsidRPr="00DD47DF">
        <w:t xml:space="preserve"> stanoví konečná verze předběžného posouzení finančních nástrojů OP PIK dle čl. 37 odst. 2 obecného nařízení, které provede ŘO OP PIK, případně jeho revize podle čl. 37 odst. 2 písm. g) obecného nařízení.</w:t>
      </w:r>
    </w:p>
    <w:p w14:paraId="0CB57618" w14:textId="77777777" w:rsidR="0058402E" w:rsidRPr="00DD47DF" w:rsidRDefault="00BA6461" w:rsidP="005F43DF">
      <w:pPr>
        <w:pStyle w:val="Nadpis5"/>
        <w:numPr>
          <w:ilvl w:val="4"/>
          <w:numId w:val="22"/>
        </w:numPr>
      </w:pPr>
      <w:r w:rsidRPr="00DD47DF">
        <w:t>Plánované využití velkých projektů (použije-li se)</w:t>
      </w:r>
    </w:p>
    <w:p w14:paraId="28802EC4" w14:textId="77777777" w:rsidR="002A4D1D" w:rsidRPr="00DD47DF" w:rsidRDefault="002A4D1D" w:rsidP="002A4D1D">
      <w:pPr>
        <w:pStyle w:val="Standardntext"/>
      </w:pPr>
      <w:r w:rsidRPr="00DD47DF">
        <w:t xml:space="preserve">Velké projekty ve smyslu čl. </w:t>
      </w:r>
      <w:r w:rsidR="008F52F8" w:rsidRPr="00DD47DF">
        <w:t>10</w:t>
      </w:r>
      <w:r w:rsidRPr="00DD47DF">
        <w:t>0 obecného nařízení nejsou plánovány.</w:t>
      </w:r>
    </w:p>
    <w:p w14:paraId="588EE9F2" w14:textId="77777777" w:rsidR="0058402E" w:rsidRPr="00DD47DF" w:rsidRDefault="00BA6461" w:rsidP="005F43DF">
      <w:pPr>
        <w:pStyle w:val="Nadpis5"/>
        <w:numPr>
          <w:ilvl w:val="4"/>
          <w:numId w:val="22"/>
        </w:numPr>
      </w:pPr>
      <w:r w:rsidRPr="00DD47DF">
        <w:t>Ukazatele výstupů podle investiční priority a případně podle kategorie regionů</w:t>
      </w:r>
    </w:p>
    <w:p w14:paraId="7DB1D375" w14:textId="77777777" w:rsidR="0058402E" w:rsidRPr="00DD47DF" w:rsidRDefault="0058402E" w:rsidP="00EC2D25">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671"/>
        <w:gridCol w:w="2194"/>
        <w:gridCol w:w="1081"/>
        <w:gridCol w:w="665"/>
        <w:gridCol w:w="1275"/>
        <w:gridCol w:w="1140"/>
        <w:gridCol w:w="1050"/>
        <w:gridCol w:w="1250"/>
      </w:tblGrid>
      <w:tr w:rsidR="001B2E5C" w:rsidRPr="00DD47DF" w14:paraId="091ECFEF" w14:textId="77777777">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A0A3AF2" w14:textId="77777777" w:rsidR="001B2E5C" w:rsidRPr="00DD47DF" w:rsidRDefault="001B2E5C" w:rsidP="00EC2D25">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584311A" w14:textId="77777777" w:rsidR="001B2E5C" w:rsidRPr="00DD47DF" w:rsidRDefault="001B2E5C" w:rsidP="00EC2D25">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B5C8E76" w14:textId="77777777" w:rsidR="001B2E5C" w:rsidRPr="00DD47DF" w:rsidRDefault="001B2E5C" w:rsidP="00EC2D25">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8D1FA71" w14:textId="77777777" w:rsidR="001B2E5C" w:rsidRPr="00DD47DF" w:rsidRDefault="001B2E5C" w:rsidP="00EC2D25">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A819605" w14:textId="77777777" w:rsidR="001B2E5C" w:rsidRPr="00DD47DF" w:rsidRDefault="001B2E5C" w:rsidP="00EC2D25">
            <w:pPr>
              <w:pStyle w:val="Tabulka"/>
              <w:keepNext/>
              <w:keepLines/>
              <w:rPr>
                <w:rFonts w:cs="Calibri"/>
                <w:b/>
              </w:rPr>
            </w:pPr>
            <w:r w:rsidRPr="00DD47DF">
              <w:rPr>
                <w:rFonts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86516E9" w14:textId="77777777" w:rsidR="001B2E5C" w:rsidRPr="00DD47DF" w:rsidRDefault="001B2E5C" w:rsidP="00D57106">
            <w:pPr>
              <w:pStyle w:val="Tabulka"/>
              <w:keepNext/>
              <w:keepLines/>
              <w:rPr>
                <w:rFonts w:cs="Calibri"/>
                <w:b/>
              </w:rPr>
            </w:pPr>
            <w:r w:rsidRPr="00DD47DF">
              <w:rPr>
                <w:rFonts w:cs="Calibri"/>
                <w:b/>
              </w:rPr>
              <w:t>Cílová hodnota</w:t>
            </w:r>
            <w:r w:rsidR="00D57106" w:rsidRPr="00DD47DF">
              <w:rPr>
                <w:rFonts w:cs="Calibri"/>
                <w:b/>
              </w:rPr>
              <w:t xml:space="preserve"> </w:t>
            </w: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92C9AFE" w14:textId="77777777" w:rsidR="001B2E5C" w:rsidRPr="00DD47DF" w:rsidRDefault="001B2E5C" w:rsidP="00EC2D25">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F4304E0" w14:textId="77777777" w:rsidR="001B2E5C" w:rsidRPr="00DD47DF" w:rsidRDefault="001B2E5C" w:rsidP="00EC2D25">
            <w:pPr>
              <w:pStyle w:val="Tabulka"/>
              <w:keepNext/>
              <w:keepLines/>
              <w:rPr>
                <w:rFonts w:cs="Calibri"/>
                <w:b/>
              </w:rPr>
            </w:pPr>
            <w:r w:rsidRPr="00DD47DF">
              <w:rPr>
                <w:rFonts w:cs="Calibri"/>
                <w:b/>
              </w:rPr>
              <w:t>Četnost podávání zpráv</w:t>
            </w:r>
          </w:p>
        </w:tc>
      </w:tr>
      <w:tr w:rsidR="00FD0399" w:rsidRPr="00DD47DF" w14:paraId="1E44C9B4"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E1BAD08" w14:textId="0B038AAF" w:rsidR="00FD0399" w:rsidRPr="00DD47DF" w:rsidRDefault="00C75691" w:rsidP="00EC2D25">
            <w:pPr>
              <w:pStyle w:val="Tabulka"/>
              <w:keepNext/>
              <w:keepLines/>
              <w:rPr>
                <w:rFonts w:cs="Calibri"/>
              </w:rPr>
            </w:pPr>
            <w:r w:rsidRPr="00DD47DF">
              <w:rPr>
                <w:rFonts w:cs="Calibri"/>
              </w:rPr>
              <w:t xml:space="preserve">CO </w:t>
            </w:r>
            <w:r w:rsidR="00081C97" w:rsidRPr="00DD47DF">
              <w:rPr>
                <w:rFonts w:cs="Calibri"/>
              </w:rPr>
              <w:t>0</w:t>
            </w:r>
            <w:r w:rsidR="00FD0399"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06CA085E" w14:textId="77777777" w:rsidR="00FD0399" w:rsidRPr="00DD47DF" w:rsidRDefault="007D6298" w:rsidP="00EC2D25">
            <w:pPr>
              <w:pStyle w:val="Tabulka"/>
              <w:keepNext/>
              <w:keepLines/>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0FAFA663" w14:textId="77777777" w:rsidR="00FD0399" w:rsidRPr="00DD47DF" w:rsidRDefault="00FD0399" w:rsidP="00EC2D25">
            <w:pPr>
              <w:pStyle w:val="Tabulka"/>
              <w:keepNext/>
              <w:keepLines/>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608EEC32" w14:textId="77777777" w:rsidR="00FD0399" w:rsidRPr="00DD47DF" w:rsidRDefault="002B3F69" w:rsidP="00EC2D25">
            <w:pPr>
              <w:pStyle w:val="Tabulka"/>
              <w:keepNext/>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60817E6" w14:textId="77777777" w:rsidR="00FD0399" w:rsidRPr="00DD47DF" w:rsidRDefault="00FD0399" w:rsidP="00EC2D25">
            <w:pPr>
              <w:pStyle w:val="Tabulka"/>
              <w:keepNext/>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F89B54F" w14:textId="77777777" w:rsidR="00FD0399" w:rsidRPr="00DD47DF" w:rsidRDefault="00CC54BE" w:rsidP="00EC2D25">
            <w:pPr>
              <w:pStyle w:val="Tabulka"/>
              <w:keepNext/>
              <w:keepLines/>
              <w:rPr>
                <w:rFonts w:cs="Calibri"/>
              </w:rPr>
            </w:pPr>
            <w:r w:rsidRPr="00DD47DF">
              <w:rPr>
                <w:rFonts w:cs="Calibri"/>
              </w:rPr>
              <w:t>22</w:t>
            </w:r>
          </w:p>
        </w:tc>
        <w:tc>
          <w:tcPr>
            <w:tcW w:w="0" w:type="auto"/>
            <w:tcBorders>
              <w:top w:val="single" w:sz="4" w:space="0" w:color="000000"/>
              <w:left w:val="single" w:sz="4" w:space="0" w:color="000000"/>
              <w:bottom w:val="single" w:sz="4" w:space="0" w:color="000000"/>
              <w:right w:val="single" w:sz="4" w:space="0" w:color="000000"/>
            </w:tcBorders>
            <w:vAlign w:val="center"/>
          </w:tcPr>
          <w:p w14:paraId="40FD80F9" w14:textId="77777777" w:rsidR="00FD0399" w:rsidRPr="00DD47DF" w:rsidRDefault="00FC7054" w:rsidP="00EC2D25">
            <w:pPr>
              <w:pStyle w:val="Tabulka"/>
              <w:keepNext/>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5849B22A" w14:textId="77777777" w:rsidR="00FD0399" w:rsidRPr="00DD47DF" w:rsidRDefault="00FC7054" w:rsidP="00EC2D25">
            <w:pPr>
              <w:pStyle w:val="Tabulka"/>
              <w:keepNext/>
              <w:keepLines/>
              <w:rPr>
                <w:rFonts w:cs="Calibri"/>
              </w:rPr>
            </w:pPr>
            <w:r>
              <w:rPr>
                <w:rFonts w:cs="Calibri"/>
              </w:rPr>
              <w:t>průběžně</w:t>
            </w:r>
          </w:p>
        </w:tc>
      </w:tr>
      <w:tr w:rsidR="002B3F69" w:rsidRPr="00DD47DF" w14:paraId="0B4E29CE"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FFACD11" w14:textId="21EC1D70" w:rsidR="002B3F69" w:rsidRPr="00DD47DF" w:rsidRDefault="00C75691" w:rsidP="007E38FF">
            <w:pPr>
              <w:pStyle w:val="Tabulka"/>
              <w:rPr>
                <w:rFonts w:cs="Calibri"/>
              </w:rPr>
            </w:pPr>
            <w:r w:rsidRPr="00DD47DF">
              <w:rPr>
                <w:rFonts w:cs="Calibri"/>
              </w:rPr>
              <w:t xml:space="preserve">CO </w:t>
            </w:r>
            <w:r w:rsidR="00081C97" w:rsidRPr="00DD47DF">
              <w:rPr>
                <w:rFonts w:cs="Calibri"/>
              </w:rPr>
              <w:t>0</w:t>
            </w:r>
            <w:r w:rsidR="002B3F69"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6399D460" w14:textId="77777777" w:rsidR="002B3F69" w:rsidRPr="00DD47DF" w:rsidRDefault="002B3F69" w:rsidP="007E38FF">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F75407E" w14:textId="77777777" w:rsidR="002B3F69" w:rsidRPr="00DD47DF" w:rsidRDefault="002B3F69" w:rsidP="007E38FF">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7037DE8A" w14:textId="77777777" w:rsidR="002B3F69" w:rsidRPr="00DD47DF" w:rsidRDefault="002B3F69" w:rsidP="007E38FF">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A6139E3" w14:textId="77777777" w:rsidR="002B3F69" w:rsidRPr="00DD47DF" w:rsidRDefault="002B3F69" w:rsidP="007E38FF">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6EF686B7" w14:textId="77777777" w:rsidR="002B3F69" w:rsidRPr="00DD47DF" w:rsidRDefault="00CC54BE" w:rsidP="007E38FF">
            <w:pPr>
              <w:pStyle w:val="Tabulka"/>
              <w:rPr>
                <w:rFonts w:cs="Calibri"/>
              </w:rPr>
            </w:pPr>
            <w:r w:rsidRPr="00DD47DF">
              <w:rPr>
                <w:rFonts w:cs="Calibri"/>
              </w:rPr>
              <w:t>22</w:t>
            </w:r>
          </w:p>
        </w:tc>
        <w:tc>
          <w:tcPr>
            <w:tcW w:w="0" w:type="auto"/>
            <w:tcBorders>
              <w:top w:val="single" w:sz="4" w:space="0" w:color="000000"/>
              <w:left w:val="single" w:sz="4" w:space="0" w:color="000000"/>
              <w:bottom w:val="single" w:sz="4" w:space="0" w:color="000000"/>
              <w:right w:val="single" w:sz="4" w:space="0" w:color="000000"/>
            </w:tcBorders>
            <w:vAlign w:val="center"/>
          </w:tcPr>
          <w:p w14:paraId="029AFEBD" w14:textId="77777777" w:rsidR="002B3F69" w:rsidRPr="00DD47DF" w:rsidRDefault="00FC7054" w:rsidP="007E38FF">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F2B4DA3" w14:textId="77777777" w:rsidR="002B3F69" w:rsidRPr="00DD47DF" w:rsidRDefault="00FC7054" w:rsidP="007E38FF">
            <w:pPr>
              <w:pStyle w:val="Tabulka"/>
              <w:rPr>
                <w:rFonts w:cs="Calibri"/>
              </w:rPr>
            </w:pPr>
            <w:r>
              <w:rPr>
                <w:rFonts w:cs="Calibri"/>
              </w:rPr>
              <w:t>průběžně</w:t>
            </w:r>
          </w:p>
        </w:tc>
      </w:tr>
      <w:tr w:rsidR="002B3F69" w:rsidRPr="00DD47DF" w14:paraId="2FDD4640" w14:textId="77777777" w:rsidTr="008F259C">
        <w:trPr>
          <w:trHeight w:val="363"/>
        </w:trPr>
        <w:tc>
          <w:tcPr>
            <w:tcW w:w="0" w:type="auto"/>
            <w:tcBorders>
              <w:top w:val="single" w:sz="4" w:space="0" w:color="000000"/>
              <w:left w:val="single" w:sz="4" w:space="0" w:color="000000"/>
              <w:bottom w:val="single" w:sz="4" w:space="0" w:color="000000"/>
              <w:right w:val="single" w:sz="4" w:space="0" w:color="000000"/>
            </w:tcBorders>
            <w:vAlign w:val="center"/>
          </w:tcPr>
          <w:p w14:paraId="50A6882B" w14:textId="7A321E90" w:rsidR="002B3F69" w:rsidRPr="00DD47DF" w:rsidRDefault="00C75691" w:rsidP="008F259C">
            <w:pPr>
              <w:pStyle w:val="Tabulka"/>
              <w:keepLines/>
              <w:rPr>
                <w:rFonts w:cs="Calibri"/>
              </w:rPr>
            </w:pPr>
            <w:r w:rsidRPr="00DD47DF">
              <w:rPr>
                <w:rFonts w:cs="Calibri"/>
              </w:rPr>
              <w:t xml:space="preserve">CO </w:t>
            </w:r>
            <w:r w:rsidR="00081C97" w:rsidRPr="00DD47DF">
              <w:rPr>
                <w:rFonts w:cs="Calibri"/>
              </w:rPr>
              <w:t>0</w:t>
            </w:r>
            <w:r w:rsidR="002B3F69"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1FC2CCA3" w14:textId="77777777" w:rsidR="002B3F69" w:rsidRPr="00DD47DF" w:rsidRDefault="00892451" w:rsidP="008F259C">
            <w:pPr>
              <w:pStyle w:val="Tabulka"/>
              <w:keepLines/>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0F315C17" w14:textId="77777777" w:rsidR="002B3F69" w:rsidRPr="00DD47DF" w:rsidRDefault="002B3F69" w:rsidP="008F259C">
            <w:pPr>
              <w:pStyle w:val="Tabulka"/>
              <w:keepLines/>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73A68DC8" w14:textId="77777777" w:rsidR="002B3F69" w:rsidRPr="00DD47DF" w:rsidRDefault="002B3F69" w:rsidP="008F259C">
            <w:pPr>
              <w:pStyle w:val="Tabulka"/>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79A3109" w14:textId="77777777" w:rsidR="002B3F69" w:rsidRPr="00DD47DF" w:rsidRDefault="002B3F69" w:rsidP="008F259C">
            <w:pPr>
              <w:pStyle w:val="Tabulka"/>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157F804" w14:textId="77777777" w:rsidR="002B3F69" w:rsidRPr="00DD47DF" w:rsidRDefault="00CC54BE" w:rsidP="008F259C">
            <w:pPr>
              <w:pStyle w:val="Tabulka"/>
              <w:keepLines/>
              <w:rPr>
                <w:rFonts w:cs="Calibri"/>
              </w:rPr>
            </w:pPr>
            <w:r w:rsidRPr="00DD47DF">
              <w:rPr>
                <w:rFonts w:cs="Calibri"/>
              </w:rPr>
              <w:t>47</w:t>
            </w:r>
            <w:r w:rsidR="00354027" w:rsidRPr="00DD47DF">
              <w:rPr>
                <w:rFonts w:cs="Calibri"/>
              </w:rPr>
              <w:t> 0</w:t>
            </w:r>
            <w:r w:rsidR="00F21878" w:rsidRPr="00DD47DF">
              <w:rPr>
                <w:rFonts w:cs="Calibri"/>
              </w:rPr>
              <w:t>00 000</w:t>
            </w:r>
          </w:p>
        </w:tc>
        <w:tc>
          <w:tcPr>
            <w:tcW w:w="0" w:type="auto"/>
            <w:tcBorders>
              <w:top w:val="single" w:sz="4" w:space="0" w:color="000000"/>
              <w:left w:val="single" w:sz="4" w:space="0" w:color="000000"/>
              <w:bottom w:val="single" w:sz="4" w:space="0" w:color="000000"/>
              <w:right w:val="single" w:sz="4" w:space="0" w:color="000000"/>
            </w:tcBorders>
            <w:vAlign w:val="center"/>
          </w:tcPr>
          <w:p w14:paraId="36D291D0" w14:textId="77777777" w:rsidR="002B3F69" w:rsidRPr="00DD47DF" w:rsidRDefault="00800418" w:rsidP="008F259C">
            <w:pPr>
              <w:pStyle w:val="Tabulka"/>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4730A2AB" w14:textId="77777777" w:rsidR="002B3F69" w:rsidRPr="00DD47DF" w:rsidRDefault="00934A97" w:rsidP="008F259C">
            <w:pPr>
              <w:pStyle w:val="Tabulka"/>
              <w:keepLines/>
              <w:rPr>
                <w:rFonts w:cs="Calibri"/>
              </w:rPr>
            </w:pPr>
            <w:r>
              <w:rPr>
                <w:rFonts w:cs="Calibri"/>
              </w:rPr>
              <w:t>průběžně</w:t>
            </w:r>
          </w:p>
        </w:tc>
      </w:tr>
      <w:tr w:rsidR="00AA16EC" w:rsidRPr="00DD47DF" w14:paraId="65A9E597" w14:textId="77777777" w:rsidTr="008F259C">
        <w:trPr>
          <w:trHeight w:val="363"/>
        </w:trPr>
        <w:tc>
          <w:tcPr>
            <w:tcW w:w="0" w:type="auto"/>
            <w:tcBorders>
              <w:top w:val="single" w:sz="4" w:space="0" w:color="000000"/>
              <w:left w:val="single" w:sz="4" w:space="0" w:color="000000"/>
              <w:bottom w:val="single" w:sz="4" w:space="0" w:color="000000"/>
              <w:right w:val="single" w:sz="4" w:space="0" w:color="000000"/>
            </w:tcBorders>
            <w:vAlign w:val="center"/>
          </w:tcPr>
          <w:p w14:paraId="56DCCDB4" w14:textId="77777777" w:rsidR="00AA16EC" w:rsidRPr="00DD47DF" w:rsidDel="00C75691" w:rsidRDefault="00F467FE" w:rsidP="008F259C">
            <w:pPr>
              <w:pStyle w:val="Tabulka"/>
              <w:keepLines/>
              <w:rPr>
                <w:rFonts w:cs="Calibri"/>
              </w:rPr>
            </w:pPr>
            <w:r w:rsidRPr="00DD47DF">
              <w:rPr>
                <w:rFonts w:cs="Calibri"/>
              </w:rPr>
              <w:t>33503</w:t>
            </w:r>
          </w:p>
        </w:tc>
        <w:tc>
          <w:tcPr>
            <w:tcW w:w="0" w:type="auto"/>
            <w:tcBorders>
              <w:top w:val="single" w:sz="4" w:space="0" w:color="000000"/>
              <w:left w:val="single" w:sz="4" w:space="0" w:color="000000"/>
              <w:bottom w:val="single" w:sz="4" w:space="0" w:color="000000"/>
              <w:right w:val="single" w:sz="4" w:space="0" w:color="000000"/>
            </w:tcBorders>
            <w:vAlign w:val="center"/>
          </w:tcPr>
          <w:p w14:paraId="6FCC6507" w14:textId="77777777" w:rsidR="00AA16EC" w:rsidRPr="00DD47DF" w:rsidRDefault="00AA16EC" w:rsidP="008F259C">
            <w:pPr>
              <w:pStyle w:val="Tabulka"/>
              <w:keepLines/>
              <w:jc w:val="left"/>
              <w:rPr>
                <w:rFonts w:cs="Calibri"/>
              </w:rPr>
            </w:pPr>
            <w:r w:rsidRPr="00DD47DF">
              <w:rPr>
                <w:rFonts w:cs="Calibri"/>
              </w:rPr>
              <w:t xml:space="preserve">Nové </w:t>
            </w:r>
            <w:r w:rsidR="00D92892" w:rsidRPr="00DD47DF">
              <w:rPr>
                <w:rFonts w:cs="Calibri"/>
              </w:rPr>
              <w:t>smart grids systémy v distribučn</w:t>
            </w:r>
            <w:r w:rsidRPr="00DD47DF">
              <w:rPr>
                <w:rFonts w:cs="Calibri"/>
              </w:rPr>
              <w:t>ích soustavách</w:t>
            </w:r>
          </w:p>
        </w:tc>
        <w:tc>
          <w:tcPr>
            <w:tcW w:w="0" w:type="auto"/>
            <w:tcBorders>
              <w:top w:val="single" w:sz="4" w:space="0" w:color="000000"/>
              <w:left w:val="single" w:sz="4" w:space="0" w:color="000000"/>
              <w:bottom w:val="single" w:sz="4" w:space="0" w:color="000000"/>
              <w:right w:val="single" w:sz="4" w:space="0" w:color="000000"/>
            </w:tcBorders>
            <w:vAlign w:val="center"/>
          </w:tcPr>
          <w:p w14:paraId="0F4CBA4D" w14:textId="77777777" w:rsidR="00AA16EC" w:rsidRPr="00DD47DF" w:rsidRDefault="00AA16EC" w:rsidP="008F259C">
            <w:pPr>
              <w:pStyle w:val="Tabulka"/>
              <w:keepLines/>
              <w:rPr>
                <w:rFonts w:cs="Calibri"/>
              </w:rPr>
            </w:pPr>
            <w:r w:rsidRPr="00DD47DF">
              <w:rPr>
                <w:rFonts w:cs="Calibri"/>
              </w:rPr>
              <w:t>systém</w:t>
            </w:r>
            <w:r w:rsidR="009B0E08" w:rsidRPr="00DD47DF">
              <w:rPr>
                <w:rFonts w:cs="Calibri"/>
              </w:rPr>
              <w:t>y</w:t>
            </w:r>
          </w:p>
        </w:tc>
        <w:tc>
          <w:tcPr>
            <w:tcW w:w="0" w:type="auto"/>
            <w:tcBorders>
              <w:top w:val="single" w:sz="4" w:space="0" w:color="000000"/>
              <w:left w:val="single" w:sz="4" w:space="0" w:color="000000"/>
              <w:bottom w:val="single" w:sz="4" w:space="0" w:color="000000"/>
              <w:right w:val="single" w:sz="4" w:space="0" w:color="000000"/>
            </w:tcBorders>
            <w:vAlign w:val="center"/>
          </w:tcPr>
          <w:p w14:paraId="0D93E016" w14:textId="77777777" w:rsidR="00AA16EC" w:rsidRPr="00DD47DF" w:rsidRDefault="00AA16EC" w:rsidP="008F259C">
            <w:pPr>
              <w:pStyle w:val="Tabulka"/>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D0863BC" w14:textId="77777777" w:rsidR="00AA16EC" w:rsidRPr="00DD47DF" w:rsidRDefault="00AA16EC" w:rsidP="008F259C">
            <w:pPr>
              <w:pStyle w:val="Tabulka"/>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45E728E5" w14:textId="77777777" w:rsidR="00AA16EC" w:rsidRPr="00DD47DF" w:rsidRDefault="00D92892" w:rsidP="008F259C">
            <w:pPr>
              <w:pStyle w:val="Tabulka"/>
              <w:keepLines/>
              <w:rPr>
                <w:rFonts w:cs="Calibri"/>
              </w:rPr>
            </w:pPr>
            <w:r w:rsidRPr="00DD47DF">
              <w:rPr>
                <w:rFonts w:cs="Calibri"/>
              </w:rPr>
              <w:t>50</w:t>
            </w:r>
          </w:p>
        </w:tc>
        <w:tc>
          <w:tcPr>
            <w:tcW w:w="0" w:type="auto"/>
            <w:tcBorders>
              <w:top w:val="single" w:sz="4" w:space="0" w:color="000000"/>
              <w:left w:val="single" w:sz="4" w:space="0" w:color="000000"/>
              <w:bottom w:val="single" w:sz="4" w:space="0" w:color="000000"/>
              <w:right w:val="single" w:sz="4" w:space="0" w:color="000000"/>
            </w:tcBorders>
            <w:vAlign w:val="center"/>
          </w:tcPr>
          <w:p w14:paraId="5018ADEF" w14:textId="77777777" w:rsidR="00AA16EC" w:rsidRPr="00DD47DF" w:rsidRDefault="002F1844" w:rsidP="008F259C">
            <w:pPr>
              <w:pStyle w:val="Tabulka"/>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5DD5945F" w14:textId="77777777" w:rsidR="00AA16EC" w:rsidRPr="00DD47DF" w:rsidRDefault="0067650F" w:rsidP="008F259C">
            <w:pPr>
              <w:pStyle w:val="Tabulka"/>
              <w:keepLines/>
              <w:rPr>
                <w:rFonts w:cs="Calibri"/>
              </w:rPr>
            </w:pPr>
            <w:r>
              <w:rPr>
                <w:rFonts w:cs="Calibri"/>
              </w:rPr>
              <w:t>průběžně</w:t>
            </w:r>
          </w:p>
        </w:tc>
      </w:tr>
    </w:tbl>
    <w:p w14:paraId="41D9ACF8" w14:textId="77777777" w:rsidR="00EC2D25" w:rsidRPr="00DD47DF" w:rsidRDefault="00EC2D25" w:rsidP="0025513A">
      <w:pPr>
        <w:pStyle w:val="kapitola2A0"/>
        <w:numPr>
          <w:ilvl w:val="2"/>
          <w:numId w:val="67"/>
        </w:numPr>
      </w:pPr>
      <w:bookmarkStart w:id="72" w:name="_Toc506885019"/>
      <w:r w:rsidRPr="00DD47DF">
        <w:t>INVESTIČNÍ PRIORITA 4 prioritní osy 3: Podpora výzkumu</w:t>
      </w:r>
      <w:r w:rsidR="002641C7" w:rsidRPr="00DD47DF">
        <w:t xml:space="preserve"> a</w:t>
      </w:r>
      <w:r w:rsidRPr="00DD47DF">
        <w:t xml:space="preserve"> inovací a zavádění nízkouhlíkových technologií</w:t>
      </w:r>
      <w:bookmarkEnd w:id="72"/>
    </w:p>
    <w:p w14:paraId="56CD7B23" w14:textId="77777777" w:rsidR="003B05CA" w:rsidRPr="00DD47DF" w:rsidRDefault="008C7D72" w:rsidP="0025513A">
      <w:pPr>
        <w:pStyle w:val="kapitola2A0"/>
        <w:numPr>
          <w:ilvl w:val="2"/>
          <w:numId w:val="67"/>
        </w:numPr>
      </w:pPr>
      <w:bookmarkStart w:id="73" w:name="_Toc506885020"/>
      <w:r w:rsidRPr="00DD47DF">
        <w:t>Specifické cíle odpovídající investiční prioritě a očekávané výsledky</w:t>
      </w:r>
      <w:bookmarkEnd w:id="73"/>
    </w:p>
    <w:p w14:paraId="23F9CDC6" w14:textId="77777777" w:rsidR="00EC0F1D" w:rsidRPr="00DD47DF" w:rsidRDefault="00EC0F1D" w:rsidP="00396141">
      <w:pPr>
        <w:pStyle w:val="Modrnadpis"/>
      </w:pPr>
      <w:r w:rsidRPr="00DD47DF">
        <w:t xml:space="preserve">SPECIFICKÝ CÍL </w:t>
      </w:r>
      <w:r w:rsidR="00C71E6F" w:rsidRPr="00DD47DF">
        <w:t>3.</w:t>
      </w:r>
      <w:r w:rsidRPr="00DD47DF">
        <w:t xml:space="preserve">4: </w:t>
      </w:r>
      <w:r w:rsidR="008D77E8" w:rsidRPr="00DD47DF">
        <w:t>Uplatnit inovativní nízkouhlíkové technologie v oblasti nakládání energií a při využívání druhotných surovin</w:t>
      </w:r>
    </w:p>
    <w:p w14:paraId="4157F986" w14:textId="77777777" w:rsidR="00376385" w:rsidRPr="00DD47DF" w:rsidRDefault="0034513C" w:rsidP="00D540FC">
      <w:pPr>
        <w:pStyle w:val="Standardntext"/>
      </w:pPr>
      <w:r w:rsidRPr="00DD47DF">
        <w:t>K technologické změně, která je nutná k dosažení energetických a surovinových cílů Č</w:t>
      </w:r>
      <w:r w:rsidR="00686722" w:rsidRPr="00DD47DF">
        <w:t>R a</w:t>
      </w:r>
      <w:r w:rsidRPr="00DD47DF">
        <w:t xml:space="preserve"> E</w:t>
      </w:r>
      <w:r w:rsidR="00CC6093" w:rsidRPr="00DD47DF">
        <w:t>U</w:t>
      </w:r>
      <w:r w:rsidRPr="00DD47DF">
        <w:t xml:space="preserve">, může dojít, pouze pokud </w:t>
      </w:r>
      <w:r w:rsidR="00CC6093" w:rsidRPr="00DD47DF">
        <w:t>se podstatně zmodernizuje</w:t>
      </w:r>
      <w:r w:rsidRPr="00DD47DF">
        <w:t xml:space="preserve"> </w:t>
      </w:r>
      <w:r w:rsidR="00CC6093" w:rsidRPr="00DD47DF">
        <w:t>stávající technologická</w:t>
      </w:r>
      <w:r w:rsidRPr="00DD47DF">
        <w:t xml:space="preserve"> základn</w:t>
      </w:r>
      <w:r w:rsidR="00CC6093" w:rsidRPr="00DD47DF">
        <w:t>a</w:t>
      </w:r>
      <w:r w:rsidRPr="00DD47DF">
        <w:t xml:space="preserve"> českých podniků. </w:t>
      </w:r>
      <w:r w:rsidR="00CC6093" w:rsidRPr="00DD47DF">
        <w:t xml:space="preserve">Větší uplatnění inovativních nízkouhlíkových technologií je však zastíněno nutností udržení podnikatelské produkce. </w:t>
      </w:r>
      <w:r w:rsidR="00376385" w:rsidRPr="00DD47DF">
        <w:t>Hlavním cílem je podpora konkurenceschopnosti podniků a udržitelnosti české ekonomiky prostřednictvím zaváděním nových technologií v oblasti nakládání energií a druhotných surovin.</w:t>
      </w:r>
    </w:p>
    <w:p w14:paraId="670C664A" w14:textId="77777777" w:rsidR="00942A5B" w:rsidRPr="00DD47DF" w:rsidRDefault="003508A9" w:rsidP="00942A5B">
      <w:pPr>
        <w:pStyle w:val="Modrnadpis"/>
      </w:pPr>
      <w:r w:rsidRPr="00DD47DF">
        <w:lastRenderedPageBreak/>
        <w:t xml:space="preserve">Výsledky, kterých chce ČR dosáhnout s podporou </w:t>
      </w:r>
      <w:r w:rsidR="00942A5B" w:rsidRPr="00DD47DF">
        <w:t>Unie</w:t>
      </w:r>
    </w:p>
    <w:p w14:paraId="61BD1234" w14:textId="77777777" w:rsidR="00160E34" w:rsidRPr="00DD47DF" w:rsidRDefault="00376385" w:rsidP="0025513A">
      <w:pPr>
        <w:pStyle w:val="Standardntext"/>
        <w:numPr>
          <w:ilvl w:val="0"/>
          <w:numId w:val="50"/>
        </w:numPr>
      </w:pPr>
      <w:r w:rsidRPr="00DD47DF">
        <w:t xml:space="preserve">Zvýšení využití </w:t>
      </w:r>
      <w:r w:rsidR="00CC6093" w:rsidRPr="00DD47DF">
        <w:t xml:space="preserve">efektivnějších a spolehlivějších energetických a surovinových nízkouhlíkových </w:t>
      </w:r>
      <w:r w:rsidRPr="00DD47DF">
        <w:t>technologií, které se běžně v ČR komerčně neuplatňují.</w:t>
      </w:r>
      <w:r w:rsidR="00600E4E" w:rsidRPr="00DD47DF">
        <w:t xml:space="preserve"> </w:t>
      </w:r>
      <w:r w:rsidR="00160E34" w:rsidRPr="00DD47DF">
        <w:t>Specifický cíl chce především naplňovat principy v souladu s Iniciativou Smart Cities a v další části chce pomoci zavádět technologie pro zpracování druhotných surovin v souladu se strategií Evropa méně náročná na zdroje. Níže uvedený výčet podporovaných aktivit tak není úplný, je především ilustrativní, neboť vývoj technologií je v této oblasti velmi dynamický a nelze dopředu předjímat novou konkrétní technologii.</w:t>
      </w:r>
    </w:p>
    <w:p w14:paraId="2D702F41" w14:textId="77777777" w:rsidR="0034513C" w:rsidRPr="00DD47DF" w:rsidRDefault="0034513C" w:rsidP="0025513A">
      <w:pPr>
        <w:pStyle w:val="Standardntext"/>
        <w:numPr>
          <w:ilvl w:val="0"/>
          <w:numId w:val="50"/>
        </w:numPr>
      </w:pPr>
      <w:r w:rsidRPr="00DD47DF">
        <w:t xml:space="preserve">Využití potenciálu </w:t>
      </w:r>
      <w:r w:rsidR="005A3907" w:rsidRPr="00DD47DF">
        <w:t>pro zavádění moderních nízkouhlíkových technologií v oblasti nakládání energií</w:t>
      </w:r>
      <w:r w:rsidR="00686722" w:rsidRPr="00DD47DF">
        <w:t xml:space="preserve"> a využívání druhotných surovin -</w:t>
      </w:r>
      <w:r w:rsidR="005A3907" w:rsidRPr="00DD47DF">
        <w:t xml:space="preserve"> především v malých a středních </w:t>
      </w:r>
      <w:r w:rsidR="00686722" w:rsidRPr="00DD47DF">
        <w:t>podnicích -</w:t>
      </w:r>
      <w:r w:rsidR="005A3907" w:rsidRPr="00DD47DF">
        <w:t xml:space="preserve"> který zvyšuje vedle konkurenceschopnosti rovněž i celkový inovační potenciál ČR v oblasti nakládání energií a druhotnými surovinami.</w:t>
      </w:r>
    </w:p>
    <w:p w14:paraId="43D1ACB3" w14:textId="77777777" w:rsidR="00DC76B6" w:rsidRPr="00DD47DF" w:rsidRDefault="00DC76B6" w:rsidP="0025513A">
      <w:pPr>
        <w:pStyle w:val="Standardntext"/>
        <w:numPr>
          <w:ilvl w:val="0"/>
          <w:numId w:val="50"/>
        </w:numPr>
      </w:pPr>
      <w:r w:rsidRPr="00DD47DF">
        <w:t>Zvýšení soběstačnosti ČR v surovinových zdrojích substitucí primárních zdrojů druhotnými surovinami a zvýšení inovační aktivity podniků směrem k efektivnějšímu využívání klíčových surovin během celého jejich životního cyklu. Konkurenceschopnost a růst bude vycházet z využívání menšího objemu zdrojů, produkce a spotřeby zboží, vytváření podnikatelských příležitostí i nových pracovních míst v oborech lepšího designu výrobků a nahrazování primárních materiálů materiály vyrobenými z druhotných surovin.</w:t>
      </w:r>
    </w:p>
    <w:p w14:paraId="5DDB31EE" w14:textId="77777777" w:rsidR="00FF7727" w:rsidRPr="00DD47DF" w:rsidRDefault="00FF7727" w:rsidP="0025513A">
      <w:pPr>
        <w:pStyle w:val="Standardntext"/>
        <w:numPr>
          <w:ilvl w:val="0"/>
          <w:numId w:val="50"/>
        </w:numPr>
      </w:pPr>
      <w:r w:rsidRPr="00DD47DF">
        <w:t>Výsledkem vyššího využívání druhotných surovin bude snížení energetické a materiálové náročnosti ve všech výrobních odvětvích a snížení emisí z průmyslové činnosti v souvislosti s poklesem objemu těžby primárních surovin.</w:t>
      </w:r>
    </w:p>
    <w:p w14:paraId="3D176EAC" w14:textId="77777777" w:rsidR="00376385" w:rsidRPr="00DD47DF" w:rsidRDefault="0034513C" w:rsidP="0025513A">
      <w:pPr>
        <w:pStyle w:val="Standardntext"/>
        <w:numPr>
          <w:ilvl w:val="0"/>
          <w:numId w:val="50"/>
        </w:numPr>
      </w:pPr>
      <w:r w:rsidRPr="00DD47DF">
        <w:t>Pozitivní dopad</w:t>
      </w:r>
      <w:r w:rsidR="00376385" w:rsidRPr="00DD47DF">
        <w:t xml:space="preserve"> </w:t>
      </w:r>
      <w:r w:rsidRPr="00DD47DF">
        <w:t>z hlediska životního prostředí</w:t>
      </w:r>
      <w:r w:rsidR="00376385" w:rsidRPr="00DD47DF">
        <w:t xml:space="preserve"> v důsledku </w:t>
      </w:r>
      <w:r w:rsidR="00686722" w:rsidRPr="00DD47DF">
        <w:t>zavádění</w:t>
      </w:r>
      <w:r w:rsidR="00376385" w:rsidRPr="00DD47DF">
        <w:t xml:space="preserve"> </w:t>
      </w:r>
      <w:r w:rsidR="00CC6093" w:rsidRPr="00DD47DF">
        <w:t xml:space="preserve">nízkouhlíkových </w:t>
      </w:r>
      <w:r w:rsidR="00376385" w:rsidRPr="00DD47DF">
        <w:t>technologií</w:t>
      </w:r>
      <w:r w:rsidRPr="00DD47DF">
        <w:t xml:space="preserve"> </w:t>
      </w:r>
      <w:r w:rsidR="00686722" w:rsidRPr="00DD47DF">
        <w:t xml:space="preserve">do výrobních procesů </w:t>
      </w:r>
      <w:r w:rsidRPr="00DD47DF">
        <w:t>v podnicích</w:t>
      </w:r>
      <w:r w:rsidR="00376385" w:rsidRPr="00DD47DF">
        <w:t>.</w:t>
      </w:r>
      <w:r w:rsidR="00485D01" w:rsidRPr="00DD47DF">
        <w:t xml:space="preserve"> Naplňování specifického cíle povede k podpoře udržitelného růstu, který kromě jiného zahrnuje vytváření udržitelné a konkurenceschopné ekonomiky méně náročné na zdroje, přispěje k posilování konkurenčních výhod zejména malých a středních podniků, zavádění technologií a výrobních postupů, jež snižují využívání přírodních zdrojů.</w:t>
      </w:r>
    </w:p>
    <w:p w14:paraId="46FD95F3" w14:textId="77777777" w:rsidR="00AF242B" w:rsidRPr="00DD47DF" w:rsidRDefault="00AF242B" w:rsidP="00CA2F85">
      <w:pPr>
        <w:pStyle w:val="Standardntext"/>
      </w:pPr>
      <w:r w:rsidRPr="00DD47DF">
        <w:t>Pokud jde o ukazatel výsledku (viz tab. 3) „Aplikované inovativní nízkouhlíkové technologie“, je jeho výchozí hodnota nulová. OP PIK se prostřednictvím tohoto specifického cíle zaměřuje na podporu pilotních projektů v oblasti inovativních nízkouhlíkových technologií, které dosud nebyly v prostředí ČR aplikovány, a není k dispozici žádná relevantní statistika o využívání nízkouhlíkových technologií.</w:t>
      </w:r>
    </w:p>
    <w:p w14:paraId="096E6079" w14:textId="77777777" w:rsidR="00272AE4" w:rsidRPr="00DD47DF" w:rsidRDefault="00272AE4" w:rsidP="00C71E6F">
      <w:pPr>
        <w:pStyle w:val="Titulek"/>
        <w:keepNext/>
        <w:keepLines/>
        <w:rPr>
          <w:rFonts w:cs="Calibri"/>
        </w:rPr>
      </w:pPr>
      <w:r w:rsidRPr="00DD47DF">
        <w:rPr>
          <w:rFonts w:cs="Calibri"/>
        </w:rPr>
        <w:lastRenderedPageBreak/>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1050"/>
        <w:gridCol w:w="1628"/>
        <w:gridCol w:w="1142"/>
        <w:gridCol w:w="1142"/>
        <w:gridCol w:w="885"/>
        <w:gridCol w:w="873"/>
        <w:gridCol w:w="957"/>
        <w:gridCol w:w="666"/>
        <w:gridCol w:w="983"/>
      </w:tblGrid>
      <w:tr w:rsidR="00D57106" w:rsidRPr="00DD47DF" w14:paraId="76BEC0A9" w14:textId="77777777">
        <w:trPr>
          <w:trHeight w:hRule="exact" w:val="1297"/>
        </w:trPr>
        <w:tc>
          <w:tcPr>
            <w:tcW w:w="56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A77C996" w14:textId="77777777" w:rsidR="00CF739D" w:rsidRPr="00DD47DF" w:rsidRDefault="00CF739D" w:rsidP="00CF739D">
            <w:pPr>
              <w:pStyle w:val="Tabulka"/>
              <w:keepNext/>
              <w:keepLines/>
              <w:rPr>
                <w:rFonts w:cs="Calibri"/>
                <w:b/>
                <w:bCs/>
              </w:rPr>
            </w:pPr>
            <w:r w:rsidRPr="00DD47DF">
              <w:rPr>
                <w:rFonts w:cs="Calibri"/>
                <w:b/>
                <w:bCs/>
              </w:rPr>
              <w:t>ID</w:t>
            </w:r>
          </w:p>
        </w:tc>
        <w:tc>
          <w:tcPr>
            <w:tcW w:w="87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07D7236" w14:textId="77777777" w:rsidR="00CF739D" w:rsidRPr="00DD47DF" w:rsidRDefault="00CF739D" w:rsidP="00CF739D">
            <w:pPr>
              <w:pStyle w:val="Tabulka"/>
              <w:keepNext/>
              <w:keepLines/>
              <w:rPr>
                <w:rFonts w:cs="Calibri"/>
                <w:b/>
                <w:bCs/>
              </w:rPr>
            </w:pPr>
            <w:r w:rsidRPr="00DD47DF">
              <w:rPr>
                <w:rFonts w:cs="Calibri"/>
                <w:b/>
                <w:bCs/>
              </w:rPr>
              <w:t>Ukazatel</w:t>
            </w:r>
          </w:p>
        </w:tc>
        <w:tc>
          <w:tcPr>
            <w:tcW w:w="61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793389E" w14:textId="77777777" w:rsidR="00CF739D" w:rsidRPr="00DD47DF" w:rsidRDefault="00CF739D" w:rsidP="00CF739D">
            <w:pPr>
              <w:pStyle w:val="Tabulka"/>
              <w:keepNext/>
              <w:keepLines/>
              <w:rPr>
                <w:rFonts w:cs="Calibri"/>
                <w:b/>
                <w:bCs/>
              </w:rPr>
            </w:pPr>
            <w:r w:rsidRPr="00DD47DF">
              <w:rPr>
                <w:rFonts w:cs="Calibri"/>
                <w:b/>
                <w:bCs/>
              </w:rPr>
              <w:t>Měrná</w:t>
            </w:r>
          </w:p>
          <w:p w14:paraId="25EFC550" w14:textId="77777777" w:rsidR="00CF739D" w:rsidRPr="00DD47DF" w:rsidRDefault="00CF739D" w:rsidP="00CF739D">
            <w:pPr>
              <w:pStyle w:val="Tabulka"/>
              <w:keepNext/>
              <w:keepLines/>
              <w:rPr>
                <w:rFonts w:cs="Calibri"/>
                <w:b/>
                <w:bCs/>
              </w:rPr>
            </w:pPr>
            <w:r w:rsidRPr="00DD47DF">
              <w:rPr>
                <w:rFonts w:cs="Calibri"/>
                <w:b/>
                <w:bCs/>
              </w:rPr>
              <w:t>jednotka</w:t>
            </w:r>
          </w:p>
        </w:tc>
        <w:tc>
          <w:tcPr>
            <w:tcW w:w="61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A716593" w14:textId="77777777" w:rsidR="00CF739D" w:rsidRPr="00DD47DF" w:rsidRDefault="00CF739D" w:rsidP="00CF739D">
            <w:pPr>
              <w:pStyle w:val="Tabulka"/>
              <w:keepNext/>
              <w:keepLines/>
              <w:rPr>
                <w:rFonts w:cs="Calibri"/>
                <w:b/>
                <w:bCs/>
              </w:rPr>
            </w:pPr>
            <w:r w:rsidRPr="00DD47DF">
              <w:rPr>
                <w:rFonts w:cs="Calibri"/>
                <w:b/>
                <w:bCs/>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B52BE99" w14:textId="77777777" w:rsidR="00CF739D" w:rsidRPr="00DD47DF" w:rsidRDefault="004B0854" w:rsidP="00CF739D">
            <w:pPr>
              <w:pStyle w:val="Tabulka"/>
              <w:keepNext/>
              <w:keepLines/>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066D9B5" w14:textId="77777777" w:rsidR="00CF739D" w:rsidRPr="00DD47DF" w:rsidRDefault="004B0854" w:rsidP="004B0854">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51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4BAE4C5" w14:textId="77777777" w:rsidR="00CF739D" w:rsidRPr="00DD47DF" w:rsidRDefault="00CF739D" w:rsidP="00CF739D">
            <w:pPr>
              <w:pStyle w:val="Tabulka"/>
              <w:keepNext/>
              <w:keepLines/>
              <w:rPr>
                <w:rFonts w:cs="Calibri"/>
                <w:b/>
                <w:bCs/>
              </w:rPr>
            </w:pPr>
            <w:r w:rsidRPr="00DD47DF">
              <w:rPr>
                <w:rFonts w:cs="Calibri"/>
                <w:b/>
                <w:bCs/>
              </w:rPr>
              <w:t>Cílová hodnota (2023)</w:t>
            </w:r>
          </w:p>
        </w:tc>
        <w:tc>
          <w:tcPr>
            <w:tcW w:w="35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0E7489C" w14:textId="77777777" w:rsidR="00CF739D" w:rsidRPr="00DD47DF" w:rsidRDefault="00CF739D" w:rsidP="00CF739D">
            <w:pPr>
              <w:pStyle w:val="Tabulka"/>
              <w:keepNext/>
              <w:keepLines/>
              <w:rPr>
                <w:rFonts w:cs="Calibri"/>
                <w:b/>
                <w:bCs/>
              </w:rPr>
            </w:pPr>
            <w:r w:rsidRPr="00DD47DF">
              <w:rPr>
                <w:rFonts w:cs="Calibri"/>
                <w:b/>
                <w:bCs/>
              </w:rPr>
              <w:t>Zdroj údajů</w:t>
            </w:r>
          </w:p>
        </w:tc>
        <w:tc>
          <w:tcPr>
            <w:tcW w:w="52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3D969DA" w14:textId="77777777" w:rsidR="00CF739D" w:rsidRPr="00DD47DF" w:rsidRDefault="00CF739D" w:rsidP="00CF739D">
            <w:pPr>
              <w:pStyle w:val="Tabulka"/>
              <w:keepNext/>
              <w:keepLines/>
              <w:rPr>
                <w:rFonts w:cs="Calibri"/>
                <w:b/>
                <w:bCs/>
              </w:rPr>
            </w:pPr>
            <w:r w:rsidRPr="00DD47DF">
              <w:rPr>
                <w:rFonts w:cs="Calibri"/>
                <w:b/>
                <w:bCs/>
              </w:rPr>
              <w:t>Četnost podávání zpráv</w:t>
            </w:r>
          </w:p>
        </w:tc>
      </w:tr>
      <w:tr w:rsidR="00D57106" w:rsidRPr="00DD47DF" w14:paraId="64D268C2" w14:textId="77777777">
        <w:trPr>
          <w:trHeight w:hRule="exact" w:val="1206"/>
        </w:trPr>
        <w:tc>
          <w:tcPr>
            <w:tcW w:w="563" w:type="pct"/>
            <w:tcBorders>
              <w:top w:val="single" w:sz="4" w:space="0" w:color="000000"/>
              <w:left w:val="single" w:sz="4" w:space="0" w:color="000000"/>
              <w:bottom w:val="single" w:sz="4" w:space="0" w:color="000000"/>
              <w:right w:val="single" w:sz="4" w:space="0" w:color="000000"/>
            </w:tcBorders>
            <w:vAlign w:val="center"/>
          </w:tcPr>
          <w:p w14:paraId="0EF205F7" w14:textId="77777777" w:rsidR="00272AE4" w:rsidRPr="00DD47DF" w:rsidRDefault="00527C4C" w:rsidP="00A86EB3">
            <w:pPr>
              <w:pStyle w:val="Tabulka"/>
              <w:rPr>
                <w:rFonts w:cs="Calibri"/>
              </w:rPr>
            </w:pPr>
            <w:r w:rsidRPr="00DD47DF">
              <w:rPr>
                <w:rFonts w:cs="Calibri"/>
              </w:rPr>
              <w:t>21710</w:t>
            </w:r>
          </w:p>
        </w:tc>
        <w:tc>
          <w:tcPr>
            <w:tcW w:w="873" w:type="pct"/>
            <w:tcBorders>
              <w:top w:val="single" w:sz="4" w:space="0" w:color="000000"/>
              <w:left w:val="single" w:sz="4" w:space="0" w:color="000000"/>
              <w:bottom w:val="single" w:sz="4" w:space="0" w:color="000000"/>
              <w:right w:val="single" w:sz="4" w:space="0" w:color="000000"/>
            </w:tcBorders>
            <w:vAlign w:val="center"/>
          </w:tcPr>
          <w:p w14:paraId="75DB7DDD" w14:textId="77777777" w:rsidR="00272AE4" w:rsidRPr="00DD47DF" w:rsidRDefault="00195FEB" w:rsidP="00A86EB3">
            <w:pPr>
              <w:pStyle w:val="Tabulka"/>
              <w:jc w:val="left"/>
              <w:rPr>
                <w:rFonts w:cs="Calibri"/>
              </w:rPr>
            </w:pPr>
            <w:r w:rsidRPr="00DD47DF">
              <w:rPr>
                <w:rFonts w:cs="Calibri"/>
                <w:szCs w:val="20"/>
              </w:rPr>
              <w:t xml:space="preserve">Aplikované </w:t>
            </w:r>
            <w:r w:rsidR="00942A5B" w:rsidRPr="00DD47DF">
              <w:rPr>
                <w:rFonts w:cs="Calibri"/>
                <w:szCs w:val="20"/>
              </w:rPr>
              <w:t xml:space="preserve">inovativní </w:t>
            </w:r>
            <w:r w:rsidRPr="00DD47DF">
              <w:rPr>
                <w:rFonts w:cs="Calibri"/>
                <w:szCs w:val="20"/>
              </w:rPr>
              <w:t>nízkouhlíkové technologie</w:t>
            </w:r>
          </w:p>
        </w:tc>
        <w:tc>
          <w:tcPr>
            <w:tcW w:w="612" w:type="pct"/>
            <w:tcBorders>
              <w:top w:val="single" w:sz="4" w:space="0" w:color="000000"/>
              <w:left w:val="single" w:sz="4" w:space="0" w:color="000000"/>
              <w:bottom w:val="single" w:sz="4" w:space="0" w:color="000000"/>
              <w:right w:val="single" w:sz="4" w:space="0" w:color="000000"/>
            </w:tcBorders>
            <w:vAlign w:val="center"/>
          </w:tcPr>
          <w:p w14:paraId="00787CC7" w14:textId="77777777" w:rsidR="00272AE4" w:rsidRPr="00DD47DF" w:rsidRDefault="005644D4" w:rsidP="00A86EB3">
            <w:pPr>
              <w:pStyle w:val="Tabulka"/>
              <w:rPr>
                <w:rFonts w:cs="Calibri"/>
              </w:rPr>
            </w:pPr>
            <w:r w:rsidRPr="00DD47DF">
              <w:rPr>
                <w:rFonts w:cs="Calibri"/>
              </w:rPr>
              <w:t>technologie</w:t>
            </w:r>
          </w:p>
        </w:tc>
        <w:tc>
          <w:tcPr>
            <w:tcW w:w="612" w:type="pct"/>
            <w:tcBorders>
              <w:top w:val="single" w:sz="4" w:space="0" w:color="000000"/>
              <w:left w:val="single" w:sz="4" w:space="0" w:color="000000"/>
              <w:bottom w:val="single" w:sz="4" w:space="0" w:color="000000"/>
              <w:right w:val="single" w:sz="4" w:space="0" w:color="000000"/>
            </w:tcBorders>
            <w:vAlign w:val="center"/>
          </w:tcPr>
          <w:p w14:paraId="29578A94" w14:textId="77777777" w:rsidR="00272AE4" w:rsidRPr="00DD47DF" w:rsidRDefault="00FD0399" w:rsidP="00A86EB3">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1E6C10A8" w14:textId="77777777" w:rsidR="00272AE4" w:rsidRPr="00DD47DF" w:rsidRDefault="00FD0399" w:rsidP="00A86EB3">
            <w:pPr>
              <w:pStyle w:val="Tabulka"/>
              <w:rPr>
                <w:rFonts w:cs="Calibri"/>
              </w:rPr>
            </w:pPr>
            <w:r w:rsidRPr="00DD47DF">
              <w:rPr>
                <w:rFonts w:cs="Calibri"/>
              </w:rPr>
              <w:t>0</w:t>
            </w:r>
          </w:p>
        </w:tc>
        <w:tc>
          <w:tcPr>
            <w:tcW w:w="468" w:type="pct"/>
            <w:tcBorders>
              <w:top w:val="single" w:sz="4" w:space="0" w:color="000000"/>
              <w:left w:val="single" w:sz="4" w:space="0" w:color="000000"/>
              <w:bottom w:val="single" w:sz="4" w:space="0" w:color="000000"/>
              <w:right w:val="single" w:sz="4" w:space="0" w:color="000000"/>
            </w:tcBorders>
            <w:vAlign w:val="center"/>
          </w:tcPr>
          <w:p w14:paraId="32C7C78C" w14:textId="77777777" w:rsidR="00272AE4" w:rsidRPr="00DD47DF" w:rsidRDefault="00FD0399" w:rsidP="00A86EB3">
            <w:pPr>
              <w:pStyle w:val="Tabulka"/>
              <w:rPr>
                <w:rFonts w:cs="Calibri"/>
              </w:rPr>
            </w:pPr>
            <w:r w:rsidRPr="00DD47DF">
              <w:rPr>
                <w:rFonts w:cs="Calibri"/>
              </w:rPr>
              <w:t>2014</w:t>
            </w:r>
          </w:p>
        </w:tc>
        <w:tc>
          <w:tcPr>
            <w:tcW w:w="513" w:type="pct"/>
            <w:tcBorders>
              <w:top w:val="single" w:sz="4" w:space="0" w:color="000000"/>
              <w:left w:val="single" w:sz="4" w:space="0" w:color="000000"/>
              <w:bottom w:val="single" w:sz="4" w:space="0" w:color="000000"/>
              <w:right w:val="single" w:sz="4" w:space="0" w:color="000000"/>
            </w:tcBorders>
            <w:vAlign w:val="center"/>
          </w:tcPr>
          <w:p w14:paraId="353F2522" w14:textId="0D7696FE" w:rsidR="00272AE4" w:rsidRPr="00DD47DF" w:rsidRDefault="0050432A" w:rsidP="00A86EB3">
            <w:pPr>
              <w:pStyle w:val="Tabulka"/>
              <w:rPr>
                <w:rFonts w:cs="Calibri"/>
              </w:rPr>
            </w:pPr>
            <w:r>
              <w:rPr>
                <w:rFonts w:cs="Calibri"/>
              </w:rPr>
              <w:t>650</w:t>
            </w:r>
          </w:p>
        </w:tc>
        <w:tc>
          <w:tcPr>
            <w:tcW w:w="357" w:type="pct"/>
            <w:tcBorders>
              <w:top w:val="single" w:sz="4" w:space="0" w:color="000000"/>
              <w:left w:val="single" w:sz="4" w:space="0" w:color="000000"/>
              <w:bottom w:val="single" w:sz="4" w:space="0" w:color="000000"/>
              <w:right w:val="single" w:sz="4" w:space="0" w:color="000000"/>
            </w:tcBorders>
            <w:vAlign w:val="center"/>
          </w:tcPr>
          <w:p w14:paraId="52804E52" w14:textId="77777777" w:rsidR="00272AE4" w:rsidRPr="00DD47DF" w:rsidRDefault="005F6D63" w:rsidP="00A86EB3">
            <w:pPr>
              <w:pStyle w:val="Tabulka"/>
              <w:rPr>
                <w:rFonts w:cs="Calibri"/>
              </w:rPr>
            </w:pPr>
            <w:r w:rsidRPr="00DD47DF">
              <w:rPr>
                <w:rFonts w:cs="Calibri"/>
              </w:rPr>
              <w:t>ŘO</w:t>
            </w:r>
          </w:p>
        </w:tc>
        <w:tc>
          <w:tcPr>
            <w:tcW w:w="527" w:type="pct"/>
            <w:tcBorders>
              <w:top w:val="single" w:sz="4" w:space="0" w:color="000000"/>
              <w:left w:val="single" w:sz="4" w:space="0" w:color="000000"/>
              <w:bottom w:val="single" w:sz="4" w:space="0" w:color="000000"/>
              <w:right w:val="single" w:sz="4" w:space="0" w:color="000000"/>
            </w:tcBorders>
            <w:vAlign w:val="center"/>
          </w:tcPr>
          <w:p w14:paraId="1F49947E" w14:textId="77777777" w:rsidR="00272AE4" w:rsidRPr="00DD47DF" w:rsidRDefault="00274100" w:rsidP="00A86EB3">
            <w:pPr>
              <w:pStyle w:val="Tabulka"/>
              <w:rPr>
                <w:rFonts w:cs="Calibri"/>
              </w:rPr>
            </w:pPr>
            <w:r w:rsidRPr="00DD47DF">
              <w:rPr>
                <w:rFonts w:cs="Calibri"/>
              </w:rPr>
              <w:t>ročně</w:t>
            </w:r>
          </w:p>
        </w:tc>
      </w:tr>
    </w:tbl>
    <w:p w14:paraId="7709C326" w14:textId="77777777" w:rsidR="00EC2D25" w:rsidRPr="00DD47DF" w:rsidRDefault="00EC2D25" w:rsidP="00AF242B">
      <w:pPr>
        <w:pStyle w:val="kapitola2A0"/>
        <w:numPr>
          <w:ilvl w:val="2"/>
          <w:numId w:val="67"/>
        </w:numPr>
      </w:pPr>
      <w:bookmarkStart w:id="74" w:name="_Toc506885021"/>
      <w:r w:rsidRPr="00DD47DF">
        <w:t>Opatření, jež má být podpořeno v rámci investiční priority</w:t>
      </w:r>
      <w:bookmarkEnd w:id="74"/>
    </w:p>
    <w:p w14:paraId="4C907F7E" w14:textId="77777777" w:rsidR="0058402E" w:rsidRPr="00DD47DF" w:rsidRDefault="00D479AF" w:rsidP="00A86EB3">
      <w:pPr>
        <w:pStyle w:val="Nadpis5"/>
        <w:numPr>
          <w:ilvl w:val="4"/>
          <w:numId w:val="23"/>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5E77D3D2" w14:textId="77777777" w:rsidR="0058402E" w:rsidRPr="00DD47DF" w:rsidRDefault="000A2EB4" w:rsidP="009912CD">
      <w:pPr>
        <w:pStyle w:val="Standardntext"/>
        <w:rPr>
          <w:b/>
        </w:rPr>
      </w:pPr>
      <w:r w:rsidRPr="00DD47DF">
        <w:rPr>
          <w:b/>
        </w:rPr>
        <w:t>Aktivity pro tento specifický cíl:</w:t>
      </w:r>
    </w:p>
    <w:p w14:paraId="36061155" w14:textId="77777777" w:rsidR="007D0E83" w:rsidRPr="00DD47DF" w:rsidRDefault="007D0E83" w:rsidP="00AF242B">
      <w:pPr>
        <w:pStyle w:val="Standardntext"/>
        <w:numPr>
          <w:ilvl w:val="0"/>
          <w:numId w:val="40"/>
        </w:numPr>
      </w:pPr>
      <w:r w:rsidRPr="00DD47DF">
        <w:t xml:space="preserve">Zavádění inovativních technologií v oblasti nízkouhlíkové dopravy (elektromobilita silničních vozidel), </w:t>
      </w:r>
    </w:p>
    <w:p w14:paraId="21D3AEE4" w14:textId="0D41019E" w:rsidR="007D0E83" w:rsidRPr="00DD47DF" w:rsidRDefault="00290041" w:rsidP="00AF242B">
      <w:pPr>
        <w:pStyle w:val="Standardntext"/>
        <w:numPr>
          <w:ilvl w:val="0"/>
          <w:numId w:val="40"/>
        </w:numPr>
      </w:pPr>
      <w:r w:rsidRPr="00700E39">
        <w:t>projekty zavádění technologií akumulace energie (např. akumulace elektřiny rámci inteligentních sítí a v budovách, akumulace tepla a chladu v budovách, aplikace vodíkových technologií)</w:t>
      </w:r>
      <w:r w:rsidR="007D0E83" w:rsidRPr="00DD47DF">
        <w:t xml:space="preserve">, </w:t>
      </w:r>
    </w:p>
    <w:p w14:paraId="50E91F78" w14:textId="77777777" w:rsidR="007D0E83" w:rsidRPr="00DD47DF" w:rsidRDefault="007D0E83" w:rsidP="00AF242B">
      <w:pPr>
        <w:pStyle w:val="Standardntext"/>
        <w:numPr>
          <w:ilvl w:val="0"/>
          <w:numId w:val="40"/>
        </w:numPr>
      </w:pPr>
      <w:r w:rsidRPr="00DD47DF">
        <w:t>zavádění nízkouhlíkových technologií v budovách (inteligentní prvky řízení budov, integrace OZE do budov, aplikace nových energeticky šetrných materiálů, využití druhotných surovin k udržitelné výstavbě),</w:t>
      </w:r>
    </w:p>
    <w:p w14:paraId="1A6912BE" w14:textId="77777777" w:rsidR="00BF3738" w:rsidRPr="00DD47DF" w:rsidRDefault="00EB01B2" w:rsidP="00AF242B">
      <w:pPr>
        <w:pStyle w:val="Standardntext"/>
        <w:numPr>
          <w:ilvl w:val="0"/>
          <w:numId w:val="40"/>
        </w:numPr>
      </w:pPr>
      <w:r w:rsidRPr="00DD47DF">
        <w:t>zavádění inovativních technologií v oblasti výroby energie z obnovitelných zdrojů</w:t>
      </w:r>
      <w:r w:rsidR="00BF3738" w:rsidRPr="00DD47DF">
        <w:t xml:space="preserve"> (např. využití biometanu),</w:t>
      </w:r>
    </w:p>
    <w:p w14:paraId="4C00B5D3" w14:textId="77777777" w:rsidR="007D0E83" w:rsidRPr="00DD47DF" w:rsidRDefault="007D0E83" w:rsidP="00AF242B">
      <w:pPr>
        <w:pStyle w:val="Standardntext"/>
        <w:numPr>
          <w:ilvl w:val="0"/>
          <w:numId w:val="40"/>
        </w:numPr>
      </w:pPr>
      <w:r w:rsidRPr="00DD47DF">
        <w:t>zavádění off grid systémů (městské a komunitní sítě, ostrovní systémy dodávek energií v budovách),</w:t>
      </w:r>
    </w:p>
    <w:p w14:paraId="524C3F56" w14:textId="77777777" w:rsidR="007D0E83" w:rsidRPr="00DD47DF" w:rsidRDefault="007D0E83" w:rsidP="00AF242B">
      <w:pPr>
        <w:pStyle w:val="Standardntext"/>
        <w:numPr>
          <w:ilvl w:val="0"/>
          <w:numId w:val="40"/>
        </w:numPr>
      </w:pPr>
      <w:r w:rsidRPr="00DD47DF">
        <w:t>zavádění systémů řízení spotřeby energií,</w:t>
      </w:r>
    </w:p>
    <w:p w14:paraId="52269E5B" w14:textId="77777777" w:rsidR="007D0E83" w:rsidRPr="00DD47DF" w:rsidRDefault="007D0E83" w:rsidP="00AF242B">
      <w:pPr>
        <w:pStyle w:val="Standardntext"/>
        <w:numPr>
          <w:ilvl w:val="0"/>
          <w:numId w:val="40"/>
        </w:numPr>
      </w:pPr>
      <w:r w:rsidRPr="00DD47DF">
        <w:t>zavádění inovativních nízkouhlíkatých technologií v oblasti zpracování a využívání druhotných surovin,</w:t>
      </w:r>
    </w:p>
    <w:p w14:paraId="2E95FA47" w14:textId="77777777" w:rsidR="007D0E83" w:rsidRPr="00DD47DF" w:rsidRDefault="007D0E83" w:rsidP="00AF242B">
      <w:pPr>
        <w:pStyle w:val="Standardntext"/>
        <w:numPr>
          <w:ilvl w:val="0"/>
          <w:numId w:val="40"/>
        </w:numPr>
      </w:pPr>
      <w:r w:rsidRPr="00DD47DF">
        <w:t>zavádění technologií k získávání druhotných surovin v kvalitě vhodné pro další využití v průmyslové výrobě např. z použitého papíru, skla, kovů, pneumatik, textilu, plastů, stavebních a demoličních odpadů, vedlejších energetických produktů a řady dalších výrobků s ukončenou životností,</w:t>
      </w:r>
    </w:p>
    <w:p w14:paraId="4AAF3AE0" w14:textId="77777777" w:rsidR="007D0E83" w:rsidRPr="00DD47DF" w:rsidRDefault="007D0E83" w:rsidP="00AF242B">
      <w:pPr>
        <w:pStyle w:val="Standardntext"/>
        <w:numPr>
          <w:ilvl w:val="0"/>
          <w:numId w:val="40"/>
        </w:numPr>
      </w:pPr>
      <w:r w:rsidRPr="00DD47DF">
        <w:t>zavádění technologií, kterými se budou z použitých výrobků získávat efektivním způsobem cenné druhotné suroviny, které jsou v ČR i v EU deficitní (zejména kritické suroviny),</w:t>
      </w:r>
    </w:p>
    <w:p w14:paraId="3F728F59" w14:textId="77777777" w:rsidR="009D1E8F" w:rsidRPr="00DD47DF" w:rsidRDefault="007D0E83" w:rsidP="00AF242B">
      <w:pPr>
        <w:pStyle w:val="Standardntext"/>
        <w:numPr>
          <w:ilvl w:val="0"/>
          <w:numId w:val="40"/>
        </w:numPr>
      </w:pPr>
      <w:r w:rsidRPr="00DD47DF">
        <w:lastRenderedPageBreak/>
        <w:t>zavádění technologií na výrobu inovativních výrobků vyrobených z druhotných surovin, včetně náhrad primárních zdrojů druhotnými surovinami, tam kde je to ekonomicky výhodné</w:t>
      </w:r>
      <w:r w:rsidR="00EB01B2" w:rsidRPr="00DD47DF">
        <w:t>.</w:t>
      </w:r>
    </w:p>
    <w:p w14:paraId="28F2195B" w14:textId="7BF6CA1B" w:rsidR="00896EDF" w:rsidRPr="00DD47DF" w:rsidRDefault="00D83C31" w:rsidP="007D0E83">
      <w:pPr>
        <w:pStyle w:val="Standardntext"/>
      </w:pPr>
      <w:r w:rsidRPr="00700E39">
        <w:t>Typovým projektem v oblasti zavádění nízkouhlíkových technologií v dopravě budou projekty zaměřené na zavádění elektromobility u podnikatelských subjektů tak, aby došlo k žádoucím synergiím s OP Doprava a Integrovaným regionálním operačním programem (blíže viz oddíl 8, resp. Nepovinná příloha č. 4). Způsobilé výdaje budou vynakládány na pořízení souvisejících technologií, dobíjecích stanic případně na možnost úhrady/příspěvku části kupní ceny elektromobilu, která přesahuje průměrnou cenu automobilů se spalovacím motorem. Výstupem projektu bude rozšiřování nabíjecí infrastruktury a počtu elektromobilů v ČR. Úspěšné projekty budou prezentovat elektromobilitu jako nízkoemisní a nízkonákladový dopravní prostředek ve velkých aglomeracích.</w:t>
      </w:r>
    </w:p>
    <w:p w14:paraId="6AC39198" w14:textId="77777777" w:rsidR="007D0E83" w:rsidRPr="00DD47DF" w:rsidRDefault="007D0E83" w:rsidP="007D0E83">
      <w:pPr>
        <w:pStyle w:val="Standardntext"/>
      </w:pPr>
      <w:r w:rsidRPr="00DD47DF">
        <w:t xml:space="preserve">Typovým projektem v oblasti využití druhotných surovin </w:t>
      </w:r>
      <w:r w:rsidR="00101D4E" w:rsidRPr="00DD47DF">
        <w:t>bude</w:t>
      </w:r>
      <w:r w:rsidRPr="00DD47DF">
        <w:t xml:space="preserve"> projekt, při kterém</w:t>
      </w:r>
      <w:r w:rsidR="00101D4E" w:rsidRPr="00DD47DF">
        <w:t xml:space="preserve"> bude</w:t>
      </w:r>
      <w:r w:rsidRPr="00DD47DF">
        <w:t xml:space="preserve"> poskytnuta podpora na pořízení technologie na výrobu inovativních výrobků vyrobených z druhotných surovin.</w:t>
      </w:r>
      <w:r w:rsidR="00101D4E" w:rsidRPr="00DD47DF">
        <w:t xml:space="preserve"> </w:t>
      </w:r>
      <w:r w:rsidRPr="00DD47DF">
        <w:t>Způsobilé výdaje budou veškeré investiční náklady přímo spojené s instalací zařízení.</w:t>
      </w:r>
      <w:r w:rsidR="00101D4E" w:rsidRPr="00DD47DF">
        <w:t xml:space="preserve"> </w:t>
      </w:r>
      <w:r w:rsidRPr="00DD47DF">
        <w:t>Výstupem bude instalovaná moderní technologie na produkci</w:t>
      </w:r>
      <w:r w:rsidR="00F76D49" w:rsidRPr="00DD47DF">
        <w:t xml:space="preserve"> výrobků z druhotných surovin, která povede k jejímu vyššímu využití v rámci podniku.</w:t>
      </w:r>
      <w:r w:rsidRPr="00DD47DF">
        <w:t xml:space="preserve"> </w:t>
      </w:r>
      <w:r w:rsidR="00F76D49" w:rsidRPr="00DD47DF">
        <w:t>Dopad těchto intervencí</w:t>
      </w:r>
      <w:r w:rsidRPr="00DD47DF">
        <w:t xml:space="preserve"> se projeví v úspoře primárních surovin, ve vyšší surovinové bezpečnosti.</w:t>
      </w:r>
    </w:p>
    <w:p w14:paraId="6BB576BE" w14:textId="77777777" w:rsidR="007D0E83" w:rsidRPr="00DD47DF" w:rsidRDefault="007D0E83" w:rsidP="007D0E83">
      <w:pPr>
        <w:pStyle w:val="Standardntext"/>
      </w:pPr>
      <w:r w:rsidRPr="00DD47DF">
        <w:t>Typovým projektem v oblasti inteligentních domů bude realizace stavby, jež bude obsahovat komplex zařízení ob</w:t>
      </w:r>
      <w:r w:rsidR="00101D4E" w:rsidRPr="00DD47DF">
        <w:t>s</w:t>
      </w:r>
      <w:r w:rsidRPr="00DD47DF">
        <w:t>ahujících inteligentní řízení, akumulaci energie, integrace OZE, využití stavebních materiálů z druhotných surovin atd.)</w:t>
      </w:r>
      <w:r w:rsidR="00101D4E" w:rsidRPr="00DD47DF">
        <w:t xml:space="preserve">. </w:t>
      </w:r>
      <w:r w:rsidRPr="00DD47DF">
        <w:t>Způsobilé výdaje budou veškeré investiční náklady přímo spojené s instalací zařízení.</w:t>
      </w:r>
      <w:r w:rsidR="00101D4E" w:rsidRPr="00DD47DF">
        <w:t xml:space="preserve"> </w:t>
      </w:r>
      <w:r w:rsidRPr="00DD47DF">
        <w:t>Výstupem bude inteligentní budova, jejíž výsledky se projeví v oblasti urychlení zavádění moderních technologií do budov.</w:t>
      </w:r>
    </w:p>
    <w:p w14:paraId="2B9940E6" w14:textId="07DD5FD8" w:rsidR="007D0E83" w:rsidRPr="00DD47DF" w:rsidRDefault="00BB3B1F" w:rsidP="007D0E83">
      <w:pPr>
        <w:pStyle w:val="Standardntext"/>
      </w:pPr>
      <w:r w:rsidRPr="00700E39">
        <w:t>Dalším opatřením v rámci tohoto specifického cíle je rozvoj akumulace elektrické energie na úrovni středního, resp. nízkého napětí. Cílem je aplikace akumulační jednotky (zřejmě bateriového typu) stabilizovat dodávku z decentralizovaných zdrojů energie (FVE, VTE) do distribuční sítě a řešit přetoky do vyšších napěťových úrovní. Mezi technologické prvky akumulace elektrické energie patří nejen samotná bateriová jednotka, ale také řídící jednotka včetně SW přizpůsobení konkrétní aplikace, komunikační jednotka, připojovací kabeláže, měření, apod. Způsobilé výdaje budou veškeré investiční náklady přímo spojené s instalací zařízení. Výstupem projektu bude ověření perspektivní technologie eliminující vlivy decentralizovaných výrobních zdrojů na distribuční soustavu, ověření peak-offpeak arbitráže u zdrojů – řízení spotřeby/dodávky v čase dle potřeb distribuční soustavy a doložené ekonomické porovnání s nutnými investičními náklady do posílení výkonu transformátoru, resp. silového vedení při konvenčním způsobu řešení.</w:t>
      </w:r>
    </w:p>
    <w:p w14:paraId="315B845B" w14:textId="77777777" w:rsidR="00EF6B98" w:rsidRPr="00DD47DF" w:rsidRDefault="00EF6B98" w:rsidP="00EF6B98">
      <w:pPr>
        <w:pStyle w:val="Standardntext"/>
      </w:pPr>
      <w:r w:rsidRPr="00DD47DF">
        <w:t xml:space="preserve">Výstupy </w:t>
      </w:r>
      <w:r w:rsidR="00AE425C" w:rsidRPr="00DD47DF">
        <w:t xml:space="preserve">všech </w:t>
      </w:r>
      <w:r w:rsidRPr="00DD47DF">
        <w:t xml:space="preserve">výše uvedených aktivit přispějí k naplňování výsledků tohoto specifického cíle, tj. rozšíření aplikace </w:t>
      </w:r>
      <w:r w:rsidR="00634DCF" w:rsidRPr="00DD47DF">
        <w:t xml:space="preserve">doposud nevyužívaných </w:t>
      </w:r>
      <w:r w:rsidRPr="00DD47DF">
        <w:t>nízkouhlíkových technologií.</w:t>
      </w:r>
      <w:r w:rsidR="00220F0B" w:rsidRPr="00DD47DF">
        <w:t xml:space="preserve"> </w:t>
      </w:r>
      <w:r w:rsidR="00A976A0" w:rsidRPr="00DD47DF">
        <w:t xml:space="preserve">OP PIK </w:t>
      </w:r>
      <w:r w:rsidR="00A56556" w:rsidRPr="00DD47DF">
        <w:t xml:space="preserve">se </w:t>
      </w:r>
      <w:r w:rsidR="00A976A0" w:rsidRPr="00DD47DF">
        <w:t xml:space="preserve">prostřednictvím tohoto specifického cíle zaměřuje na podporu pilotních projektů v oblasti inovativních nízkouhlíkových technologií, které dosud nebyly v prostředí ČR aplikovány, </w:t>
      </w:r>
      <w:r w:rsidR="00AF242B" w:rsidRPr="00DD47DF">
        <w:t xml:space="preserve">proto </w:t>
      </w:r>
      <w:r w:rsidR="00A976A0" w:rsidRPr="00DD47DF">
        <w:t>je výchozí hodnota pro sledování výsledků stanovena jako nulová.</w:t>
      </w:r>
      <w:r w:rsidR="001E054A" w:rsidRPr="00DD47DF">
        <w:t xml:space="preserve"> Současně je nutné zmínit, že bude kladen důraz na edukační a osvětovou činnost a na šíření poznatků z aplikací inovativních technologií.</w:t>
      </w:r>
    </w:p>
    <w:p w14:paraId="1EF177DE" w14:textId="77777777" w:rsidR="0058402E" w:rsidRPr="00DD47DF" w:rsidRDefault="0058402E" w:rsidP="00D540FC">
      <w:pPr>
        <w:pStyle w:val="Standardntext"/>
      </w:pPr>
      <w:r w:rsidRPr="00DD47DF">
        <w:rPr>
          <w:b/>
          <w:bCs/>
        </w:rPr>
        <w:t xml:space="preserve">Hlavní cílová skupina: </w:t>
      </w:r>
      <w:r w:rsidR="00127389" w:rsidRPr="00DD47DF">
        <w:t>P</w:t>
      </w:r>
      <w:r w:rsidR="00D90173" w:rsidRPr="00DD47DF">
        <w:t xml:space="preserve">odnikatelské subjekty, </w:t>
      </w:r>
      <w:r w:rsidR="00D540FC" w:rsidRPr="00DD47DF">
        <w:t>především MSP, ale i velk</w:t>
      </w:r>
      <w:r w:rsidR="00D90173" w:rsidRPr="00DD47DF">
        <w:t>é</w:t>
      </w:r>
      <w:r w:rsidR="00D540FC" w:rsidRPr="00DD47DF">
        <w:t xml:space="preserve"> podnik</w:t>
      </w:r>
      <w:r w:rsidR="00D90173" w:rsidRPr="00DD47DF">
        <w:t>y</w:t>
      </w:r>
      <w:r w:rsidR="00D540FC" w:rsidRPr="00DD47DF">
        <w:t>, kte</w:t>
      </w:r>
      <w:r w:rsidR="00D90173" w:rsidRPr="00DD47DF">
        <w:t>ré</w:t>
      </w:r>
      <w:r w:rsidR="00D540FC" w:rsidRPr="00DD47DF">
        <w:t xml:space="preserve"> hodlají zavést inovativní nízkouhlíkovou technologii v oblasti nakládání energií, včetně nízkouhlíkové dopravy a zpracování druhotných surovin.</w:t>
      </w:r>
    </w:p>
    <w:p w14:paraId="30904D33" w14:textId="77777777" w:rsidR="0058402E" w:rsidRPr="00DD47DF" w:rsidRDefault="0058402E" w:rsidP="00D540FC">
      <w:pPr>
        <w:pStyle w:val="Standardntext"/>
      </w:pPr>
      <w:r w:rsidRPr="00DD47DF">
        <w:rPr>
          <w:b/>
          <w:bCs/>
        </w:rPr>
        <w:lastRenderedPageBreak/>
        <w:t xml:space="preserve">Cílové území: </w:t>
      </w:r>
      <w:r w:rsidR="001E0AA2" w:rsidRPr="00DD47DF">
        <w:t>Území České republiky, mimo území hl. m. Prahy.</w:t>
      </w:r>
      <w:r w:rsidR="00015039" w:rsidRPr="00DD47DF">
        <w:t xml:space="preserve"> Předpokládá se plošné směrování intervencí bez vymezení územní dimenze.</w:t>
      </w:r>
    </w:p>
    <w:p w14:paraId="2AEE774B" w14:textId="77777777" w:rsidR="0058402E" w:rsidRPr="00DD47DF" w:rsidRDefault="0058402E" w:rsidP="00D540FC">
      <w:pPr>
        <w:pStyle w:val="Standardntext"/>
      </w:pPr>
      <w:r w:rsidRPr="00DD47DF">
        <w:rPr>
          <w:b/>
          <w:bCs/>
        </w:rPr>
        <w:t xml:space="preserve">Typy příjemců: </w:t>
      </w:r>
      <w:r w:rsidRPr="00DD47DF">
        <w:t>Podnikatelské subjekty (malé, střední a případně velké podniky)</w:t>
      </w:r>
      <w:r w:rsidR="00D81209" w:rsidRPr="00DD47DF">
        <w:t xml:space="preserve">. </w:t>
      </w:r>
      <w:r w:rsidR="00E873A7" w:rsidRPr="00DD47DF">
        <w:t xml:space="preserve">V tomto specifickém cíli se předpokládá účast velkých podniků (dle čl. 3 odst. 1 písm. b) nařízení o EFRR), neboť </w:t>
      </w:r>
      <w:r w:rsidR="00082BCC" w:rsidRPr="00DD47DF">
        <w:t>představují</w:t>
      </w:r>
      <w:r w:rsidR="00802F4D" w:rsidRPr="00DD47DF">
        <w:t xml:space="preserve"> významnou cílovou skupinou pro zavádění nízkouhlíkových technologií z hlediska snížení negativního dopadu jejich činnosti na životní prostředí. To je dáno jednak rozsahem tohoto dopadu vzhledem k velikosti jejich produkce (velký potenciál ke zlepšení), a</w:t>
      </w:r>
      <w:r w:rsidR="00082BCC" w:rsidRPr="00DD47DF">
        <w:t>le</w:t>
      </w:r>
      <w:r w:rsidR="00802F4D" w:rsidRPr="00DD47DF">
        <w:t xml:space="preserve"> také tím, že řada velkých podniků má starší technologické vybavení a nevhodnou infrastrukturu přinášející zbytečnou ekologickou zátěž.</w:t>
      </w:r>
      <w:r w:rsidR="00E873A7" w:rsidRPr="00DD47DF">
        <w:t xml:space="preserve"> </w:t>
      </w:r>
    </w:p>
    <w:p w14:paraId="196342F4" w14:textId="77777777" w:rsidR="0058402E" w:rsidRPr="00DD47DF" w:rsidRDefault="00BA6461" w:rsidP="005F43DF">
      <w:pPr>
        <w:pStyle w:val="Nadpis5"/>
        <w:numPr>
          <w:ilvl w:val="4"/>
          <w:numId w:val="23"/>
        </w:numPr>
      </w:pPr>
      <w:r w:rsidRPr="00DD47DF">
        <w:t>Hlavní zásady pro výběr operací</w:t>
      </w:r>
    </w:p>
    <w:p w14:paraId="100C41CB"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4144B03C" w14:textId="77777777" w:rsidR="00C0640C" w:rsidRPr="00DD47DF" w:rsidRDefault="00C0640C" w:rsidP="00C0640C">
      <w:pPr>
        <w:pStyle w:val="Standardntext"/>
      </w:pPr>
      <w:r w:rsidRPr="00DD47DF">
        <w:t>V rámci výběru a hodnocení projektů budou posuzována především následující kritéria:</w:t>
      </w:r>
    </w:p>
    <w:p w14:paraId="0329BD13" w14:textId="77777777" w:rsidR="00C0640C" w:rsidRPr="00DD47DF" w:rsidRDefault="00C0640C" w:rsidP="00AF242B">
      <w:pPr>
        <w:pStyle w:val="Standardntext"/>
        <w:numPr>
          <w:ilvl w:val="0"/>
          <w:numId w:val="43"/>
        </w:numPr>
      </w:pPr>
      <w:r w:rsidRPr="00DD47DF">
        <w:t xml:space="preserve">Kvalita a potřebnost projektu </w:t>
      </w:r>
      <w:r w:rsidR="00DC4382" w:rsidRPr="00DD47DF">
        <w:t>s ohledem na jejich inovativní přínosy a ekonomickou efektivnost.</w:t>
      </w:r>
    </w:p>
    <w:p w14:paraId="73473C1E" w14:textId="77777777" w:rsidR="00A61EA1" w:rsidRPr="00DD47DF" w:rsidRDefault="00A61EA1" w:rsidP="00AF242B">
      <w:pPr>
        <w:pStyle w:val="Standardntext"/>
        <w:numPr>
          <w:ilvl w:val="0"/>
          <w:numId w:val="43"/>
        </w:numPr>
      </w:pPr>
      <w:r w:rsidRPr="00DD47DF">
        <w:t xml:space="preserve">Vliv projektů SC 3.4 z hlediska životní prostředí bude </w:t>
      </w:r>
      <w:r w:rsidR="00D5203D" w:rsidRPr="00DD47DF">
        <w:t xml:space="preserve">na projektové úrovni </w:t>
      </w:r>
      <w:r w:rsidRPr="00DD47DF">
        <w:t>sledován prostřednictvím indikátoru „Aplikované inovativní nízkouhlíkové technologie“</w:t>
      </w:r>
      <w:r w:rsidR="00C306CB" w:rsidRPr="00DD47DF">
        <w:t xml:space="preserve"> (2 17 10)</w:t>
      </w:r>
      <w:r w:rsidRPr="00DD47DF">
        <w:t>. Tento environmentální indikátor bude dále agregován pro potřeby Dohody o partnerství.</w:t>
      </w:r>
    </w:p>
    <w:p w14:paraId="0EDA5047" w14:textId="77777777" w:rsidR="000B12B7" w:rsidRPr="00DD47DF" w:rsidRDefault="000B12B7" w:rsidP="00AF242B">
      <w:pPr>
        <w:pStyle w:val="Standardntext"/>
        <w:numPr>
          <w:ilvl w:val="0"/>
          <w:numId w:val="43"/>
        </w:numPr>
      </w:pPr>
      <w:r w:rsidRPr="00DD47DF">
        <w:t xml:space="preserve">V případě zavádění inovativní technologií do budov budou </w:t>
      </w:r>
      <w:r w:rsidRPr="00DD47DF">
        <w:rPr>
          <w:bCs/>
        </w:rPr>
        <w:t>podporovány ukázkové šetrné budovy, které budou koncipovány po stavební stránce v minimálně pasivně energetickém standardu. Technologicky půjde o budovu s vysoce účinnými systémy pro vytváření zdravého a komfortního vnitřního prostředí. Součástí konceptu bude též chytré řízení a sběr dat o provozu takových systémů. Výstavba a provoz bude zásadně minimalizovat celkový dopad na životní prostředí a na čerpání surovinových zdrojů včetně pitné vody.</w:t>
      </w:r>
      <w:r w:rsidRPr="00DD47DF" w:rsidDel="003409F7">
        <w:t xml:space="preserve"> </w:t>
      </w:r>
    </w:p>
    <w:p w14:paraId="68466445" w14:textId="77777777" w:rsidR="000B12B7" w:rsidRPr="00DD47DF" w:rsidRDefault="000B12B7" w:rsidP="00AF242B">
      <w:pPr>
        <w:pStyle w:val="Standardntext"/>
        <w:numPr>
          <w:ilvl w:val="0"/>
          <w:numId w:val="43"/>
        </w:numPr>
      </w:pPr>
      <w:r w:rsidRPr="00DD47DF">
        <w:t>Projekt nesmí být financován provozní podporou obnovitelných zdrojů energie.</w:t>
      </w:r>
    </w:p>
    <w:p w14:paraId="6F8198E9" w14:textId="77777777" w:rsidR="000B12B7" w:rsidRPr="00DD47DF" w:rsidRDefault="000B12B7" w:rsidP="00AF242B">
      <w:pPr>
        <w:pStyle w:val="Standardntext"/>
        <w:numPr>
          <w:ilvl w:val="0"/>
          <w:numId w:val="43"/>
        </w:numPr>
      </w:pPr>
      <w:r w:rsidRPr="00DD47DF">
        <w:t>Podporovány budou projekty s vysokou mírou účinnosti.</w:t>
      </w:r>
    </w:p>
    <w:p w14:paraId="59D4076C" w14:textId="77777777" w:rsidR="000B12B7" w:rsidRPr="00DD47DF" w:rsidRDefault="000B12B7" w:rsidP="00AF242B">
      <w:pPr>
        <w:pStyle w:val="Standardntext"/>
        <w:numPr>
          <w:ilvl w:val="0"/>
          <w:numId w:val="43"/>
        </w:numPr>
      </w:pPr>
      <w:r w:rsidRPr="00DD47DF">
        <w:t>Při hodnocení míry inovativnosti, respektive způsobilosti projektu do tohoto specifického cíle bude aplikováno hodnocení Technology Readiness Level (TRL, Úroveň připravenosti technologie). Podpořeny budou projekty níže uvedených úrovní:</w:t>
      </w:r>
    </w:p>
    <w:p w14:paraId="362D9FEA" w14:textId="77777777" w:rsidR="000B12B7" w:rsidRPr="00DD47DF" w:rsidRDefault="000B12B7" w:rsidP="00D927A2">
      <w:pPr>
        <w:pStyle w:val="Standardntext"/>
        <w:numPr>
          <w:ilvl w:val="1"/>
          <w:numId w:val="43"/>
        </w:numPr>
      </w:pPr>
      <w:r w:rsidRPr="00DD47DF">
        <w:t>TRL 5 – technologie ověřena v relevantním prostředí (průmyslově významné prostředí v případě klíčových technologií)</w:t>
      </w:r>
    </w:p>
    <w:p w14:paraId="0F5C9A25" w14:textId="77777777" w:rsidR="000B12B7" w:rsidRPr="00DD47DF" w:rsidRDefault="000B12B7" w:rsidP="00D927A2">
      <w:pPr>
        <w:pStyle w:val="Standardntext"/>
        <w:numPr>
          <w:ilvl w:val="1"/>
          <w:numId w:val="43"/>
        </w:numPr>
      </w:pPr>
      <w:r w:rsidRPr="00DD47DF">
        <w:t>TRL 6 – technologie demonstrována v daném prostředí (průmyslově významné prostředí v případě klíčových technologií)</w:t>
      </w:r>
    </w:p>
    <w:p w14:paraId="6E923184" w14:textId="77777777" w:rsidR="000B12B7" w:rsidRPr="00DD47DF" w:rsidRDefault="000B12B7" w:rsidP="00D927A2">
      <w:pPr>
        <w:pStyle w:val="Standardntext"/>
        <w:numPr>
          <w:ilvl w:val="1"/>
          <w:numId w:val="43"/>
        </w:numPr>
      </w:pPr>
      <w:r w:rsidRPr="00DD47DF">
        <w:t>TRL 7 – demonstrace systémového prototypu v provozním prostředí</w:t>
      </w:r>
    </w:p>
    <w:p w14:paraId="79827801" w14:textId="77777777" w:rsidR="000B12B7" w:rsidRPr="00DD47DF" w:rsidRDefault="000B12B7" w:rsidP="00D927A2">
      <w:pPr>
        <w:pStyle w:val="Standardntext"/>
        <w:numPr>
          <w:ilvl w:val="1"/>
          <w:numId w:val="43"/>
        </w:numPr>
      </w:pPr>
      <w:r w:rsidRPr="00DD47DF">
        <w:t>TRL 8 – systém kompletní a kvalifikovaný</w:t>
      </w:r>
    </w:p>
    <w:p w14:paraId="1D42C3AA" w14:textId="77777777" w:rsidR="000B12B7" w:rsidRPr="00DD47DF" w:rsidRDefault="000B12B7" w:rsidP="00D927A2">
      <w:pPr>
        <w:pStyle w:val="Standardntext"/>
        <w:numPr>
          <w:ilvl w:val="1"/>
          <w:numId w:val="43"/>
        </w:numPr>
      </w:pPr>
      <w:r w:rsidRPr="00DD47DF">
        <w:t>TRL 9 – existující systém byl ověřen v provozním prostředí</w:t>
      </w:r>
      <w:r w:rsidR="008336D9" w:rsidRPr="00DD47DF">
        <w:t>.</w:t>
      </w:r>
    </w:p>
    <w:p w14:paraId="255909A1" w14:textId="77777777" w:rsidR="00C0640C" w:rsidRPr="00DD47DF" w:rsidRDefault="00C0640C" w:rsidP="00D927A2">
      <w:pPr>
        <w:pStyle w:val="Standardntext"/>
        <w:numPr>
          <w:ilvl w:val="0"/>
          <w:numId w:val="43"/>
        </w:numPr>
      </w:pPr>
      <w:r w:rsidRPr="00DD47DF">
        <w:lastRenderedPageBreak/>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63D33A28" w14:textId="77777777" w:rsidR="001E054A" w:rsidRPr="00DD47DF" w:rsidRDefault="001E054A" w:rsidP="00D927A2">
      <w:pPr>
        <w:pStyle w:val="Standardntext"/>
        <w:numPr>
          <w:ilvl w:val="0"/>
          <w:numId w:val="43"/>
        </w:numPr>
      </w:pPr>
      <w:r w:rsidRPr="00DD47DF">
        <w:t>Podpořené projekty budou mít povinnost realizovat diseminační aktivity, např.: uspořádat veřejnou akci (konferenci, seminář, workshop atd.) tematicky zaměřenou na předmětnou inovativní technologii. Dále budou muset zpracovat a veřejně zpřístupnit odbornou publikaci/metodiku, která bude podrobně popisovat předmětnou technologii, konkrétní způsob její aplikace v projektu, výhody, nevýhody, doporučení dalším případným zájemcům apod.</w:t>
      </w:r>
    </w:p>
    <w:p w14:paraId="396AF41D" w14:textId="77777777" w:rsidR="00192F36" w:rsidRPr="00DD47DF" w:rsidRDefault="00192F36"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5723BF5F" w14:textId="77777777" w:rsidR="0058402E" w:rsidRPr="00DD47DF" w:rsidRDefault="00BA6461" w:rsidP="005F43DF">
      <w:pPr>
        <w:pStyle w:val="Nadpis5"/>
        <w:numPr>
          <w:ilvl w:val="4"/>
          <w:numId w:val="23"/>
        </w:numPr>
        <w:rPr>
          <w:rFonts w:cs="Calibri"/>
        </w:rPr>
      </w:pPr>
      <w:r w:rsidRPr="00DD47DF">
        <w:t>Plánované využití finančních nástrojů (použije-li se)</w:t>
      </w:r>
    </w:p>
    <w:p w14:paraId="11717A41" w14:textId="77777777" w:rsidR="0058402E" w:rsidRPr="00DD47DF" w:rsidRDefault="00DC5013" w:rsidP="002A4D1D">
      <w:pPr>
        <w:pStyle w:val="Standardntext"/>
        <w:rPr>
          <w:color w:val="FF0000"/>
        </w:rPr>
      </w:pPr>
      <w:r w:rsidRPr="00DD47DF">
        <w:t xml:space="preserve">Řídící orgán nepředpokládá využití finančních nástrojů v této investiční prioritě. </w:t>
      </w:r>
      <w:r w:rsidR="006F58B4" w:rsidRPr="00DD47DF">
        <w:t>Detaily</w:t>
      </w:r>
      <w:r w:rsidRPr="00DD47DF">
        <w:t xml:space="preserve"> stanoví konečná verze předběžného posouzení finančních nástrojů OP PIK dle čl. 37 odst. 2 obecného nařízení, které provede ŘO OP PIK, případně jeho revize podle čl. 37 odst. 2 písm. g) obecného nařízení.</w:t>
      </w:r>
    </w:p>
    <w:p w14:paraId="496BC1D1" w14:textId="77777777" w:rsidR="0058402E" w:rsidRPr="00DD47DF" w:rsidRDefault="00BA6461" w:rsidP="005F43DF">
      <w:pPr>
        <w:pStyle w:val="Nadpis5"/>
        <w:numPr>
          <w:ilvl w:val="4"/>
          <w:numId w:val="23"/>
        </w:numPr>
      </w:pPr>
      <w:r w:rsidRPr="00DD47DF">
        <w:t>Plánované využití velkých projektů (použije-li se)</w:t>
      </w:r>
    </w:p>
    <w:p w14:paraId="45F73D3A" w14:textId="77777777" w:rsidR="002A4D1D" w:rsidRPr="00DD47DF" w:rsidRDefault="002A4D1D" w:rsidP="002A4D1D">
      <w:pPr>
        <w:pStyle w:val="Standardntext"/>
      </w:pPr>
      <w:r w:rsidRPr="00DD47DF">
        <w:t xml:space="preserve">Velké projekty ve smyslu čl. </w:t>
      </w:r>
      <w:r w:rsidR="008F52F8" w:rsidRPr="00DD47DF">
        <w:t>10</w:t>
      </w:r>
      <w:r w:rsidRPr="00DD47DF">
        <w:t>0 obecného nařízení nejsou plánovány.</w:t>
      </w:r>
    </w:p>
    <w:p w14:paraId="38F4ACCB" w14:textId="77777777" w:rsidR="0058402E" w:rsidRPr="00DD47DF" w:rsidRDefault="00BA6461" w:rsidP="001049C5">
      <w:pPr>
        <w:pStyle w:val="Nadpis5"/>
        <w:numPr>
          <w:ilvl w:val="4"/>
          <w:numId w:val="23"/>
        </w:numPr>
      </w:pPr>
      <w:r w:rsidRPr="00DD47DF">
        <w:t>Ukazatele výstupů podle investiční priority a případně podle kategorie regionů</w:t>
      </w:r>
    </w:p>
    <w:p w14:paraId="1D95AF9B" w14:textId="77777777" w:rsidR="0058402E" w:rsidRPr="00DD47DF" w:rsidRDefault="0058402E" w:rsidP="001049C5">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80"/>
        <w:gridCol w:w="2257"/>
        <w:gridCol w:w="1095"/>
        <w:gridCol w:w="665"/>
        <w:gridCol w:w="1300"/>
        <w:gridCol w:w="1253"/>
        <w:gridCol w:w="997"/>
        <w:gridCol w:w="1279"/>
      </w:tblGrid>
      <w:tr w:rsidR="001B2E5C" w:rsidRPr="00DD47DF" w14:paraId="551138E5" w14:textId="77777777">
        <w:trPr>
          <w:trHeight w:hRule="exact" w:val="10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27E8835" w14:textId="77777777" w:rsidR="001B2E5C" w:rsidRPr="00DD47DF" w:rsidRDefault="001B2E5C" w:rsidP="001B2E5C">
            <w:pPr>
              <w:pStyle w:val="Tabulka"/>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B3C03E4" w14:textId="77777777" w:rsidR="001B2E5C" w:rsidRPr="00DD47DF" w:rsidRDefault="001B2E5C" w:rsidP="001B2E5C">
            <w:pPr>
              <w:pStyle w:val="Tabulka"/>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86E02DD" w14:textId="77777777" w:rsidR="001B2E5C" w:rsidRPr="00DD47DF" w:rsidRDefault="001B2E5C" w:rsidP="001B2E5C">
            <w:pPr>
              <w:pStyle w:val="Tabulka"/>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F70CB99" w14:textId="77777777" w:rsidR="001B2E5C" w:rsidRPr="00DD47DF" w:rsidRDefault="001B2E5C" w:rsidP="001B2E5C">
            <w:pPr>
              <w:pStyle w:val="Tabulka"/>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53F9B54" w14:textId="77777777" w:rsidR="001B2E5C" w:rsidRPr="00DD47DF" w:rsidRDefault="001B2E5C" w:rsidP="001B2E5C">
            <w:pPr>
              <w:pStyle w:val="Tabulka"/>
              <w:rPr>
                <w:rFonts w:cs="Calibri"/>
                <w:b/>
              </w:rPr>
            </w:pPr>
            <w:r w:rsidRPr="00DD47DF">
              <w:rPr>
                <w:rFonts w:cs="Calibri"/>
                <w:b/>
              </w:rPr>
              <w:t>Kategorie regionu</w:t>
            </w:r>
          </w:p>
        </w:tc>
        <w:tc>
          <w:tcPr>
            <w:tcW w:w="125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436AAD2" w14:textId="77777777" w:rsidR="001B2E5C" w:rsidRPr="00DD47DF" w:rsidRDefault="001B2E5C" w:rsidP="00956C4F">
            <w:pPr>
              <w:pStyle w:val="Tabulka"/>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66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0443B2A" w14:textId="77777777" w:rsidR="001B2E5C" w:rsidRPr="00DD47DF" w:rsidRDefault="001B2E5C" w:rsidP="001B2E5C">
            <w:pPr>
              <w:pStyle w:val="Tabulka"/>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49EA449" w14:textId="77777777" w:rsidR="001B2E5C" w:rsidRPr="00DD47DF" w:rsidRDefault="001B2E5C" w:rsidP="001B2E5C">
            <w:pPr>
              <w:pStyle w:val="Tabulka"/>
              <w:rPr>
                <w:rFonts w:cs="Calibri"/>
                <w:b/>
              </w:rPr>
            </w:pPr>
            <w:r w:rsidRPr="00DD47DF">
              <w:rPr>
                <w:rFonts w:cs="Calibri"/>
                <w:b/>
              </w:rPr>
              <w:t>Četnost podávání zpráv</w:t>
            </w:r>
          </w:p>
        </w:tc>
      </w:tr>
      <w:tr w:rsidR="00F94124" w:rsidRPr="00DD47DF" w14:paraId="3B8F13C9"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10C081C3" w14:textId="6FCB6216" w:rsidR="00F94124" w:rsidRPr="00DD47DF" w:rsidRDefault="00C75691" w:rsidP="007E38FF">
            <w:pPr>
              <w:pStyle w:val="Tabulka"/>
              <w:rPr>
                <w:rFonts w:cs="Calibri"/>
              </w:rPr>
            </w:pPr>
            <w:r w:rsidRPr="00DD47DF">
              <w:rPr>
                <w:rFonts w:cs="Calibri"/>
              </w:rPr>
              <w:t xml:space="preserve">CO </w:t>
            </w:r>
            <w:r w:rsidR="00223936" w:rsidRPr="00DD47DF">
              <w:rPr>
                <w:rFonts w:cs="Calibri"/>
              </w:rPr>
              <w:t>0</w:t>
            </w:r>
            <w:r w:rsidR="00F94124"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443EBDC7" w14:textId="77777777" w:rsidR="00F94124" w:rsidRPr="00DD47DF" w:rsidRDefault="00F94124" w:rsidP="007E38FF">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36034E04" w14:textId="77777777" w:rsidR="00F94124" w:rsidRPr="00DD47DF" w:rsidRDefault="00F94124" w:rsidP="007E38FF">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37D4B74F" w14:textId="77777777" w:rsidR="00F94124" w:rsidRPr="00DD47DF" w:rsidRDefault="00F94124" w:rsidP="007E38FF">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68932F4" w14:textId="77777777" w:rsidR="00F94124" w:rsidRPr="00DD47DF" w:rsidRDefault="00F94124" w:rsidP="007E38FF">
            <w:pPr>
              <w:pStyle w:val="Tabulka"/>
              <w:rPr>
                <w:rFonts w:cs="Calibri"/>
              </w:rPr>
            </w:pPr>
            <w:r w:rsidRPr="00DD47DF">
              <w:rPr>
                <w:rFonts w:cs="Calibri"/>
              </w:rPr>
              <w:t>Méně rozvinuté regiony</w:t>
            </w:r>
          </w:p>
        </w:tc>
        <w:tc>
          <w:tcPr>
            <w:tcW w:w="1253" w:type="dxa"/>
            <w:tcBorders>
              <w:top w:val="single" w:sz="4" w:space="0" w:color="000000"/>
              <w:left w:val="single" w:sz="4" w:space="0" w:color="000000"/>
              <w:bottom w:val="single" w:sz="4" w:space="0" w:color="000000"/>
              <w:right w:val="single" w:sz="4" w:space="0" w:color="000000"/>
            </w:tcBorders>
            <w:vAlign w:val="center"/>
          </w:tcPr>
          <w:p w14:paraId="0874B201" w14:textId="52B2A953" w:rsidR="00F94124" w:rsidRPr="00DD47DF" w:rsidRDefault="004A3B8E" w:rsidP="00994365">
            <w:pPr>
              <w:pStyle w:val="Tabulka"/>
              <w:rPr>
                <w:rFonts w:cs="Calibri"/>
              </w:rPr>
            </w:pPr>
            <w:r>
              <w:rPr>
                <w:rFonts w:cs="Calibri"/>
              </w:rPr>
              <w:t>600</w:t>
            </w:r>
          </w:p>
        </w:tc>
        <w:tc>
          <w:tcPr>
            <w:tcW w:w="665" w:type="dxa"/>
            <w:tcBorders>
              <w:top w:val="single" w:sz="4" w:space="0" w:color="000000"/>
              <w:left w:val="single" w:sz="4" w:space="0" w:color="000000"/>
              <w:bottom w:val="single" w:sz="4" w:space="0" w:color="000000"/>
              <w:right w:val="single" w:sz="4" w:space="0" w:color="000000"/>
            </w:tcBorders>
            <w:vAlign w:val="center"/>
          </w:tcPr>
          <w:p w14:paraId="7FDD9179" w14:textId="77777777" w:rsidR="00F94124" w:rsidRPr="00DD47DF" w:rsidRDefault="00FC7054" w:rsidP="007E38FF">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7222C93D" w14:textId="77777777" w:rsidR="00F94124" w:rsidRPr="00DD47DF" w:rsidRDefault="00FC7054" w:rsidP="007E38FF">
            <w:pPr>
              <w:pStyle w:val="Tabulka"/>
              <w:rPr>
                <w:rFonts w:cs="Calibri"/>
              </w:rPr>
            </w:pPr>
            <w:r>
              <w:rPr>
                <w:rFonts w:cs="Calibri"/>
              </w:rPr>
              <w:t>průběžně</w:t>
            </w:r>
          </w:p>
        </w:tc>
      </w:tr>
      <w:tr w:rsidR="00F94124" w:rsidRPr="00DD47DF" w14:paraId="7FE06C79"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AF6CBC6" w14:textId="687ED5DC" w:rsidR="00F94124" w:rsidRPr="00DD47DF" w:rsidRDefault="00C75691" w:rsidP="007E38FF">
            <w:pPr>
              <w:pStyle w:val="Tabulka"/>
              <w:rPr>
                <w:rFonts w:cs="Calibri"/>
              </w:rPr>
            </w:pPr>
            <w:r w:rsidRPr="00DD47DF">
              <w:rPr>
                <w:rFonts w:cs="Calibri"/>
              </w:rPr>
              <w:t xml:space="preserve">CO </w:t>
            </w:r>
            <w:r w:rsidR="00223936" w:rsidRPr="00DD47DF">
              <w:rPr>
                <w:rFonts w:cs="Calibri"/>
              </w:rPr>
              <w:t>0</w:t>
            </w:r>
            <w:r w:rsidR="00F94124"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68F46F40" w14:textId="77777777" w:rsidR="00F94124" w:rsidRPr="00DD47DF" w:rsidRDefault="00F94124" w:rsidP="007E38FF">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045CE210" w14:textId="77777777" w:rsidR="00F94124" w:rsidRPr="00DD47DF" w:rsidRDefault="00F94124" w:rsidP="007E38FF">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7A59444B" w14:textId="77777777" w:rsidR="00F94124" w:rsidRPr="00DD47DF" w:rsidRDefault="00F94124" w:rsidP="007E38FF">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4D9DF232" w14:textId="77777777" w:rsidR="00F94124" w:rsidRPr="00DD47DF" w:rsidRDefault="00F94124" w:rsidP="007E38FF">
            <w:pPr>
              <w:pStyle w:val="Tabulka"/>
              <w:rPr>
                <w:rFonts w:cs="Calibri"/>
              </w:rPr>
            </w:pPr>
            <w:r w:rsidRPr="00DD47DF">
              <w:rPr>
                <w:rFonts w:cs="Calibri"/>
              </w:rPr>
              <w:t>Méně rozvinuté regiony</w:t>
            </w:r>
          </w:p>
        </w:tc>
        <w:tc>
          <w:tcPr>
            <w:tcW w:w="1253" w:type="dxa"/>
            <w:tcBorders>
              <w:top w:val="single" w:sz="4" w:space="0" w:color="000000"/>
              <w:left w:val="single" w:sz="4" w:space="0" w:color="000000"/>
              <w:bottom w:val="single" w:sz="4" w:space="0" w:color="000000"/>
              <w:right w:val="single" w:sz="4" w:space="0" w:color="000000"/>
            </w:tcBorders>
            <w:vAlign w:val="center"/>
          </w:tcPr>
          <w:p w14:paraId="3F61593B" w14:textId="2B16B669" w:rsidR="00F94124" w:rsidRPr="00DD47DF" w:rsidRDefault="004A3B8E" w:rsidP="00994365">
            <w:pPr>
              <w:pStyle w:val="Tabulka"/>
              <w:rPr>
                <w:rFonts w:cs="Calibri"/>
              </w:rPr>
            </w:pPr>
            <w:r>
              <w:rPr>
                <w:rFonts w:cs="Calibri"/>
              </w:rPr>
              <w:t>600</w:t>
            </w:r>
          </w:p>
        </w:tc>
        <w:tc>
          <w:tcPr>
            <w:tcW w:w="665" w:type="dxa"/>
            <w:tcBorders>
              <w:top w:val="single" w:sz="4" w:space="0" w:color="000000"/>
              <w:left w:val="single" w:sz="4" w:space="0" w:color="000000"/>
              <w:bottom w:val="single" w:sz="4" w:space="0" w:color="000000"/>
              <w:right w:val="single" w:sz="4" w:space="0" w:color="000000"/>
            </w:tcBorders>
            <w:vAlign w:val="center"/>
          </w:tcPr>
          <w:p w14:paraId="14A909F2" w14:textId="77777777" w:rsidR="00F94124" w:rsidRPr="00DD47DF" w:rsidRDefault="00FC7054" w:rsidP="007E38FF">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33EF56C4" w14:textId="77777777" w:rsidR="00F94124" w:rsidRPr="00DD47DF" w:rsidRDefault="00FC7054" w:rsidP="007E38FF">
            <w:pPr>
              <w:pStyle w:val="Tabulka"/>
              <w:rPr>
                <w:rFonts w:cs="Calibri"/>
              </w:rPr>
            </w:pPr>
            <w:r>
              <w:rPr>
                <w:rFonts w:cs="Calibri"/>
              </w:rPr>
              <w:t>průběžně</w:t>
            </w:r>
          </w:p>
        </w:tc>
      </w:tr>
      <w:tr w:rsidR="00F94124" w:rsidRPr="00DD47DF" w14:paraId="376674D4"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FAE64E7" w14:textId="64DF3A1A" w:rsidR="00F94124" w:rsidRPr="00DD47DF" w:rsidRDefault="00C75691" w:rsidP="007E38FF">
            <w:pPr>
              <w:pStyle w:val="Tabulka"/>
              <w:rPr>
                <w:rFonts w:cs="Calibri"/>
              </w:rPr>
            </w:pPr>
            <w:r w:rsidRPr="00DD47DF">
              <w:rPr>
                <w:rFonts w:cs="Calibri"/>
              </w:rPr>
              <w:t xml:space="preserve">CO </w:t>
            </w:r>
            <w:r w:rsidR="00223936" w:rsidRPr="00DD47DF">
              <w:rPr>
                <w:rFonts w:cs="Calibri"/>
              </w:rPr>
              <w:t>0</w:t>
            </w:r>
            <w:r w:rsidR="00F94124"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4061D101" w14:textId="77777777" w:rsidR="00F94124" w:rsidRPr="00DD47DF" w:rsidRDefault="00892451" w:rsidP="007E38FF">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039BDA19" w14:textId="77777777" w:rsidR="00F94124" w:rsidRPr="00DD47DF" w:rsidRDefault="00F94124" w:rsidP="007E38FF">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0D0AB68B" w14:textId="77777777" w:rsidR="00F94124" w:rsidRPr="00DD47DF" w:rsidRDefault="00F94124" w:rsidP="007E38FF">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F09B495" w14:textId="77777777" w:rsidR="00F94124" w:rsidRPr="00DD47DF" w:rsidRDefault="00F94124" w:rsidP="007E38FF">
            <w:pPr>
              <w:pStyle w:val="Tabulka"/>
              <w:rPr>
                <w:rFonts w:cs="Calibri"/>
              </w:rPr>
            </w:pPr>
            <w:r w:rsidRPr="00DD47DF">
              <w:rPr>
                <w:rFonts w:cs="Calibri"/>
              </w:rPr>
              <w:t>Méně rozvinuté regiony</w:t>
            </w:r>
          </w:p>
        </w:tc>
        <w:tc>
          <w:tcPr>
            <w:tcW w:w="1253" w:type="dxa"/>
            <w:tcBorders>
              <w:top w:val="single" w:sz="4" w:space="0" w:color="000000"/>
              <w:left w:val="single" w:sz="4" w:space="0" w:color="000000"/>
              <w:bottom w:val="single" w:sz="4" w:space="0" w:color="000000"/>
              <w:right w:val="single" w:sz="4" w:space="0" w:color="000000"/>
            </w:tcBorders>
            <w:vAlign w:val="center"/>
          </w:tcPr>
          <w:p w14:paraId="626199E9" w14:textId="14926B7B" w:rsidR="00F94124" w:rsidRPr="00DD47DF" w:rsidRDefault="004A3B8E" w:rsidP="00994365">
            <w:pPr>
              <w:pStyle w:val="Tabulka"/>
              <w:rPr>
                <w:rFonts w:cs="Calibri"/>
              </w:rPr>
            </w:pPr>
            <w:r>
              <w:rPr>
                <w:rFonts w:cs="Calibri"/>
              </w:rPr>
              <w:t>50</w:t>
            </w:r>
            <w:r w:rsidRPr="00DD47DF">
              <w:rPr>
                <w:rFonts w:cs="Calibri"/>
              </w:rPr>
              <w:t> </w:t>
            </w:r>
            <w:r w:rsidR="00F94124" w:rsidRPr="00DD47DF">
              <w:rPr>
                <w:rFonts w:cs="Calibri"/>
              </w:rPr>
              <w:t>000 000</w:t>
            </w:r>
          </w:p>
        </w:tc>
        <w:tc>
          <w:tcPr>
            <w:tcW w:w="665" w:type="dxa"/>
            <w:tcBorders>
              <w:top w:val="single" w:sz="4" w:space="0" w:color="000000"/>
              <w:left w:val="single" w:sz="4" w:space="0" w:color="000000"/>
              <w:bottom w:val="single" w:sz="4" w:space="0" w:color="000000"/>
              <w:right w:val="single" w:sz="4" w:space="0" w:color="000000"/>
            </w:tcBorders>
            <w:vAlign w:val="center"/>
          </w:tcPr>
          <w:p w14:paraId="555A5B22" w14:textId="77777777" w:rsidR="00F94124" w:rsidRPr="00DD47DF" w:rsidRDefault="00800418" w:rsidP="007E38FF">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666F8E1" w14:textId="77777777" w:rsidR="00F94124" w:rsidRPr="00DD47DF" w:rsidRDefault="00934A97" w:rsidP="007E38FF">
            <w:pPr>
              <w:pStyle w:val="Tabulka"/>
              <w:rPr>
                <w:rFonts w:cs="Calibri"/>
              </w:rPr>
            </w:pPr>
            <w:r>
              <w:rPr>
                <w:rFonts w:cs="Calibri"/>
              </w:rPr>
              <w:t>průběžně</w:t>
            </w:r>
          </w:p>
        </w:tc>
      </w:tr>
    </w:tbl>
    <w:p w14:paraId="709CBF7B" w14:textId="77777777" w:rsidR="00EC2D25" w:rsidRPr="00DD47DF" w:rsidRDefault="00EC2D25" w:rsidP="00DA3512">
      <w:pPr>
        <w:pStyle w:val="kapitola2A0"/>
        <w:numPr>
          <w:ilvl w:val="2"/>
          <w:numId w:val="68"/>
        </w:numPr>
      </w:pPr>
      <w:bookmarkStart w:id="75" w:name="_Toc506885022"/>
      <w:bookmarkStart w:id="76" w:name="_Toc351464393"/>
      <w:r w:rsidRPr="00DD47DF">
        <w:lastRenderedPageBreak/>
        <w:t>INVESTIČNÍ PRIORITA 5 prioritní osy 3: Podpora využívání vysoce účinné kombinované výroby tepla a elektřiny na základě poptávky po užitečném teple</w:t>
      </w:r>
      <w:bookmarkEnd w:id="75"/>
    </w:p>
    <w:p w14:paraId="486AC30D" w14:textId="77777777" w:rsidR="003B05CA" w:rsidRPr="00DD47DF" w:rsidRDefault="008C7D72" w:rsidP="00DA3512">
      <w:pPr>
        <w:pStyle w:val="kapitola2A0"/>
        <w:numPr>
          <w:ilvl w:val="2"/>
          <w:numId w:val="68"/>
        </w:numPr>
      </w:pPr>
      <w:bookmarkStart w:id="77" w:name="_Toc506885023"/>
      <w:r w:rsidRPr="00DD47DF">
        <w:t>Specifické cíle odpovídající investiční prioritě a očekávané výsledky</w:t>
      </w:r>
      <w:bookmarkEnd w:id="77"/>
    </w:p>
    <w:p w14:paraId="42C99CD1" w14:textId="77777777" w:rsidR="00272AE4" w:rsidRPr="00DD47DF" w:rsidRDefault="00272AE4" w:rsidP="00396141">
      <w:pPr>
        <w:pStyle w:val="Modrnadpis"/>
      </w:pPr>
      <w:r w:rsidRPr="00DD47DF">
        <w:t xml:space="preserve">SPECIFICKÝ CÍL </w:t>
      </w:r>
      <w:r w:rsidR="00C71E6F" w:rsidRPr="00DD47DF">
        <w:t>3.</w:t>
      </w:r>
      <w:r w:rsidRPr="00DD47DF">
        <w:t xml:space="preserve">5: </w:t>
      </w:r>
      <w:r w:rsidR="007E355B" w:rsidRPr="00DD47DF">
        <w:t>Zvýšit účinnost soustav zásobování teplem</w:t>
      </w:r>
    </w:p>
    <w:bookmarkEnd w:id="76"/>
    <w:p w14:paraId="4B91E8A0" w14:textId="77777777" w:rsidR="00583E19" w:rsidRPr="00DD47DF" w:rsidRDefault="00686722" w:rsidP="00686722">
      <w:pPr>
        <w:pStyle w:val="Standardntext"/>
      </w:pPr>
      <w:r w:rsidRPr="00DD47DF">
        <w:t>Č</w:t>
      </w:r>
      <w:r w:rsidR="00583E19" w:rsidRPr="00DD47DF">
        <w:t>R</w:t>
      </w:r>
      <w:r w:rsidRPr="00DD47DF">
        <w:t xml:space="preserve"> disponuje rozsáhlý</w:t>
      </w:r>
      <w:r w:rsidR="00583E19" w:rsidRPr="00DD47DF">
        <w:t xml:space="preserve">mi soustavami zásobování teplem, které </w:t>
      </w:r>
      <w:r w:rsidRPr="00DD47DF">
        <w:t xml:space="preserve">však již dnes </w:t>
      </w:r>
      <w:r w:rsidR="00583E19" w:rsidRPr="00DD47DF">
        <w:t xml:space="preserve">v mnoha případech </w:t>
      </w:r>
      <w:r w:rsidRPr="00DD47DF">
        <w:t>neodpovída</w:t>
      </w:r>
      <w:r w:rsidR="00583E19" w:rsidRPr="00DD47DF">
        <w:t>jí požadovaným parametrům. Zároveň</w:t>
      </w:r>
      <w:r w:rsidRPr="00DD47DF">
        <w:t xml:space="preserve"> v ČR existuje nevyužitý potenciál kombinované výroby elektřiny a tepla, kdy je celá řada soustav zásobování teplem napájena ze zdroje monovýroby tepla a teplo z výroby elektrické energie není využito. </w:t>
      </w:r>
      <w:r w:rsidR="00583E19" w:rsidRPr="00DD47DF">
        <w:t>Hlavním cílem je podpora konkurenceschopnosti a udržitelnosti české ekonomiky prostřednictvím využití kombinované výroby elektřiny a tepla.</w:t>
      </w:r>
    </w:p>
    <w:p w14:paraId="37960EC7" w14:textId="77777777" w:rsidR="00686722" w:rsidRPr="00DD47DF" w:rsidRDefault="003508A9" w:rsidP="00686722">
      <w:pPr>
        <w:pStyle w:val="Modrnadpis"/>
      </w:pPr>
      <w:r w:rsidRPr="00DD47DF">
        <w:t>Výsledky, kterých chce ČR dosáhnout s podporou Unie</w:t>
      </w:r>
    </w:p>
    <w:p w14:paraId="12C1BB2B" w14:textId="77777777" w:rsidR="00583E19" w:rsidRPr="00DD47DF" w:rsidRDefault="00583E19" w:rsidP="00FB3387">
      <w:pPr>
        <w:pStyle w:val="Standardntext"/>
        <w:numPr>
          <w:ilvl w:val="0"/>
          <w:numId w:val="51"/>
        </w:numPr>
      </w:pPr>
      <w:r w:rsidRPr="00DD47DF">
        <w:t>Příspěvek k naplnění Směrnice Evropského parlamentu a Rady 2012/27/EU o energetické účinnosti, která nabádá členské státy, aby přijmuli politiky, které podporují náležité zohledňování potenciálu využívání účinných systémů vytápění a chlazení, zejména systémů využívajících vysoce účinnou kombinovanou výrobu tepla a elektřiny.</w:t>
      </w:r>
    </w:p>
    <w:p w14:paraId="2D36100D" w14:textId="77777777" w:rsidR="007E355B" w:rsidRPr="00DD47DF" w:rsidRDefault="007E355B" w:rsidP="00FB3387">
      <w:pPr>
        <w:pStyle w:val="Standardntext"/>
        <w:numPr>
          <w:ilvl w:val="0"/>
          <w:numId w:val="51"/>
        </w:numPr>
      </w:pPr>
      <w:r w:rsidRPr="00DD47DF">
        <w:t>Dosažení úspor primární energie díky využití nízkopotenciálního tepla z výroby elektřiny, které by jinak bylo vyvedeno do okolního prostředí a zavádění kombinované výroby elektřiny a tepla (dále také „KVET“) v soustavách zásobování teplem, kde byla poptávka po teple uspokojována pouze monovýrobou tepla.</w:t>
      </w:r>
    </w:p>
    <w:p w14:paraId="0E129BBE" w14:textId="77777777" w:rsidR="00B65348" w:rsidRPr="00DD47DF" w:rsidRDefault="007E355B" w:rsidP="00FB3387">
      <w:pPr>
        <w:pStyle w:val="Standardntext"/>
        <w:numPr>
          <w:ilvl w:val="0"/>
          <w:numId w:val="51"/>
        </w:numPr>
      </w:pPr>
      <w:r w:rsidRPr="00DD47DF">
        <w:t>Modernizace soustav zásobování teplem, optimalizace jejich provozu a snižování ztrát tepla v rozvodech. Při rekonstrukci tepelných sítí dojde ke snížení ztrát díky lepším izolačním parametrům, změně teploty provozního média a dojde k dimenzování soustavy s ohledem na současnou a budoucí spotřebu tepla. V některých případech je nutno počítat s řízeným přechodem některých velkých soustav na větší množství menších systémů využívajících menší kogenerační jednotky.</w:t>
      </w:r>
    </w:p>
    <w:p w14:paraId="7AED7367" w14:textId="77777777" w:rsidR="00272AE4" w:rsidRPr="00DD47DF" w:rsidRDefault="00272AE4" w:rsidP="001D58DB">
      <w:pPr>
        <w:pStyle w:val="Titulek"/>
        <w:rPr>
          <w:rFonts w:cs="Calibri"/>
        </w:rPr>
      </w:pPr>
      <w:r w:rsidRPr="00DD47DF">
        <w:rPr>
          <w:rFonts w:cs="Calibri"/>
        </w:rPr>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1068"/>
        <w:gridCol w:w="1399"/>
        <w:gridCol w:w="985"/>
        <w:gridCol w:w="1142"/>
        <w:gridCol w:w="974"/>
        <w:gridCol w:w="873"/>
        <w:gridCol w:w="992"/>
        <w:gridCol w:w="757"/>
        <w:gridCol w:w="1136"/>
      </w:tblGrid>
      <w:tr w:rsidR="00D57106" w:rsidRPr="00DD47DF" w14:paraId="7DCF0540" w14:textId="77777777">
        <w:trPr>
          <w:trHeight w:hRule="exact" w:val="1297"/>
        </w:trPr>
        <w:tc>
          <w:tcPr>
            <w:tcW w:w="57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2713D25" w14:textId="77777777" w:rsidR="00CF739D" w:rsidRPr="00DD47DF" w:rsidRDefault="00CF739D" w:rsidP="001D58DB">
            <w:pPr>
              <w:pStyle w:val="Tabulka"/>
              <w:rPr>
                <w:rFonts w:cs="Calibri"/>
                <w:b/>
                <w:bCs/>
              </w:rPr>
            </w:pPr>
            <w:r w:rsidRPr="00DD47DF">
              <w:rPr>
                <w:rFonts w:cs="Calibri"/>
                <w:b/>
                <w:bCs/>
              </w:rPr>
              <w:t>ID</w:t>
            </w:r>
          </w:p>
        </w:tc>
        <w:tc>
          <w:tcPr>
            <w:tcW w:w="750"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D435855" w14:textId="77777777" w:rsidR="00CF739D" w:rsidRPr="00DD47DF" w:rsidRDefault="00CF739D" w:rsidP="001D58DB">
            <w:pPr>
              <w:pStyle w:val="Tabulka"/>
              <w:rPr>
                <w:rFonts w:cs="Calibri"/>
                <w:b/>
                <w:bCs/>
              </w:rPr>
            </w:pPr>
            <w:r w:rsidRPr="00DD47DF">
              <w:rPr>
                <w:rFonts w:cs="Calibri"/>
                <w:b/>
                <w:bCs/>
              </w:rPr>
              <w:t>Ukazatel</w:t>
            </w:r>
          </w:p>
        </w:tc>
        <w:tc>
          <w:tcPr>
            <w:tcW w:w="52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BA08EF2" w14:textId="77777777" w:rsidR="00CF739D" w:rsidRPr="00DD47DF" w:rsidRDefault="00CF739D" w:rsidP="001D58DB">
            <w:pPr>
              <w:pStyle w:val="Tabulka"/>
              <w:rPr>
                <w:rFonts w:cs="Calibri"/>
                <w:b/>
                <w:bCs/>
              </w:rPr>
            </w:pPr>
            <w:r w:rsidRPr="00DD47DF">
              <w:rPr>
                <w:rFonts w:cs="Calibri"/>
                <w:b/>
                <w:bCs/>
              </w:rPr>
              <w:t>Měrná</w:t>
            </w:r>
          </w:p>
          <w:p w14:paraId="4998B121" w14:textId="77777777" w:rsidR="00CF739D" w:rsidRPr="00DD47DF" w:rsidRDefault="00CF739D" w:rsidP="001D58DB">
            <w:pPr>
              <w:pStyle w:val="Tabulka"/>
              <w:rPr>
                <w:rFonts w:cs="Calibri"/>
                <w:b/>
                <w:bCs/>
              </w:rPr>
            </w:pPr>
            <w:r w:rsidRPr="00DD47DF">
              <w:rPr>
                <w:rFonts w:cs="Calibri"/>
                <w:b/>
                <w:bCs/>
              </w:rPr>
              <w:t>jednotka</w:t>
            </w:r>
          </w:p>
        </w:tc>
        <w:tc>
          <w:tcPr>
            <w:tcW w:w="61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1D02951" w14:textId="77777777" w:rsidR="00CF739D" w:rsidRPr="00DD47DF" w:rsidRDefault="00CF739D" w:rsidP="001D58DB">
            <w:pPr>
              <w:pStyle w:val="Tabulka"/>
              <w:rPr>
                <w:rFonts w:cs="Calibri"/>
                <w:b/>
                <w:bCs/>
              </w:rPr>
            </w:pPr>
            <w:r w:rsidRPr="00DD47DF">
              <w:rPr>
                <w:rFonts w:cs="Calibri"/>
                <w:b/>
                <w:bCs/>
              </w:rPr>
              <w:t>Kategorie regionů (je-li relevantní)</w:t>
            </w:r>
          </w:p>
        </w:tc>
        <w:tc>
          <w:tcPr>
            <w:tcW w:w="52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9CDB23D" w14:textId="77777777" w:rsidR="00CF739D" w:rsidRPr="00DD47DF" w:rsidRDefault="004B0854" w:rsidP="001D58DB">
            <w:pPr>
              <w:pStyle w:val="Tabulka"/>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33B8F46" w14:textId="77777777" w:rsidR="00CF739D" w:rsidRPr="00DD47DF" w:rsidRDefault="004B0854" w:rsidP="001D58DB">
            <w:pPr>
              <w:pStyle w:val="Tabulka"/>
              <w:rPr>
                <w:rFonts w:cs="Calibri"/>
                <w:b/>
                <w:bCs/>
              </w:rPr>
            </w:pPr>
            <w:r w:rsidRPr="00DD47DF">
              <w:rPr>
                <w:rFonts w:cs="Calibri"/>
                <w:b/>
                <w:bCs/>
              </w:rPr>
              <w:t xml:space="preserve">Výchozí </w:t>
            </w:r>
            <w:r w:rsidR="00CF739D" w:rsidRPr="00DD47DF">
              <w:rPr>
                <w:rFonts w:cs="Calibri"/>
                <w:b/>
                <w:bCs/>
              </w:rPr>
              <w:t>rok</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EF45B5B" w14:textId="77777777" w:rsidR="00CF739D" w:rsidRPr="00DD47DF" w:rsidRDefault="00CF739D" w:rsidP="001D58DB">
            <w:pPr>
              <w:pStyle w:val="Tabulka"/>
              <w:rPr>
                <w:rFonts w:cs="Calibri"/>
                <w:b/>
                <w:bCs/>
              </w:rPr>
            </w:pPr>
            <w:r w:rsidRPr="00DD47DF">
              <w:rPr>
                <w:rFonts w:cs="Calibri"/>
                <w:b/>
                <w:bCs/>
              </w:rPr>
              <w:t>Cílová hodnota (2023)</w:t>
            </w:r>
          </w:p>
        </w:tc>
        <w:tc>
          <w:tcPr>
            <w:tcW w:w="40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F616D40" w14:textId="77777777" w:rsidR="00CF739D" w:rsidRPr="00DD47DF" w:rsidRDefault="00CF739D" w:rsidP="001D58DB">
            <w:pPr>
              <w:pStyle w:val="Tabulka"/>
              <w:rPr>
                <w:rFonts w:cs="Calibri"/>
                <w:b/>
                <w:bCs/>
              </w:rPr>
            </w:pPr>
            <w:r w:rsidRPr="00DD47DF">
              <w:rPr>
                <w:rFonts w:cs="Calibri"/>
                <w:b/>
                <w:bCs/>
              </w:rPr>
              <w:t>Zdroj údajů</w:t>
            </w:r>
          </w:p>
        </w:tc>
        <w:tc>
          <w:tcPr>
            <w:tcW w:w="60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7A91D20" w14:textId="77777777" w:rsidR="00CF739D" w:rsidRPr="00DD47DF" w:rsidRDefault="00CF739D" w:rsidP="001D58DB">
            <w:pPr>
              <w:pStyle w:val="Tabulka"/>
              <w:rPr>
                <w:rFonts w:cs="Calibri"/>
                <w:b/>
                <w:bCs/>
              </w:rPr>
            </w:pPr>
            <w:r w:rsidRPr="00DD47DF">
              <w:rPr>
                <w:rFonts w:cs="Calibri"/>
                <w:b/>
                <w:bCs/>
              </w:rPr>
              <w:t>Četnost podávání zpráv</w:t>
            </w:r>
          </w:p>
        </w:tc>
      </w:tr>
      <w:tr w:rsidR="00D57106" w:rsidRPr="00DD47DF" w14:paraId="5775582C" w14:textId="77777777" w:rsidTr="00B90373">
        <w:trPr>
          <w:trHeight w:hRule="exact" w:val="1572"/>
        </w:trPr>
        <w:tc>
          <w:tcPr>
            <w:tcW w:w="573" w:type="pct"/>
            <w:tcBorders>
              <w:top w:val="single" w:sz="4" w:space="0" w:color="000000"/>
              <w:left w:val="single" w:sz="4" w:space="0" w:color="000000"/>
              <w:bottom w:val="single" w:sz="4" w:space="0" w:color="000000"/>
              <w:right w:val="single" w:sz="4" w:space="0" w:color="000000"/>
            </w:tcBorders>
            <w:vAlign w:val="center"/>
          </w:tcPr>
          <w:p w14:paraId="0A096409" w14:textId="1836B1E2" w:rsidR="00272AE4" w:rsidRPr="00DD47DF" w:rsidRDefault="002252D2" w:rsidP="00FA6560">
            <w:pPr>
              <w:pStyle w:val="Tabulka"/>
              <w:rPr>
                <w:rFonts w:cs="Calibri"/>
              </w:rPr>
            </w:pPr>
            <w:r w:rsidRPr="00DD47DF">
              <w:rPr>
                <w:rFonts w:cs="Calibri"/>
              </w:rPr>
              <w:t>326</w:t>
            </w:r>
            <w:r w:rsidR="003F52E6">
              <w:rPr>
                <w:rFonts w:cs="Calibri"/>
              </w:rPr>
              <w:t>20</w:t>
            </w:r>
          </w:p>
        </w:tc>
        <w:tc>
          <w:tcPr>
            <w:tcW w:w="750" w:type="pct"/>
            <w:tcBorders>
              <w:top w:val="single" w:sz="4" w:space="0" w:color="000000"/>
              <w:left w:val="single" w:sz="4" w:space="0" w:color="000000"/>
              <w:bottom w:val="single" w:sz="4" w:space="0" w:color="000000"/>
              <w:right w:val="single" w:sz="4" w:space="0" w:color="000000"/>
            </w:tcBorders>
            <w:vAlign w:val="center"/>
          </w:tcPr>
          <w:p w14:paraId="254F6372" w14:textId="0136FA3F" w:rsidR="00272AE4" w:rsidRPr="00DD47DF" w:rsidRDefault="0047406C" w:rsidP="001D58DB">
            <w:pPr>
              <w:pStyle w:val="Tabulka"/>
              <w:jc w:val="left"/>
              <w:rPr>
                <w:rFonts w:cs="Calibri"/>
              </w:rPr>
            </w:pPr>
            <w:r w:rsidRPr="0047406C">
              <w:rPr>
                <w:rFonts w:cs="Calibri"/>
                <w:szCs w:val="20"/>
              </w:rPr>
              <w:t>Vsázka paliva do tepláren (KVET) a výtopen SZT</w:t>
            </w:r>
          </w:p>
        </w:tc>
        <w:tc>
          <w:tcPr>
            <w:tcW w:w="528" w:type="pct"/>
            <w:tcBorders>
              <w:top w:val="single" w:sz="4" w:space="0" w:color="000000"/>
              <w:left w:val="single" w:sz="4" w:space="0" w:color="000000"/>
              <w:bottom w:val="single" w:sz="4" w:space="0" w:color="000000"/>
              <w:right w:val="single" w:sz="4" w:space="0" w:color="000000"/>
            </w:tcBorders>
            <w:vAlign w:val="center"/>
          </w:tcPr>
          <w:p w14:paraId="71A6CC66" w14:textId="77777777" w:rsidR="00272AE4" w:rsidRPr="00DD47DF" w:rsidRDefault="003A01C6" w:rsidP="001D58DB">
            <w:pPr>
              <w:pStyle w:val="Tabulka"/>
              <w:rPr>
                <w:rFonts w:cs="Calibri"/>
              </w:rPr>
            </w:pPr>
            <w:r w:rsidRPr="00DD47DF">
              <w:rPr>
                <w:rFonts w:cs="Calibri"/>
              </w:rPr>
              <w:t>TJ</w:t>
            </w:r>
          </w:p>
        </w:tc>
        <w:tc>
          <w:tcPr>
            <w:tcW w:w="612" w:type="pct"/>
            <w:tcBorders>
              <w:top w:val="single" w:sz="4" w:space="0" w:color="000000"/>
              <w:left w:val="single" w:sz="4" w:space="0" w:color="000000"/>
              <w:bottom w:val="single" w:sz="4" w:space="0" w:color="000000"/>
              <w:right w:val="single" w:sz="4" w:space="0" w:color="000000"/>
            </w:tcBorders>
            <w:vAlign w:val="center"/>
          </w:tcPr>
          <w:p w14:paraId="26FC69E8" w14:textId="77777777" w:rsidR="00272AE4" w:rsidRPr="00DD47DF" w:rsidRDefault="00FD0399" w:rsidP="001D58DB">
            <w:pPr>
              <w:pStyle w:val="Tabulka"/>
              <w:rPr>
                <w:rFonts w:cs="Calibri"/>
              </w:rPr>
            </w:pPr>
            <w:r w:rsidRPr="00DD47DF">
              <w:rPr>
                <w:rFonts w:cs="Calibri"/>
              </w:rPr>
              <w:t>Méně rozvinuté regiony</w:t>
            </w:r>
          </w:p>
        </w:tc>
        <w:tc>
          <w:tcPr>
            <w:tcW w:w="522" w:type="pct"/>
            <w:tcBorders>
              <w:top w:val="single" w:sz="4" w:space="0" w:color="000000"/>
              <w:left w:val="single" w:sz="4" w:space="0" w:color="000000"/>
              <w:bottom w:val="single" w:sz="4" w:space="0" w:color="000000"/>
              <w:right w:val="single" w:sz="4" w:space="0" w:color="000000"/>
            </w:tcBorders>
            <w:vAlign w:val="center"/>
          </w:tcPr>
          <w:p w14:paraId="3C779EB5" w14:textId="50321AA2" w:rsidR="00272AE4" w:rsidRPr="00DD47DF" w:rsidRDefault="009C3FDA" w:rsidP="001D58DB">
            <w:pPr>
              <w:pStyle w:val="Tabulka"/>
              <w:rPr>
                <w:rFonts w:cs="Calibri"/>
              </w:rPr>
            </w:pPr>
            <w:r w:rsidRPr="00700E39">
              <w:rPr>
                <w:rFonts w:cs="Calibri"/>
              </w:rPr>
              <w:t>546 410</w:t>
            </w:r>
          </w:p>
        </w:tc>
        <w:tc>
          <w:tcPr>
            <w:tcW w:w="468" w:type="pct"/>
            <w:tcBorders>
              <w:top w:val="single" w:sz="4" w:space="0" w:color="000000"/>
              <w:left w:val="single" w:sz="4" w:space="0" w:color="000000"/>
              <w:bottom w:val="single" w:sz="4" w:space="0" w:color="000000"/>
              <w:right w:val="single" w:sz="4" w:space="0" w:color="000000"/>
            </w:tcBorders>
            <w:vAlign w:val="center"/>
          </w:tcPr>
          <w:p w14:paraId="54104CC9" w14:textId="77777777" w:rsidR="00272AE4" w:rsidRPr="00DD47DF" w:rsidRDefault="001779BC" w:rsidP="001D58DB">
            <w:pPr>
              <w:pStyle w:val="Tabulka"/>
              <w:rPr>
                <w:rFonts w:cs="Calibri"/>
              </w:rPr>
            </w:pPr>
            <w:r w:rsidRPr="00DD47DF">
              <w:rPr>
                <w:rFonts w:cs="Calibri"/>
              </w:rPr>
              <w:t>2012</w:t>
            </w:r>
          </w:p>
        </w:tc>
        <w:tc>
          <w:tcPr>
            <w:tcW w:w="532" w:type="pct"/>
            <w:tcBorders>
              <w:top w:val="single" w:sz="4" w:space="0" w:color="000000"/>
              <w:left w:val="single" w:sz="4" w:space="0" w:color="000000"/>
              <w:bottom w:val="single" w:sz="4" w:space="0" w:color="000000"/>
              <w:right w:val="single" w:sz="4" w:space="0" w:color="000000"/>
            </w:tcBorders>
            <w:vAlign w:val="center"/>
          </w:tcPr>
          <w:p w14:paraId="105E9C5B" w14:textId="2D34A799" w:rsidR="00272AE4" w:rsidRPr="00DD47DF" w:rsidRDefault="009C3FDA" w:rsidP="001D58DB">
            <w:pPr>
              <w:pStyle w:val="Tabulka"/>
              <w:rPr>
                <w:rFonts w:cs="Calibri"/>
              </w:rPr>
            </w:pPr>
            <w:r w:rsidRPr="00700E39">
              <w:rPr>
                <w:rFonts w:cs="Calibri"/>
              </w:rPr>
              <w:t>543 744</w:t>
            </w:r>
          </w:p>
        </w:tc>
        <w:tc>
          <w:tcPr>
            <w:tcW w:w="406" w:type="pct"/>
            <w:tcBorders>
              <w:top w:val="single" w:sz="4" w:space="0" w:color="000000"/>
              <w:left w:val="single" w:sz="4" w:space="0" w:color="000000"/>
              <w:bottom w:val="single" w:sz="4" w:space="0" w:color="000000"/>
              <w:right w:val="single" w:sz="4" w:space="0" w:color="000000"/>
            </w:tcBorders>
            <w:vAlign w:val="center"/>
          </w:tcPr>
          <w:p w14:paraId="18A100AA" w14:textId="09F8A556" w:rsidR="00272AE4" w:rsidRPr="00DD47DF" w:rsidRDefault="00AC072C" w:rsidP="009872FD">
            <w:pPr>
              <w:pStyle w:val="Tabulka"/>
              <w:rPr>
                <w:rFonts w:cs="Calibri"/>
              </w:rPr>
            </w:pPr>
            <w:r w:rsidRPr="00DD47DF">
              <w:rPr>
                <w:rFonts w:cs="Calibri"/>
              </w:rPr>
              <w:t>ČSÚ</w:t>
            </w:r>
          </w:p>
        </w:tc>
        <w:tc>
          <w:tcPr>
            <w:tcW w:w="609" w:type="pct"/>
            <w:tcBorders>
              <w:top w:val="single" w:sz="4" w:space="0" w:color="000000"/>
              <w:left w:val="single" w:sz="4" w:space="0" w:color="000000"/>
              <w:bottom w:val="single" w:sz="4" w:space="0" w:color="000000"/>
              <w:right w:val="single" w:sz="4" w:space="0" w:color="000000"/>
            </w:tcBorders>
            <w:vAlign w:val="center"/>
          </w:tcPr>
          <w:p w14:paraId="73A336AC" w14:textId="77777777" w:rsidR="00272AE4" w:rsidRPr="00DD47DF" w:rsidRDefault="003A01C6" w:rsidP="001D58DB">
            <w:pPr>
              <w:pStyle w:val="Tabulka"/>
              <w:rPr>
                <w:rFonts w:cs="Calibri"/>
              </w:rPr>
            </w:pPr>
            <w:r w:rsidRPr="00DD47DF">
              <w:rPr>
                <w:rFonts w:cs="Calibri"/>
              </w:rPr>
              <w:t>ročně</w:t>
            </w:r>
          </w:p>
        </w:tc>
      </w:tr>
    </w:tbl>
    <w:p w14:paraId="4BC47B35" w14:textId="77777777" w:rsidR="00EC2D25" w:rsidRPr="00DD47DF" w:rsidRDefault="00EC2D25" w:rsidP="00DA3512">
      <w:pPr>
        <w:pStyle w:val="kapitola2A0"/>
        <w:numPr>
          <w:ilvl w:val="2"/>
          <w:numId w:val="68"/>
        </w:numPr>
      </w:pPr>
      <w:bookmarkStart w:id="78" w:name="_Toc506885024"/>
      <w:r w:rsidRPr="00DD47DF">
        <w:lastRenderedPageBreak/>
        <w:t>Opatření, jež má být podpořeno v rámci investiční priority</w:t>
      </w:r>
      <w:bookmarkEnd w:id="78"/>
    </w:p>
    <w:p w14:paraId="4BB77752" w14:textId="77777777" w:rsidR="00272AE4" w:rsidRPr="00DD47DF" w:rsidRDefault="00D479AF" w:rsidP="001D58DB">
      <w:pPr>
        <w:pStyle w:val="Nadpis5"/>
        <w:numPr>
          <w:ilvl w:val="4"/>
          <w:numId w:val="24"/>
        </w:numPr>
      </w:pPr>
      <w:bookmarkStart w:id="79" w:name="_Toc351464395"/>
      <w:r w:rsidRPr="00DD47DF">
        <w:t>Popis typů a příkladů opatření, která mají být podporována, a jejich očekávaný přínos k plnění specifických cílů, případně včetně určení hlavních cílových skupin, konkrétních cílových území a druhů příjemců</w:t>
      </w:r>
    </w:p>
    <w:bookmarkEnd w:id="79"/>
    <w:p w14:paraId="5869612D" w14:textId="77777777" w:rsidR="00272AE4" w:rsidRPr="00DD47DF" w:rsidRDefault="000A2EB4" w:rsidP="009912CD">
      <w:pPr>
        <w:pStyle w:val="Standardntext"/>
        <w:rPr>
          <w:b/>
        </w:rPr>
      </w:pPr>
      <w:r w:rsidRPr="00DD47DF">
        <w:rPr>
          <w:b/>
        </w:rPr>
        <w:t>Aktivity pro tento specifický cíl:</w:t>
      </w:r>
    </w:p>
    <w:p w14:paraId="5DC1D3C3" w14:textId="77777777" w:rsidR="00272AE4" w:rsidRPr="00DD47DF" w:rsidRDefault="001E5FB8" w:rsidP="00FB3387">
      <w:pPr>
        <w:pStyle w:val="Standardntext"/>
        <w:numPr>
          <w:ilvl w:val="0"/>
          <w:numId w:val="41"/>
        </w:numPr>
      </w:pPr>
      <w:r w:rsidRPr="00DD47DF">
        <w:t>R</w:t>
      </w:r>
      <w:r w:rsidR="009A6E4E" w:rsidRPr="00DD47DF">
        <w:t xml:space="preserve">ekonstrukce a rozvoj soustav zásobování teplem resp. rozvodných </w:t>
      </w:r>
      <w:r w:rsidR="00EE7AF6" w:rsidRPr="00DD47DF">
        <w:t xml:space="preserve">tepelných </w:t>
      </w:r>
      <w:r w:rsidR="009A6E4E" w:rsidRPr="00DD47DF">
        <w:t>zařízení</w:t>
      </w:r>
      <w:r w:rsidR="00272AE4" w:rsidRPr="00DD47DF">
        <w:t>,</w:t>
      </w:r>
    </w:p>
    <w:p w14:paraId="6FE5C690" w14:textId="77777777" w:rsidR="00272AE4" w:rsidRPr="00DD47DF" w:rsidRDefault="009A6E4E" w:rsidP="00FB3387">
      <w:pPr>
        <w:pStyle w:val="Standardntext"/>
        <w:numPr>
          <w:ilvl w:val="0"/>
          <w:numId w:val="41"/>
        </w:numPr>
      </w:pPr>
      <w:r w:rsidRPr="00DD47DF">
        <w:t>zavádění a zvyšování účinnosti systémů kombinované výroby elektřiny a tepla</w:t>
      </w:r>
      <w:r w:rsidR="00272AE4" w:rsidRPr="00DD47DF">
        <w:t>.</w:t>
      </w:r>
    </w:p>
    <w:p w14:paraId="5CFF83A3" w14:textId="77777777" w:rsidR="007E355B" w:rsidRPr="00DD47DF" w:rsidRDefault="003A03E8" w:rsidP="00687183">
      <w:pPr>
        <w:pStyle w:val="Standardntext"/>
      </w:pPr>
      <w:r w:rsidRPr="00DD47DF">
        <w:t>Jak vyplynulo z implementace obdobných proje</w:t>
      </w:r>
      <w:r w:rsidR="00903715" w:rsidRPr="00DD47DF">
        <w:t xml:space="preserve">ktů v OPPI v letech 2007 – 2013, </w:t>
      </w:r>
      <w:r w:rsidR="007E355B" w:rsidRPr="00DD47DF">
        <w:t xml:space="preserve">mohou projekty </w:t>
      </w:r>
      <w:r w:rsidRPr="00DD47DF">
        <w:t xml:space="preserve">ve výše uvedených aktivitách </w:t>
      </w:r>
      <w:r w:rsidR="007E355B" w:rsidRPr="00DD47DF">
        <w:t xml:space="preserve">obsahovat pouze jeden typ úsporného opatření (modernizace tepelných rozvodů) či kombinaci několika úsporných opatření. Doporučenou variantu řešení bude obsahovat </w:t>
      </w:r>
      <w:r w:rsidR="00A924D2" w:rsidRPr="00DD47DF">
        <w:t>e</w:t>
      </w:r>
      <w:r w:rsidR="007E355B" w:rsidRPr="00DD47DF">
        <w:t>nergetický audit, kter</w:t>
      </w:r>
      <w:r w:rsidR="00A924D2" w:rsidRPr="00DD47DF">
        <w:t>ý</w:t>
      </w:r>
      <w:r w:rsidR="007E355B" w:rsidRPr="00DD47DF">
        <w:t xml:space="preserve"> bude povinnou součástí žádosti o </w:t>
      </w:r>
      <w:r w:rsidR="00A924D2" w:rsidRPr="00DD47DF">
        <w:t>podporu.</w:t>
      </w:r>
    </w:p>
    <w:p w14:paraId="5169F1D6" w14:textId="77777777" w:rsidR="00A924D2" w:rsidRPr="00DD47DF" w:rsidRDefault="00A924D2" w:rsidP="00A924D2">
      <w:pPr>
        <w:pStyle w:val="Standardntext"/>
      </w:pPr>
      <w:r w:rsidRPr="00DD47DF">
        <w:t>V rámci tohoto SC budou podporovány následující typové příklady či jejich kombinace:</w:t>
      </w:r>
    </w:p>
    <w:p w14:paraId="686F6E9D" w14:textId="77777777" w:rsidR="00A924D2" w:rsidRPr="00DD47DF" w:rsidRDefault="00A924D2" w:rsidP="00FB3387">
      <w:pPr>
        <w:pStyle w:val="Standardntext"/>
        <w:numPr>
          <w:ilvl w:val="0"/>
          <w:numId w:val="41"/>
        </w:numPr>
      </w:pPr>
      <w:r w:rsidRPr="00DD47DF">
        <w:t xml:space="preserve">Instalace </w:t>
      </w:r>
      <w:r w:rsidR="00DD1988" w:rsidRPr="00DD47DF">
        <w:t xml:space="preserve">vysokoúčinných (plynových) </w:t>
      </w:r>
      <w:r w:rsidRPr="00DD47DF">
        <w:t>kogeneračních jednotek v soustavách zásobování teplem, kde doposud probíhala pouze výroba tepla nebo kde je možné zvýšit množství tepla pocházejícího z vysokoúčinné kombinované výroby elektřiny a tepla, včetně rozvoje a propojování existujících soustav za účelem vyššího využití kombinované výroby elektřiny a tepla s cílem dosažení úspor primární energie.</w:t>
      </w:r>
    </w:p>
    <w:p w14:paraId="15F36F01" w14:textId="77777777" w:rsidR="008614C4" w:rsidRPr="00DD47DF" w:rsidRDefault="008614C4" w:rsidP="00FB3387">
      <w:pPr>
        <w:pStyle w:val="Standardntext"/>
        <w:numPr>
          <w:ilvl w:val="0"/>
          <w:numId w:val="41"/>
        </w:numPr>
      </w:pPr>
      <w:r w:rsidRPr="00DD47DF">
        <w:t xml:space="preserve">Instalace </w:t>
      </w:r>
      <w:r w:rsidR="00DD1988" w:rsidRPr="00DD47DF">
        <w:t xml:space="preserve">vysokoúčinné (plynové) </w:t>
      </w:r>
      <w:r w:rsidRPr="00DD47DF">
        <w:t>kogenerační jednotky za účelem lokální spotřeby tepelné energie.</w:t>
      </w:r>
    </w:p>
    <w:p w14:paraId="36F63768" w14:textId="77777777" w:rsidR="00A924D2" w:rsidRPr="00DD47DF" w:rsidRDefault="00A924D2" w:rsidP="00FB3387">
      <w:pPr>
        <w:pStyle w:val="Standardntext"/>
        <w:numPr>
          <w:ilvl w:val="0"/>
          <w:numId w:val="41"/>
        </w:numPr>
      </w:pPr>
      <w:r w:rsidRPr="00DD47DF">
        <w:t>Rekonstrukce stávajících zařízení s kombinovanou výrobou elektřiny a tepla s cílem dosažení úspory primární energie díky zlepšení technických parametrů zařízení.</w:t>
      </w:r>
    </w:p>
    <w:p w14:paraId="1EB8538B" w14:textId="77777777" w:rsidR="00A924D2" w:rsidRPr="00DD47DF" w:rsidRDefault="00DD1988" w:rsidP="00FB3387">
      <w:pPr>
        <w:pStyle w:val="Standardntext"/>
        <w:numPr>
          <w:ilvl w:val="0"/>
          <w:numId w:val="41"/>
        </w:numPr>
      </w:pPr>
      <w:r w:rsidRPr="00DD47DF">
        <w:t>Výstavba a r</w:t>
      </w:r>
      <w:r w:rsidR="00A924D2" w:rsidRPr="00DD47DF">
        <w:t>ozvoj stávajících soustav zásobování teplem včetně předávacích stanic s cílem maximálního využití tepla z vysokoúčinné kombinované výroby elektřiny a tepla případně odpadního tepla z průmyslových procesů a dosažení úspor primární energie.</w:t>
      </w:r>
      <w:r w:rsidR="00657F1B" w:rsidRPr="00DD47DF">
        <w:t xml:space="preserve"> Podpora bude poskytována na projekty, které se zaměřují na rozvoj systémů zásobování teplem, za předpokladu, že analýza nákladů a přínosů dle čl. 14 směrnice č. 2012/27/EU o energetické účinnosti, identifikuje potenciál pro využití vysoce účinné kogenerace </w:t>
      </w:r>
      <w:r w:rsidR="000F32C8" w:rsidRPr="00DD47DF">
        <w:t>tepla a elektřiny</w:t>
      </w:r>
      <w:r w:rsidR="00657F1B" w:rsidRPr="00DD47DF">
        <w:t xml:space="preserve"> nebo efektivní vzdálené vytápění a chlazení, jehož přínosy </w:t>
      </w:r>
      <w:r w:rsidR="000F32C8" w:rsidRPr="00DD47DF">
        <w:t>převýší náklady.</w:t>
      </w:r>
    </w:p>
    <w:p w14:paraId="2069CF45" w14:textId="77777777" w:rsidR="008336D9" w:rsidRPr="00DD47DF" w:rsidRDefault="00A924D2" w:rsidP="00A924D2">
      <w:pPr>
        <w:pStyle w:val="Standardntext"/>
      </w:pPr>
      <w:r w:rsidRPr="00DD47DF">
        <w:t>Rekonstrukce stávajících tepelných sítí včetně předávacích stanic s cílem snížení ztrát tepla a dosažení úspor primární energie. Typickým příkladem je změna teplonosného média z páry na horkou vodu, která umožňuje lepší regulovatelnost dodávky tepelné energie konečným spotřebitelům a přináší významné snížení ztrát tepla v rozvodu. Součástí rozsáhlých rekonstrukcí tepelných sítí může být také budování části nových sítí v nových trasách s cílem optimalizace topologie tepelné sítě a snížení ztrát tepla.</w:t>
      </w:r>
    </w:p>
    <w:p w14:paraId="16414064" w14:textId="77777777" w:rsidR="0054394C" w:rsidRPr="00DD47DF" w:rsidRDefault="004A1E6D" w:rsidP="0054394C">
      <w:pPr>
        <w:pStyle w:val="Standardntext"/>
      </w:pPr>
      <w:r w:rsidRPr="00DD47DF">
        <w:t>Podpora je poskytována na investice do vysoce účinných zařízení na kombinovanou výrobu tepla a elektřiny, jejichž cílem je dosažení co nejnižších emisí CO</w:t>
      </w:r>
      <w:r w:rsidRPr="00DD47DF">
        <w:rPr>
          <w:vertAlign w:val="subscript"/>
        </w:rPr>
        <w:t>2</w:t>
      </w:r>
      <w:r w:rsidRPr="00DD47DF">
        <w:t xml:space="preserve"> a maximální snížení znečištění ovzduší a zajištění ekonomické udržitelnosti. Kromě těchto podmínek by veškeré investice do modernizace stávajících zařízení na vysoce účinná zařízení na kombinovanou </w:t>
      </w:r>
      <w:r w:rsidRPr="00DD47DF">
        <w:lastRenderedPageBreak/>
        <w:t>výrobu tepla a elektřiny měly vést ke snížení emisí CO</w:t>
      </w:r>
      <w:r w:rsidRPr="00DD47DF">
        <w:rPr>
          <w:vertAlign w:val="subscript"/>
        </w:rPr>
        <w:t>2</w:t>
      </w:r>
      <w:r w:rsidRPr="00DD47DF">
        <w:t xml:space="preserve"> nejméně o 30 % ve srovnání se stávajícími zařízeními.</w:t>
      </w:r>
      <w:r w:rsidR="0054394C" w:rsidRPr="00DD47DF">
        <w:t xml:space="preserve"> </w:t>
      </w:r>
    </w:p>
    <w:p w14:paraId="60500A40" w14:textId="77777777" w:rsidR="0054394C" w:rsidRPr="00DD47DF" w:rsidRDefault="004A1E6D" w:rsidP="0054394C">
      <w:pPr>
        <w:pStyle w:val="Standardntext"/>
      </w:pPr>
      <w:r w:rsidRPr="00DD47DF">
        <w:t>V případě nových zařízení by mělo být dosaženo alespoň 10% nárůstu energetické účinnosti ve srovnání s oddělenou výrobou elektřiny a tepla při využití nejlepších dostupných technologií. Investiční podporu pro vysoce účinnou kombinovanou výrobu tepla a elektřiny na bázi zemního plynu lze poskytnout, pokud to nebude mít za následek vytlačení nízkouhlíkových řešení a pokud by alternativní řešení bylo méně účinné a s vyšším obsahem uhlíku</w:t>
      </w:r>
      <w:r w:rsidR="0054394C" w:rsidRPr="00DD47DF">
        <w:t>.</w:t>
      </w:r>
    </w:p>
    <w:p w14:paraId="79A635DA" w14:textId="77777777" w:rsidR="006A5E3C" w:rsidRPr="00DD47DF" w:rsidRDefault="006A5E3C" w:rsidP="00A924D2">
      <w:pPr>
        <w:pStyle w:val="Standardntext"/>
      </w:pPr>
      <w:r w:rsidRPr="00DD47DF">
        <w:t xml:space="preserve">Vyšší prioritu bude mít modernizace soustav zásobování teplem se zdroji do 20 MW, současně však </w:t>
      </w:r>
      <w:r w:rsidR="00385E18" w:rsidRPr="00DD47DF">
        <w:t>budou podporován</w:t>
      </w:r>
      <w:r w:rsidR="0054394C" w:rsidRPr="00DD47DF">
        <w:t>a i tepelná rozvodná zařízení</w:t>
      </w:r>
      <w:r w:rsidRPr="00DD47DF">
        <w:t>, do nichž je dodáváno teplo ze zdrojů s vyšším výkonem než 20 MW</w:t>
      </w:r>
      <w:r w:rsidR="0054394C" w:rsidRPr="00DD47DF">
        <w:t>. Rekonstrukce/modernizace zdroje  bude umožněna pouze do 20 MW tepelného příkonu.</w:t>
      </w:r>
    </w:p>
    <w:p w14:paraId="786CEF04" w14:textId="77777777" w:rsidR="00A924D2" w:rsidRPr="00DD47DF" w:rsidRDefault="00A924D2" w:rsidP="00A924D2">
      <w:pPr>
        <w:pStyle w:val="Standardntext"/>
      </w:pPr>
      <w:r w:rsidRPr="00DD47DF">
        <w:t>Způsobilými výdaji budou výdaje na stavbu a technologická zařízení včetně měření a regulace v soustavách zásobování teplem nezbytná pro dosažení úspor primární energie</w:t>
      </w:r>
      <w:r w:rsidR="005F7F3F" w:rsidRPr="00DD47DF">
        <w:t>,</w:t>
      </w:r>
      <w:r w:rsidRPr="00DD47DF">
        <w:t xml:space="preserve"> včetně projektové dokumentace a energetického auditu.</w:t>
      </w:r>
    </w:p>
    <w:p w14:paraId="061A725B" w14:textId="77777777" w:rsidR="00471031" w:rsidRPr="00DD47DF" w:rsidRDefault="00471031" w:rsidP="00471031">
      <w:pPr>
        <w:pStyle w:val="Standardntext"/>
        <w:rPr>
          <w:bCs/>
        </w:rPr>
      </w:pPr>
      <w:r w:rsidRPr="00DD47DF">
        <w:t>Výstupy výše uvedených aktivit přispějí k naplňování hlavního výsledku tohoto specifického cíle, kterým je zvýšení úspory primární energie.</w:t>
      </w:r>
      <w:r w:rsidR="008A2959" w:rsidRPr="00DD47DF">
        <w:t xml:space="preserve"> </w:t>
      </w:r>
      <w:r w:rsidR="007C2897" w:rsidRPr="00DD47DF">
        <w:t>Výsledky pokrývají jen teplárenský sektor</w:t>
      </w:r>
      <w:r w:rsidR="008A2959" w:rsidRPr="00DD47DF">
        <w:t>.</w:t>
      </w:r>
    </w:p>
    <w:p w14:paraId="3FA1B0F3" w14:textId="77777777" w:rsidR="00272AE4" w:rsidRPr="00DD47DF" w:rsidRDefault="00272AE4" w:rsidP="009A6E4E">
      <w:pPr>
        <w:pStyle w:val="Standardntext"/>
      </w:pPr>
      <w:r w:rsidRPr="00DD47DF">
        <w:rPr>
          <w:b/>
          <w:bCs/>
        </w:rPr>
        <w:t xml:space="preserve">Hlavní cílová skupina: </w:t>
      </w:r>
      <w:r w:rsidR="00FA6AB3" w:rsidRPr="00DD47DF">
        <w:rPr>
          <w:bCs/>
        </w:rPr>
        <w:t>Podnikatelské subjekty (</w:t>
      </w:r>
      <w:r w:rsidR="009A6E4E" w:rsidRPr="00DD47DF">
        <w:t>velké podniky</w:t>
      </w:r>
      <w:r w:rsidR="00FA6AB3" w:rsidRPr="00DD47DF">
        <w:t xml:space="preserve">, </w:t>
      </w:r>
      <w:r w:rsidR="009A6E4E" w:rsidRPr="00DD47DF">
        <w:t>ale i střední</w:t>
      </w:r>
      <w:r w:rsidR="003D0A72" w:rsidRPr="00DD47DF">
        <w:t xml:space="preserve"> a</w:t>
      </w:r>
      <w:r w:rsidR="009A6E4E" w:rsidRPr="00DD47DF">
        <w:t xml:space="preserve"> případně malé</w:t>
      </w:r>
      <w:r w:rsidR="00FA6AB3" w:rsidRPr="00DD47DF">
        <w:t xml:space="preserve"> podniky) </w:t>
      </w:r>
      <w:r w:rsidR="009A6E4E" w:rsidRPr="00DD47DF">
        <w:t xml:space="preserve">které se soustředí na výrobu a dodávku tepla do systému </w:t>
      </w:r>
      <w:r w:rsidR="003D0A72" w:rsidRPr="00DD47DF">
        <w:t xml:space="preserve">zásobování teplem z </w:t>
      </w:r>
      <w:r w:rsidR="00EE7AF6" w:rsidRPr="00DD47DF">
        <w:t>kombinované výroby elektřiny a tepla</w:t>
      </w:r>
      <w:r w:rsidR="003D0A72" w:rsidRPr="00DD47DF">
        <w:t>.</w:t>
      </w:r>
    </w:p>
    <w:p w14:paraId="390E3458" w14:textId="77777777" w:rsidR="00272AE4" w:rsidRPr="00DD47DF" w:rsidRDefault="00272AE4" w:rsidP="009A6E4E">
      <w:pPr>
        <w:pStyle w:val="Standardntext"/>
      </w:pPr>
      <w:r w:rsidRPr="00DD47DF">
        <w:rPr>
          <w:b/>
          <w:bCs/>
        </w:rPr>
        <w:t xml:space="preserve">Cílové území: </w:t>
      </w:r>
      <w:r w:rsidR="001E0AA2" w:rsidRPr="00DD47DF">
        <w:t>Území České republiky, mimo území hl. m. Prahy.</w:t>
      </w:r>
      <w:r w:rsidR="00015039" w:rsidRPr="00DD47DF">
        <w:t xml:space="preserve"> Z hlediska územní dimenze </w:t>
      </w:r>
      <w:r w:rsidR="00A46CD6" w:rsidRPr="00DD47DF">
        <w:t>bude tento specifický cíl zaměřen na urbánní území, kde se předpokládá zapojení do integrovaného nástroje ITI.</w:t>
      </w:r>
    </w:p>
    <w:p w14:paraId="70FAD42E" w14:textId="31F79BF5" w:rsidR="000F32C8" w:rsidRPr="00DD47DF" w:rsidRDefault="00272AE4" w:rsidP="00951C8A">
      <w:pPr>
        <w:pStyle w:val="Standardntext"/>
      </w:pPr>
      <w:r w:rsidRPr="00DD47DF">
        <w:rPr>
          <w:b/>
          <w:bCs/>
        </w:rPr>
        <w:t xml:space="preserve">Typy příjemců: </w:t>
      </w:r>
      <w:r w:rsidRPr="00DD47DF">
        <w:t>Podnikatelské subjekty (malé, střední a velké podniky).</w:t>
      </w:r>
      <w:r w:rsidR="00951C8A" w:rsidRPr="00DD47DF">
        <w:t xml:space="preserve"> </w:t>
      </w:r>
      <w:r w:rsidR="000F32C8" w:rsidRPr="00DD47DF">
        <w:t>Dělící linie mezi OP PIK a OP ŽP: OP PIK se zaměřuje na podnikatelské subjekty, včetně těch, které jsou až ze 100 % vlastněny státem; OP ŽP se zaměřuje na veřejný sektor.</w:t>
      </w:r>
    </w:p>
    <w:p w14:paraId="61AADC19" w14:textId="77777777" w:rsidR="00951C8A" w:rsidRPr="00DD47DF" w:rsidRDefault="00951C8A" w:rsidP="00951C8A">
      <w:pPr>
        <w:pStyle w:val="Standardntext"/>
      </w:pPr>
      <w:r w:rsidRPr="00DD47DF">
        <w:t>Z hlediska podpory velkých podniků (dle čl. 3 odst. 1 písm. b) nařízení o EFRR) je třeba upozornit, že teplárenské společnosti, ve kterých má obec nebo město vlastnický podíl 25 a více procent s výjimkou obcí do 5000 obyvatel a s rozpočtem nižším než 10 milionů EUR nejsou podle definice MSP uvedené v příloze č. II návrhu Nařízení Komise</w:t>
      </w:r>
      <w:r w:rsidR="005F7F3F" w:rsidRPr="00DD47DF">
        <w:t xml:space="preserve"> o blokových výjimkách</w:t>
      </w:r>
      <w:r w:rsidRPr="00DD47DF">
        <w:t>, kterým se v souladu s články 107 a 108 Smlouvy prohlašují určité kategorie podpory za slučitelné s vnitřním trhem, považovány za MSP i v případě, že sami o sobě podmínky MSP splňují. Významná část teplárenských společností je v ČR ve vlastnictví municipalit a tyto společnosti by byly s ohledem na definici MSP zcela vyloučeny z možnosti čerpání podpory v oblasti specifického cíle 3.5.</w:t>
      </w:r>
    </w:p>
    <w:p w14:paraId="72CAA0CB" w14:textId="77777777" w:rsidR="00951C8A" w:rsidRPr="00DD47DF" w:rsidRDefault="00951C8A" w:rsidP="00951C8A">
      <w:pPr>
        <w:pStyle w:val="Standardntext"/>
      </w:pPr>
      <w:r w:rsidRPr="00DD47DF">
        <w:t>Podíl podniků, které nesplňují definici MSP na celkových agregovaných údajích sektoru, lze velmi konzervativně odhadnout následujícím způsobem. Podíl velkých podniků na délce rozvodů tepla přesahuje 50 %, na celkové dodávce tepla do soustav dálkového vytápění přesahuje 70 % a na výrobě elektřiny z kombinované výroby elektřiny a tepla přesahuje 75 %. Mezi velké podniky byly zařazeny pouze společnosti, u kterých byl jejich status ověřen. Reálný podíl společností, které nesplní definici MSP, bude ve skutečnosti významně vyšší. I uvedená čísla však přesvědčivě dokumentují ztrátu absorpční kapacity specifického cíle 3.5, ke které by došlo v případě vyloučení velkých podniků z možnosti čerpání podpory v této oblasti.</w:t>
      </w:r>
    </w:p>
    <w:p w14:paraId="6287734C" w14:textId="77777777" w:rsidR="00272AE4" w:rsidRPr="00DD47DF" w:rsidRDefault="00951C8A" w:rsidP="00951C8A">
      <w:pPr>
        <w:pStyle w:val="Standardntext"/>
      </w:pPr>
      <w:r w:rsidRPr="00DD47DF">
        <w:t xml:space="preserve">V neposlední řadě je potřeba upozornit, že podnikání společností provozujících soustavy dálkového vytápění je pevně vázáno na příslušnou soustavu a má tudíž výrazně lokální </w:t>
      </w:r>
      <w:r w:rsidRPr="00DD47DF">
        <w:lastRenderedPageBreak/>
        <w:t>charakter. Z tohoto důvodu si jednotlivé společnosti a tedy ani MSP a velké podniky v tomto odvětví v zásadě vzájemně nekonkurují. Podpora velkých podniků v oblasti specifického cíle 3.5 tedy nemůže mít negativní dopady na rozvoj MSP.</w:t>
      </w:r>
    </w:p>
    <w:p w14:paraId="015F05A7" w14:textId="77777777" w:rsidR="00272AE4" w:rsidRPr="00DD47DF" w:rsidRDefault="00BA6461" w:rsidP="005F43DF">
      <w:pPr>
        <w:pStyle w:val="Nadpis5"/>
        <w:numPr>
          <w:ilvl w:val="4"/>
          <w:numId w:val="24"/>
        </w:numPr>
      </w:pPr>
      <w:r w:rsidRPr="00DD47DF">
        <w:t>Hlavní zásady pro výběr operací</w:t>
      </w:r>
    </w:p>
    <w:p w14:paraId="35687F62"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04EB906C" w14:textId="77777777" w:rsidR="00C0640C" w:rsidRPr="00DD47DF" w:rsidRDefault="00C0640C" w:rsidP="00C0640C">
      <w:pPr>
        <w:pStyle w:val="Standardntext"/>
      </w:pPr>
      <w:r w:rsidRPr="00DD47DF">
        <w:t>V rámci výběru a hodnocení projektů budou posuzována především následující kritéria:</w:t>
      </w:r>
    </w:p>
    <w:p w14:paraId="5C10388E" w14:textId="77777777" w:rsidR="00C0640C" w:rsidRPr="00DD47DF" w:rsidRDefault="00C0640C" w:rsidP="00FB3387">
      <w:pPr>
        <w:pStyle w:val="Standardntext"/>
        <w:numPr>
          <w:ilvl w:val="0"/>
          <w:numId w:val="43"/>
        </w:numPr>
      </w:pPr>
      <w:r w:rsidRPr="00DD47DF">
        <w:t xml:space="preserve">Kvalita a potřebnost projektu s ohledem na </w:t>
      </w:r>
      <w:r w:rsidR="00945CA9" w:rsidRPr="00DD47DF">
        <w:t>jeho ekologické přínosy a ekonomickou efektivnost; zejména bude kladen důraz na poměr investičních nákladů k úspoře energii a redukci emisí znečišťujících látek.</w:t>
      </w:r>
    </w:p>
    <w:p w14:paraId="755677B3" w14:textId="77777777" w:rsidR="00DD1988" w:rsidRPr="00DD47DF" w:rsidRDefault="00DD1988" w:rsidP="00FB3387">
      <w:pPr>
        <w:pStyle w:val="Standardntext"/>
        <w:numPr>
          <w:ilvl w:val="0"/>
          <w:numId w:val="43"/>
        </w:numPr>
      </w:pPr>
      <w:r w:rsidRPr="00DD47DF">
        <w:t>Prioritně budou podpořeny projekty rekonstrukce tepelných sítí.</w:t>
      </w:r>
    </w:p>
    <w:p w14:paraId="113AFF3F" w14:textId="77777777" w:rsidR="00DD1988" w:rsidRPr="00DD47DF" w:rsidRDefault="00DD1988" w:rsidP="00FB3387">
      <w:pPr>
        <w:pStyle w:val="Standardntext"/>
        <w:numPr>
          <w:ilvl w:val="0"/>
          <w:numId w:val="43"/>
        </w:numPr>
      </w:pPr>
      <w:r w:rsidRPr="00DD47DF">
        <w:t>Výstavba zcela nové soustavy zásobování teplem  či výstavba tepelných rozvodů bude možná pouze za podmínky zpracování analýzy, která prokáže zvýšení energetické účinnosti, nákladově optimální řešení, a která přinese nejlepší úspory energie ve srovnání s jinými opatřeními.</w:t>
      </w:r>
    </w:p>
    <w:p w14:paraId="1F5ED90C" w14:textId="77777777" w:rsidR="00A92A82" w:rsidRPr="00DD47DF" w:rsidRDefault="00A92A82" w:rsidP="002E46E2">
      <w:pPr>
        <w:pStyle w:val="Standardntext"/>
        <w:numPr>
          <w:ilvl w:val="0"/>
          <w:numId w:val="43"/>
        </w:numPr>
      </w:pPr>
      <w:r w:rsidRPr="00DD47DF">
        <w:t xml:space="preserve">Podpořen nebude projekt </w:t>
      </w:r>
      <w:r w:rsidR="00B80388" w:rsidRPr="00DD47DF">
        <w:t xml:space="preserve">instalace a </w:t>
      </w:r>
      <w:r w:rsidRPr="00DD47DF">
        <w:t>rekonstrukce zařízení (zdroje) nad 20 MW tepelného příkon</w:t>
      </w:r>
      <w:r w:rsidR="008701FE" w:rsidRPr="00DD47DF">
        <w:t>u</w:t>
      </w:r>
      <w:r w:rsidRPr="00DD47DF">
        <w:t xml:space="preserve"> (po rekonstrukci).</w:t>
      </w:r>
    </w:p>
    <w:p w14:paraId="14B96DF0" w14:textId="77777777" w:rsidR="00B80388" w:rsidRPr="00DD47DF" w:rsidRDefault="00276C89" w:rsidP="00FB3387">
      <w:pPr>
        <w:pStyle w:val="Standardntext"/>
        <w:numPr>
          <w:ilvl w:val="0"/>
          <w:numId w:val="43"/>
        </w:numPr>
      </w:pPr>
      <w:r w:rsidRPr="00DD47DF">
        <w:t>Žádná podpora nebude udělena na spolufinancování zařízení, na něž se vztahuje směrnice o průmyslových emisích, která je použitelná na zařízení pro výrobu energie a dálkové vytápění nad 50 MW</w:t>
      </w:r>
      <w:r w:rsidR="00B80388" w:rsidRPr="00DD47DF">
        <w:t>.</w:t>
      </w:r>
    </w:p>
    <w:p w14:paraId="28BB5C17" w14:textId="77777777" w:rsidR="00902AAE" w:rsidRPr="00DD47DF" w:rsidRDefault="00902AAE" w:rsidP="00902AAE">
      <w:pPr>
        <w:pStyle w:val="Standardntext"/>
        <w:numPr>
          <w:ilvl w:val="0"/>
          <w:numId w:val="43"/>
        </w:numPr>
      </w:pPr>
      <w:r w:rsidRPr="00DD47DF">
        <w:t>Měly by být vybírány projekty, které zajišťují nejnižší emise CO</w:t>
      </w:r>
      <w:r w:rsidRPr="00DD47DF">
        <w:rPr>
          <w:vertAlign w:val="subscript"/>
        </w:rPr>
        <w:t>2</w:t>
      </w:r>
      <w:r w:rsidRPr="00DD47DF">
        <w:t xml:space="preserve"> a nejmenší znečištění ovzduší – zejména PM10.</w:t>
      </w:r>
    </w:p>
    <w:p w14:paraId="36C8B845" w14:textId="77777777" w:rsidR="00902AAE" w:rsidRPr="00DD47DF" w:rsidRDefault="00902AAE" w:rsidP="00902AAE">
      <w:pPr>
        <w:pStyle w:val="Standardntext"/>
        <w:numPr>
          <w:ilvl w:val="0"/>
          <w:numId w:val="43"/>
        </w:numPr>
      </w:pPr>
      <w:r w:rsidRPr="00DD47DF">
        <w:t>Projekty by měly prokázat ekonomickou udržitelnost a – je-li to relevantní – řešit energetickou chudobu.</w:t>
      </w:r>
    </w:p>
    <w:p w14:paraId="4D5207B5" w14:textId="77777777" w:rsidR="00902AAE" w:rsidRPr="00DD47DF" w:rsidRDefault="00902AAE" w:rsidP="00902AAE">
      <w:pPr>
        <w:pStyle w:val="Standardntext"/>
        <w:numPr>
          <w:ilvl w:val="0"/>
          <w:numId w:val="43"/>
        </w:numPr>
      </w:pPr>
      <w:r w:rsidRPr="00DD47DF">
        <w:t xml:space="preserve">Přednost by měly dostat projekty využívající energii z obnovitelných zdrojů. </w:t>
      </w:r>
    </w:p>
    <w:p w14:paraId="5EFE8005" w14:textId="77777777" w:rsidR="00902AAE" w:rsidRPr="00DD47DF" w:rsidRDefault="00BB5CA2" w:rsidP="00902AAE">
      <w:pPr>
        <w:pStyle w:val="Standardntext"/>
        <w:numPr>
          <w:ilvl w:val="0"/>
          <w:numId w:val="43"/>
        </w:numPr>
      </w:pPr>
      <w:r w:rsidRPr="00DD47DF">
        <w:t>Projekt by měl prokázat, že investice je založena na poptávce po užitečném teple.</w:t>
      </w:r>
      <w:r w:rsidR="00902AAE" w:rsidRPr="00DD47DF">
        <w:t xml:space="preserve"> </w:t>
      </w:r>
    </w:p>
    <w:p w14:paraId="648234C7" w14:textId="77777777" w:rsidR="00902AAE" w:rsidRPr="00DD47DF" w:rsidRDefault="00902AAE" w:rsidP="00902AAE">
      <w:pPr>
        <w:pStyle w:val="Standardntext"/>
        <w:numPr>
          <w:ilvl w:val="0"/>
          <w:numId w:val="43"/>
        </w:numPr>
      </w:pPr>
      <w:r w:rsidRPr="00DD47DF">
        <w:t>Všechny investice musí být v souladu s normami a právními předpisy EU v oblasti životního prostředí.</w:t>
      </w:r>
    </w:p>
    <w:p w14:paraId="722FA4E2" w14:textId="77777777" w:rsidR="0054394C" w:rsidRPr="00DD47DF" w:rsidRDefault="00902AAE" w:rsidP="00902AAE">
      <w:pPr>
        <w:pStyle w:val="Standardntext"/>
        <w:numPr>
          <w:ilvl w:val="0"/>
          <w:numId w:val="43"/>
        </w:numPr>
      </w:pPr>
      <w:r w:rsidRPr="00DD47DF">
        <w:t>Mělo být podporováno využívání poskytovatelů energetických služeb a finančních nástrojů.</w:t>
      </w:r>
    </w:p>
    <w:p w14:paraId="28D57634" w14:textId="1F0D00A6" w:rsidR="0054394C" w:rsidRPr="00DD47DF" w:rsidRDefault="00427C5D" w:rsidP="00427C5D">
      <w:pPr>
        <w:pStyle w:val="Standardntext"/>
        <w:numPr>
          <w:ilvl w:val="0"/>
          <w:numId w:val="43"/>
        </w:numPr>
      </w:pPr>
      <w:r w:rsidRPr="00427C5D">
        <w:t>Podpořeny budou pouze projekty, které splňují požadavky mezních hodnot emisí pro spalovací zařízení podle Směrnice 2015/2193/ES o omezení emisí některých znečišťujících látek do ovzduší ze středních spalovacích zařízení. Prioritně budou podporovány projekty, které přispívají k plnění směrnice o nových národních emisních stropech, která vstoupila v platnost dne 31. prosince 2016.</w:t>
      </w:r>
      <w:r w:rsidR="002E46E2" w:rsidRPr="00DD47DF">
        <w:t xml:space="preserve"> </w:t>
      </w:r>
    </w:p>
    <w:p w14:paraId="2024655C" w14:textId="77777777" w:rsidR="0054394C" w:rsidRPr="00DD47DF" w:rsidRDefault="00463683" w:rsidP="009D3B07">
      <w:pPr>
        <w:pStyle w:val="Standardntext"/>
        <w:numPr>
          <w:ilvl w:val="0"/>
          <w:numId w:val="43"/>
        </w:numPr>
      </w:pPr>
      <w:r w:rsidRPr="00DD47DF">
        <w:t>Životnost investic v tomto odvětví se počítá na desítky let, a měly by proto odpovídat příslušným ustanovením a politikám právních předpisů EU. Systémy vytápění finančně podporované z OP musí již od počátku programového období splňovat minimální požadavky na energetickou účinnost a na emise platné ke konci roku 2020, jak to stanoví prováděcí opatření směrnice o ekodesignu 2009/125/ES.</w:t>
      </w:r>
    </w:p>
    <w:p w14:paraId="2F51444D" w14:textId="77777777" w:rsidR="006A5E3C" w:rsidRPr="00DD47DF" w:rsidRDefault="00A92A82" w:rsidP="0054394C">
      <w:pPr>
        <w:pStyle w:val="Standardntext"/>
        <w:numPr>
          <w:ilvl w:val="0"/>
          <w:numId w:val="43"/>
        </w:numPr>
      </w:pPr>
      <w:r w:rsidRPr="00DD47DF">
        <w:lastRenderedPageBreak/>
        <w:t>Podpořeny nebudou projekty zaměřené na výstavbu a rekonstrukci zdrojů tepla a kombinované výroby elektřiny a tepla z biomasy.</w:t>
      </w:r>
    </w:p>
    <w:p w14:paraId="5BB61B8F" w14:textId="77777777" w:rsidR="00A92A82" w:rsidRPr="00DD47DF" w:rsidRDefault="00A92A82" w:rsidP="00FB3387">
      <w:pPr>
        <w:pStyle w:val="Standardntext"/>
        <w:numPr>
          <w:ilvl w:val="0"/>
          <w:numId w:val="43"/>
        </w:numPr>
      </w:pPr>
      <w:r w:rsidRPr="00DD47DF">
        <w:t>Podpořeny nebudou projekty zaměřené na rekonstrukci/výstavbu zdroje kombinované výroby elektřiny a tepla a monovýroby tepla, která využívá jako palivo uhlí včetně  spoluspalování uhlí a biomasy. (Rekonstrukce a výstavba tepelných rozvodných zařízení bude podporována bez ohledu na to, jaké palivo využívá zdroj dodávající teplo do tepelného rozvodného zařízení).</w:t>
      </w:r>
    </w:p>
    <w:p w14:paraId="744C11C4" w14:textId="77777777" w:rsidR="00453052" w:rsidRPr="00DD47DF" w:rsidRDefault="00453052" w:rsidP="00FB3387">
      <w:pPr>
        <w:pStyle w:val="Standardntext"/>
        <w:numPr>
          <w:ilvl w:val="0"/>
          <w:numId w:val="43"/>
        </w:numPr>
      </w:pPr>
      <w:r w:rsidRPr="00DD47DF">
        <w:t>Základním předpokladem každého projektu by měla být zajištěná poptávka po užitečném teple. Prioritně se bude podpora zaměřovat na snížení ztrát tepelných rozvodů a v případě, kde nebude zajištěna dodávka užitečného tepla, se přistoupí k zavádění kogenerační výroby.</w:t>
      </w:r>
    </w:p>
    <w:p w14:paraId="25527DB9" w14:textId="77777777" w:rsidR="00C0640C" w:rsidRPr="00DD47DF" w:rsidRDefault="001963EC" w:rsidP="00FB3387">
      <w:pPr>
        <w:pStyle w:val="Standardntext"/>
        <w:numPr>
          <w:ilvl w:val="0"/>
          <w:numId w:val="43"/>
        </w:numPr>
      </w:pPr>
      <w:r w:rsidRPr="00DD47DF">
        <w:t>Soulad projektu s</w:t>
      </w:r>
      <w:r w:rsidR="00BA4E72" w:rsidRPr="00DD47DF">
        <w:t xml:space="preserve"> </w:t>
      </w:r>
      <w:r w:rsidRPr="00DD47DF">
        <w:t xml:space="preserve">územní dimenzí a uplatněním integrovaných </w:t>
      </w:r>
      <w:r w:rsidR="009D1769" w:rsidRPr="00DD47DF">
        <w:t>nástrojů</w:t>
      </w:r>
      <w:r w:rsidRPr="00DD47DF">
        <w:t xml:space="preserve"> (ITI) v rámci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w:t>
      </w:r>
    </w:p>
    <w:p w14:paraId="68ADDCE0" w14:textId="77777777" w:rsidR="00C0640C" w:rsidRPr="00DD47DF" w:rsidRDefault="00C0640C" w:rsidP="00FB3387">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70FF5FD4" w14:textId="77777777" w:rsidR="00A92A82" w:rsidRPr="00DD47DF" w:rsidRDefault="00A92A82" w:rsidP="00FB3387">
      <w:pPr>
        <w:pStyle w:val="Standardntext"/>
        <w:numPr>
          <w:ilvl w:val="0"/>
          <w:numId w:val="43"/>
        </w:numPr>
      </w:pPr>
      <w:r w:rsidRPr="00DD47DF">
        <w:t>Soulad projektu s nízkouhlíkovou strategií/akčním plánem pro udržitelnou energii.</w:t>
      </w:r>
    </w:p>
    <w:p w14:paraId="100C3BC8" w14:textId="7C894554" w:rsidR="00D5203D" w:rsidRPr="00DD47DF" w:rsidRDefault="00D5203D" w:rsidP="00DC0681">
      <w:pPr>
        <w:pStyle w:val="Standardntext"/>
        <w:numPr>
          <w:ilvl w:val="0"/>
          <w:numId w:val="43"/>
        </w:numPr>
      </w:pPr>
      <w:r w:rsidRPr="00DD47DF">
        <w:t>Vliv projektu na oblast klimatu bude na projektové úrovni sledován prostřednictvím indikátoru „Odhadované roční snížení emisí skleníkových plynů“</w:t>
      </w:r>
      <w:r w:rsidR="00C306CB" w:rsidRPr="00DD47DF">
        <w:t xml:space="preserve"> (3 60 10)</w:t>
      </w:r>
      <w:r w:rsidRPr="00DD47DF">
        <w:t>. Nad rámec toho bude na projektové úrovni interně monitorován vliv daného projektu na oblast ovzduší prostřednictvím indikátoru „</w:t>
      </w:r>
      <w:r w:rsidR="00DC0681" w:rsidRPr="00DC0681">
        <w:t>Množství emisí primárních částic a prekurzorů sekundárních částic</w:t>
      </w:r>
      <w:r w:rsidRPr="00DD47DF">
        <w:t>“</w:t>
      </w:r>
      <w:r w:rsidR="00C306CB" w:rsidRPr="00DD47DF">
        <w:t xml:space="preserve"> (3 61 11)</w:t>
      </w:r>
      <w:r w:rsidR="00E624A1" w:rsidRPr="00DD47DF">
        <w:rPr>
          <w:rStyle w:val="Znakapoznpodarou"/>
        </w:rPr>
        <w:footnoteReference w:id="67"/>
      </w:r>
      <w:r w:rsidRPr="00DD47DF">
        <w:t>. Tyto environmentální indikátory budou dále agregovány pro potřeby Dohody o partnerství</w:t>
      </w:r>
      <w:r w:rsidR="00E624A1" w:rsidRPr="00DD47DF">
        <w:t xml:space="preserve"> a Výročních zpráv OP PIK</w:t>
      </w:r>
      <w:r w:rsidRPr="00DD47DF">
        <w:t>.</w:t>
      </w:r>
    </w:p>
    <w:p w14:paraId="405E338F" w14:textId="77777777" w:rsidR="0038435E" w:rsidRPr="00DD47DF" w:rsidRDefault="0038435E" w:rsidP="0038435E">
      <w:pPr>
        <w:pStyle w:val="Standardntext"/>
        <w:numPr>
          <w:ilvl w:val="0"/>
          <w:numId w:val="43"/>
        </w:numPr>
      </w:pPr>
      <w:r w:rsidRPr="00DD47DF">
        <w:t>Projekt musí splňovat alespoň požadavky na úrovni kladené spodní polovinou intervalu nejlepších dostupných technik</w:t>
      </w:r>
      <w:r w:rsidRPr="00DD47DF" w:rsidDel="00A808D6">
        <w:t xml:space="preserve"> </w:t>
      </w:r>
      <w:r w:rsidRPr="00DD47DF">
        <w:rPr>
          <w:rStyle w:val="Znakapoznpodarou"/>
        </w:rPr>
        <w:footnoteReference w:id="68"/>
      </w:r>
      <w:r w:rsidRPr="00DD47DF">
        <w:t>.</w:t>
      </w:r>
    </w:p>
    <w:p w14:paraId="78ECCEDC" w14:textId="77777777" w:rsidR="00A92A82" w:rsidRPr="00DD47DF" w:rsidRDefault="00A92A82" w:rsidP="00FB3387">
      <w:pPr>
        <w:pStyle w:val="Standardntext"/>
        <w:numPr>
          <w:ilvl w:val="0"/>
          <w:numId w:val="43"/>
        </w:numPr>
      </w:pPr>
      <w:r w:rsidRPr="00DD47DF">
        <w:t>Podporovány budou projekty s vysokou mírou účinnosti.</w:t>
      </w:r>
    </w:p>
    <w:p w14:paraId="2FC8CCED" w14:textId="77777777" w:rsidR="00A92A82" w:rsidRPr="00DD47DF" w:rsidRDefault="00A92A82" w:rsidP="00FB3387">
      <w:pPr>
        <w:pStyle w:val="Standardntext"/>
        <w:numPr>
          <w:ilvl w:val="0"/>
          <w:numId w:val="43"/>
        </w:numPr>
      </w:pPr>
      <w:r w:rsidRPr="00DD47DF">
        <w:t>Projekt nesmí být financován provozní podporou obnovitelných zdrojů energie.</w:t>
      </w:r>
    </w:p>
    <w:p w14:paraId="456A7571" w14:textId="77777777" w:rsidR="00C0640C" w:rsidRPr="00DD47DF" w:rsidRDefault="00C0640C" w:rsidP="00FB3387">
      <w:pPr>
        <w:pStyle w:val="Standardntext"/>
        <w:numPr>
          <w:ilvl w:val="0"/>
          <w:numId w:val="43"/>
        </w:numPr>
      </w:pPr>
      <w:r w:rsidRPr="00DD47DF">
        <w:t>Součástí projektu musí být energetický audit</w:t>
      </w:r>
      <w:r w:rsidR="008A7937" w:rsidRPr="00DD47DF">
        <w:t xml:space="preserve"> doporučující nejvhodnější opatření, která budou realizována</w:t>
      </w:r>
      <w:r w:rsidRPr="00DD47DF">
        <w:t xml:space="preserve">. </w:t>
      </w:r>
    </w:p>
    <w:p w14:paraId="2028459F" w14:textId="09282B2E" w:rsidR="00C0640C" w:rsidRPr="00DD47DF" w:rsidRDefault="000377D7" w:rsidP="000377D7">
      <w:pPr>
        <w:pStyle w:val="Standardntext"/>
        <w:numPr>
          <w:ilvl w:val="0"/>
          <w:numId w:val="43"/>
        </w:numPr>
      </w:pPr>
      <w:r w:rsidRPr="000377D7">
        <w:rPr>
          <w:lang w:eastAsia="x-none"/>
        </w:rPr>
        <w:t xml:space="preserve">V případě podpory formou finančních nástrojů bude výběr operací a příjemců proveden ŘO podle výběrových kritérií schválených MV OP PIK, v souladu s výsledky </w:t>
      </w:r>
      <w:r w:rsidRPr="000377D7">
        <w:rPr>
          <w:lang w:eastAsia="x-none"/>
        </w:rPr>
        <w:lastRenderedPageBreak/>
        <w:t>předběžného posouzení FN. Výběr konečných příjemců bude provádět správce finančního nástroje.</w:t>
      </w:r>
    </w:p>
    <w:p w14:paraId="4403A8DF" w14:textId="77777777" w:rsidR="00192F36" w:rsidRPr="00DD47DF" w:rsidRDefault="00192F36" w:rsidP="00FB3387">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5B72511F" w14:textId="77777777" w:rsidR="00272AE4" w:rsidRPr="00DD47DF" w:rsidRDefault="00BA6461" w:rsidP="005F43DF">
      <w:pPr>
        <w:pStyle w:val="Nadpis5"/>
        <w:numPr>
          <w:ilvl w:val="4"/>
          <w:numId w:val="24"/>
        </w:numPr>
        <w:rPr>
          <w:rFonts w:cs="Calibri"/>
        </w:rPr>
      </w:pPr>
      <w:r w:rsidRPr="00DD47DF">
        <w:t xml:space="preserve">Plánované využití finančních nástrojů </w:t>
      </w:r>
    </w:p>
    <w:p w14:paraId="4B9EF17F" w14:textId="77777777" w:rsidR="00C45CD5" w:rsidRPr="00DD47DF" w:rsidRDefault="001049C5" w:rsidP="000373F5">
      <w:pPr>
        <w:pStyle w:val="Standardntext"/>
      </w:pPr>
      <w:r w:rsidRPr="00DD47DF">
        <w:t>Při provádění této investiční priority budou koneční příjemci podpořeni finančními nástroji. Detaily stanoví Řídící orgán OP PIK na základě předběžného posouzení finančních nástrojů OP PIK dle čl. 37 odst. 2 obecného nařízení, případně jeho revize podle čl. 37 odst. 2 písm. g) obecného nařízení. Předběžné posouzení finančních nástrojů musí být dokončeno dříve, než řídicí orgán rozhodne, že finanční nástroj obdrží příspěvek z programu.</w:t>
      </w:r>
    </w:p>
    <w:p w14:paraId="2BA369CF" w14:textId="77777777" w:rsidR="00272AE4" w:rsidRPr="00DD47DF" w:rsidRDefault="00BA6461" w:rsidP="005F43DF">
      <w:pPr>
        <w:pStyle w:val="Nadpis5"/>
        <w:numPr>
          <w:ilvl w:val="4"/>
          <w:numId w:val="24"/>
        </w:numPr>
      </w:pPr>
      <w:r w:rsidRPr="00DD47DF">
        <w:t>Plánované využití velkých projektů (použije-li se)</w:t>
      </w:r>
    </w:p>
    <w:p w14:paraId="371EE76B" w14:textId="16DCC9A2" w:rsidR="002A4D1D" w:rsidRPr="00DD47DF" w:rsidRDefault="009C19AC" w:rsidP="002A4D1D">
      <w:pPr>
        <w:pStyle w:val="Standardntext"/>
      </w:pPr>
      <w:r w:rsidRPr="009C19AC">
        <w:t>Velké projekty ve smyslu čl. 100 obecného nařízení jsou plánovány. OP PPIK bude realizován také prostřednictvím tzv. velkých projektů, jejichž celkové způsobilé náklady budou vyšší než 50 mil. EUR</w:t>
      </w:r>
      <w:r w:rsidR="002A4D1D" w:rsidRPr="00DD47DF">
        <w:t>.</w:t>
      </w:r>
    </w:p>
    <w:p w14:paraId="37A0B6B5" w14:textId="77777777" w:rsidR="0058402E" w:rsidRPr="00DD47DF" w:rsidRDefault="00BA6461" w:rsidP="001049C5">
      <w:pPr>
        <w:pStyle w:val="Nadpis5"/>
        <w:keepNext w:val="0"/>
        <w:keepLines w:val="0"/>
        <w:numPr>
          <w:ilvl w:val="4"/>
          <w:numId w:val="24"/>
        </w:numPr>
      </w:pPr>
      <w:r w:rsidRPr="00DD47DF">
        <w:t>Ukazatele výstupů podle investiční priority a případně podle kategorie regionů</w:t>
      </w:r>
    </w:p>
    <w:p w14:paraId="2B8E187E" w14:textId="77777777" w:rsidR="0058402E" w:rsidRPr="00DD47DF" w:rsidRDefault="0058402E" w:rsidP="001049C5">
      <w:pPr>
        <w:pStyle w:val="Titulek"/>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668"/>
        <w:gridCol w:w="2071"/>
        <w:gridCol w:w="1293"/>
        <w:gridCol w:w="665"/>
        <w:gridCol w:w="1177"/>
        <w:gridCol w:w="1317"/>
        <w:gridCol w:w="997"/>
        <w:gridCol w:w="1138"/>
      </w:tblGrid>
      <w:tr w:rsidR="001B2E5C" w:rsidRPr="00DD47DF" w14:paraId="12F886F9" w14:textId="77777777">
        <w:trPr>
          <w:trHeight w:hRule="exact" w:val="10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54E7258" w14:textId="77777777" w:rsidR="001B2E5C" w:rsidRPr="00DD47DF" w:rsidRDefault="001B2E5C" w:rsidP="001049C5">
            <w:pPr>
              <w:pStyle w:val="Tabulka"/>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D8541E8" w14:textId="77777777" w:rsidR="001B2E5C" w:rsidRPr="00DD47DF" w:rsidRDefault="001B2E5C" w:rsidP="001049C5">
            <w:pPr>
              <w:pStyle w:val="Tabulka"/>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C3E3400" w14:textId="77777777" w:rsidR="001B2E5C" w:rsidRPr="00DD47DF" w:rsidRDefault="001B2E5C" w:rsidP="001049C5">
            <w:pPr>
              <w:pStyle w:val="Tabulka"/>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95DD239" w14:textId="77777777" w:rsidR="001B2E5C" w:rsidRPr="00DD47DF" w:rsidRDefault="001B2E5C" w:rsidP="001049C5">
            <w:pPr>
              <w:pStyle w:val="Tabulka"/>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F568FAE" w14:textId="77777777" w:rsidR="001B2E5C" w:rsidRPr="00DD47DF" w:rsidRDefault="001B2E5C" w:rsidP="001049C5">
            <w:pPr>
              <w:pStyle w:val="Tabulka"/>
              <w:rPr>
                <w:rFonts w:cs="Calibri"/>
                <w:b/>
              </w:rPr>
            </w:pPr>
            <w:r w:rsidRPr="00DD47DF">
              <w:rPr>
                <w:rFonts w:cs="Calibri"/>
                <w:b/>
              </w:rPr>
              <w:t>Kategorie regionu</w:t>
            </w:r>
          </w:p>
        </w:tc>
        <w:tc>
          <w:tcPr>
            <w:tcW w:w="131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6D2B7D1" w14:textId="77777777" w:rsidR="001B2E5C" w:rsidRPr="00DD47DF" w:rsidRDefault="001B2E5C" w:rsidP="001049C5">
            <w:pPr>
              <w:pStyle w:val="Tabulka"/>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71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CE289D7" w14:textId="77777777" w:rsidR="001B2E5C" w:rsidRPr="00DD47DF" w:rsidRDefault="001B2E5C" w:rsidP="001049C5">
            <w:pPr>
              <w:pStyle w:val="Tabulka"/>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9CEF0CB" w14:textId="77777777" w:rsidR="001B2E5C" w:rsidRPr="00DD47DF" w:rsidRDefault="001B2E5C" w:rsidP="001049C5">
            <w:pPr>
              <w:pStyle w:val="Tabulka"/>
              <w:rPr>
                <w:rFonts w:cs="Calibri"/>
                <w:b/>
              </w:rPr>
            </w:pPr>
            <w:r w:rsidRPr="00DD47DF">
              <w:rPr>
                <w:rFonts w:cs="Calibri"/>
                <w:b/>
              </w:rPr>
              <w:t>Četnost podávání zpráv</w:t>
            </w:r>
          </w:p>
        </w:tc>
      </w:tr>
      <w:tr w:rsidR="00FD0399" w:rsidRPr="00DD47DF" w14:paraId="32C10303"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35EAF3C" w14:textId="62C4E7D6" w:rsidR="00FD0399" w:rsidRPr="00DD47DF" w:rsidRDefault="00C75691" w:rsidP="001049C5">
            <w:pPr>
              <w:pStyle w:val="Tabulka"/>
              <w:rPr>
                <w:rFonts w:cs="Calibri"/>
              </w:rPr>
            </w:pPr>
            <w:r w:rsidRPr="00DD47DF">
              <w:rPr>
                <w:rFonts w:cs="Calibri"/>
              </w:rPr>
              <w:t xml:space="preserve">CO </w:t>
            </w:r>
            <w:r w:rsidR="00D803FD" w:rsidRPr="00DD47DF">
              <w:rPr>
                <w:rFonts w:cs="Calibri"/>
              </w:rPr>
              <w:t>0</w:t>
            </w:r>
            <w:r w:rsidR="00FD0399"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42757427" w14:textId="77777777" w:rsidR="00FD0399" w:rsidRPr="00DD47DF" w:rsidRDefault="007D6298" w:rsidP="001049C5">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2EF5D077" w14:textId="77777777" w:rsidR="00FD0399" w:rsidRPr="00DD47DF" w:rsidRDefault="00FD0399" w:rsidP="001049C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74B25F8" w14:textId="77777777" w:rsidR="00FD0399" w:rsidRPr="00DD47DF" w:rsidRDefault="002B3F69"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08FC728A" w14:textId="77777777" w:rsidR="00FD0399" w:rsidRPr="00DD47DF" w:rsidRDefault="00FD0399"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57C2CAA2" w14:textId="650D42A6" w:rsidR="00FD0399" w:rsidRPr="00DD47DF" w:rsidRDefault="00873E0A" w:rsidP="00873E0A">
            <w:pPr>
              <w:pStyle w:val="Tabulka"/>
              <w:rPr>
                <w:rFonts w:cs="Calibri"/>
              </w:rPr>
            </w:pPr>
            <w:r w:rsidRPr="00DD47DF">
              <w:rPr>
                <w:rFonts w:cs="Calibri"/>
              </w:rPr>
              <w:t>2</w:t>
            </w:r>
            <w:r>
              <w:rPr>
                <w:rFonts w:cs="Calibri"/>
              </w:rPr>
              <w:t>41</w:t>
            </w:r>
          </w:p>
        </w:tc>
        <w:tc>
          <w:tcPr>
            <w:tcW w:w="713" w:type="dxa"/>
            <w:tcBorders>
              <w:top w:val="single" w:sz="4" w:space="0" w:color="000000"/>
              <w:left w:val="single" w:sz="4" w:space="0" w:color="000000"/>
              <w:bottom w:val="single" w:sz="4" w:space="0" w:color="000000"/>
              <w:right w:val="single" w:sz="4" w:space="0" w:color="000000"/>
            </w:tcBorders>
            <w:vAlign w:val="center"/>
          </w:tcPr>
          <w:p w14:paraId="66E49306" w14:textId="77777777" w:rsidR="00FC7054" w:rsidRPr="00DD47DF" w:rsidRDefault="00FC7054" w:rsidP="00FC705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9E935C7" w14:textId="77777777" w:rsidR="00FD0399" w:rsidRPr="00DD47DF" w:rsidRDefault="00FC7054" w:rsidP="001049C5">
            <w:pPr>
              <w:pStyle w:val="Tabulka"/>
              <w:rPr>
                <w:rFonts w:cs="Calibri"/>
              </w:rPr>
            </w:pPr>
            <w:r>
              <w:rPr>
                <w:rFonts w:cs="Calibri"/>
              </w:rPr>
              <w:t>průběžně</w:t>
            </w:r>
          </w:p>
        </w:tc>
      </w:tr>
      <w:tr w:rsidR="00B324A0" w:rsidRPr="00DD47DF" w14:paraId="740FF2FC" w14:textId="77777777" w:rsidTr="00F85EE2">
        <w:trPr>
          <w:trHeight w:val="363"/>
        </w:trPr>
        <w:tc>
          <w:tcPr>
            <w:tcW w:w="0" w:type="auto"/>
            <w:tcBorders>
              <w:top w:val="single" w:sz="4" w:space="0" w:color="000000"/>
              <w:left w:val="single" w:sz="4" w:space="0" w:color="000000"/>
              <w:bottom w:val="single" w:sz="4" w:space="0" w:color="000000"/>
              <w:right w:val="single" w:sz="4" w:space="0" w:color="000000"/>
            </w:tcBorders>
            <w:vAlign w:val="center"/>
          </w:tcPr>
          <w:p w14:paraId="319D5D43" w14:textId="36FEE844" w:rsidR="00B324A0" w:rsidRPr="00DD47DF" w:rsidRDefault="00B324A0" w:rsidP="001049C5">
            <w:pPr>
              <w:pStyle w:val="Tabulka"/>
              <w:rPr>
                <w:rFonts w:cs="Calibri"/>
              </w:rPr>
            </w:pPr>
            <w:r w:rsidRPr="00DD47DF">
              <w:rPr>
                <w:rFonts w:cs="Calibri"/>
              </w:rPr>
              <w:t>CO 02</w:t>
            </w:r>
          </w:p>
        </w:tc>
        <w:tc>
          <w:tcPr>
            <w:tcW w:w="0" w:type="auto"/>
            <w:tcBorders>
              <w:top w:val="single" w:sz="4" w:space="0" w:color="000000"/>
              <w:left w:val="single" w:sz="4" w:space="0" w:color="000000"/>
              <w:bottom w:val="single" w:sz="4" w:space="0" w:color="000000"/>
              <w:right w:val="single" w:sz="4" w:space="0" w:color="000000"/>
            </w:tcBorders>
            <w:vAlign w:val="center"/>
          </w:tcPr>
          <w:p w14:paraId="7D0F9EA4" w14:textId="77777777" w:rsidR="00B324A0" w:rsidRPr="00DD47DF" w:rsidRDefault="00B324A0" w:rsidP="001049C5">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5B45E878" w14:textId="77777777" w:rsidR="00B324A0" w:rsidRPr="00DD47DF" w:rsidRDefault="00B324A0" w:rsidP="001049C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3F43D34"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BDCC629"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0FAAFDAC" w14:textId="48C2CA53" w:rsidR="00B324A0" w:rsidRPr="00DD47DF" w:rsidRDefault="00873E0A" w:rsidP="00873E0A">
            <w:pPr>
              <w:pStyle w:val="Tabulka"/>
              <w:rPr>
                <w:rFonts w:cs="Calibri"/>
              </w:rPr>
            </w:pPr>
            <w:r w:rsidRPr="00DD47DF">
              <w:rPr>
                <w:rFonts w:cs="Calibri"/>
              </w:rPr>
              <w:t>2</w:t>
            </w:r>
            <w:r>
              <w:rPr>
                <w:rFonts w:cs="Calibri"/>
              </w:rPr>
              <w:t>16</w:t>
            </w:r>
          </w:p>
        </w:tc>
        <w:tc>
          <w:tcPr>
            <w:tcW w:w="713" w:type="dxa"/>
            <w:tcBorders>
              <w:top w:val="single" w:sz="4" w:space="0" w:color="000000"/>
              <w:left w:val="single" w:sz="4" w:space="0" w:color="000000"/>
              <w:bottom w:val="single" w:sz="4" w:space="0" w:color="000000"/>
              <w:right w:val="single" w:sz="4" w:space="0" w:color="000000"/>
            </w:tcBorders>
            <w:vAlign w:val="center"/>
          </w:tcPr>
          <w:p w14:paraId="2DD25CD1" w14:textId="77777777" w:rsidR="00B324A0" w:rsidRPr="00DD47DF" w:rsidRDefault="00FC7054" w:rsidP="001049C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7A3F93A4" w14:textId="77777777" w:rsidR="00B324A0" w:rsidRPr="00DD47DF" w:rsidRDefault="00FC7054" w:rsidP="001049C5">
            <w:pPr>
              <w:pStyle w:val="Tabulka"/>
              <w:rPr>
                <w:rFonts w:cs="Calibri"/>
              </w:rPr>
            </w:pPr>
            <w:r>
              <w:rPr>
                <w:rFonts w:cs="Calibri"/>
              </w:rPr>
              <w:t>průběžně</w:t>
            </w:r>
          </w:p>
        </w:tc>
      </w:tr>
      <w:tr w:rsidR="00B324A0" w:rsidRPr="00DD47DF" w14:paraId="1E588F6D"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2E9A9DB" w14:textId="6C214547" w:rsidR="00B324A0" w:rsidRPr="00DD47DF" w:rsidRDefault="00B324A0" w:rsidP="001049C5">
            <w:pPr>
              <w:pStyle w:val="Tabulka"/>
              <w:rPr>
                <w:rFonts w:cs="Calibri"/>
              </w:rPr>
            </w:pPr>
            <w:r w:rsidRPr="00DD47DF">
              <w:rPr>
                <w:rFonts w:cs="Calibri"/>
              </w:rPr>
              <w:t>CO 03</w:t>
            </w:r>
          </w:p>
        </w:tc>
        <w:tc>
          <w:tcPr>
            <w:tcW w:w="0" w:type="auto"/>
            <w:tcBorders>
              <w:top w:val="single" w:sz="4" w:space="0" w:color="000000"/>
              <w:left w:val="single" w:sz="4" w:space="0" w:color="000000"/>
              <w:bottom w:val="single" w:sz="4" w:space="0" w:color="000000"/>
              <w:right w:val="single" w:sz="4" w:space="0" w:color="000000"/>
            </w:tcBorders>
            <w:vAlign w:val="center"/>
          </w:tcPr>
          <w:p w14:paraId="7925F738" w14:textId="77777777" w:rsidR="00B324A0" w:rsidRPr="00DD47DF" w:rsidRDefault="00B324A0" w:rsidP="001049C5">
            <w:pPr>
              <w:pStyle w:val="Tabulka"/>
              <w:jc w:val="left"/>
              <w:rPr>
                <w:rFonts w:cs="Calibri"/>
              </w:rPr>
            </w:pPr>
            <w:r w:rsidRPr="00DD47DF">
              <w:rPr>
                <w:rFonts w:cs="Calibri"/>
              </w:rPr>
              <w:t>Počet podniků p</w:t>
            </w:r>
            <w:r w:rsidR="00546318">
              <w:rPr>
                <w:rFonts w:cs="Calibri"/>
              </w:rPr>
              <w:t>obírajících jinou finanční podporu</w:t>
            </w:r>
            <w:r w:rsidRPr="00DD47DF">
              <w:rPr>
                <w:rFonts w:cs="Calibri"/>
              </w:rPr>
              <w:t xml:space="preserve">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408A162E" w14:textId="77777777" w:rsidR="00B324A0" w:rsidRPr="00DD47DF" w:rsidRDefault="00B324A0" w:rsidP="001049C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0C81BFDA"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8A9B934"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5232E3C5" w14:textId="73D89AD4" w:rsidR="00B324A0" w:rsidRPr="00DD47DF" w:rsidRDefault="00873E0A" w:rsidP="00803F6A">
            <w:pPr>
              <w:pStyle w:val="Tabulka"/>
              <w:rPr>
                <w:rFonts w:cs="Calibri"/>
              </w:rPr>
            </w:pPr>
            <w:r>
              <w:rPr>
                <w:rFonts w:cs="Calibri"/>
              </w:rPr>
              <w:t>25</w:t>
            </w:r>
          </w:p>
        </w:tc>
        <w:tc>
          <w:tcPr>
            <w:tcW w:w="713" w:type="dxa"/>
            <w:tcBorders>
              <w:top w:val="single" w:sz="4" w:space="0" w:color="000000"/>
              <w:left w:val="single" w:sz="4" w:space="0" w:color="000000"/>
              <w:bottom w:val="single" w:sz="4" w:space="0" w:color="000000"/>
              <w:right w:val="single" w:sz="4" w:space="0" w:color="000000"/>
            </w:tcBorders>
            <w:vAlign w:val="center"/>
          </w:tcPr>
          <w:p w14:paraId="0558DB48" w14:textId="77777777" w:rsidR="00B324A0" w:rsidRPr="00DD47DF" w:rsidRDefault="00392BCA" w:rsidP="001049C5">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3CE0FD0C" w14:textId="77777777" w:rsidR="00B324A0" w:rsidRPr="00DD47DF" w:rsidRDefault="00392BCA" w:rsidP="001049C5">
            <w:pPr>
              <w:pStyle w:val="Tabulka"/>
              <w:rPr>
                <w:rFonts w:cs="Calibri"/>
              </w:rPr>
            </w:pPr>
            <w:r>
              <w:rPr>
                <w:rFonts w:cs="Calibri"/>
              </w:rPr>
              <w:t>průběžně</w:t>
            </w:r>
          </w:p>
        </w:tc>
      </w:tr>
      <w:tr w:rsidR="00B324A0" w:rsidRPr="00DD47DF" w14:paraId="6866EE01"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68308D0" w14:textId="536BA70F" w:rsidR="00B324A0" w:rsidRPr="00DD47DF" w:rsidRDefault="00B324A0" w:rsidP="001049C5">
            <w:pPr>
              <w:pStyle w:val="Tabulka"/>
              <w:rPr>
                <w:rFonts w:cs="Calibri"/>
              </w:rPr>
            </w:pPr>
            <w:r w:rsidRPr="00DD47DF">
              <w:rPr>
                <w:rFonts w:cs="Calibri"/>
              </w:rPr>
              <w:t>CO 06</w:t>
            </w:r>
          </w:p>
        </w:tc>
        <w:tc>
          <w:tcPr>
            <w:tcW w:w="0" w:type="auto"/>
            <w:tcBorders>
              <w:top w:val="single" w:sz="4" w:space="0" w:color="000000"/>
              <w:left w:val="single" w:sz="4" w:space="0" w:color="000000"/>
              <w:bottom w:val="single" w:sz="4" w:space="0" w:color="000000"/>
              <w:right w:val="single" w:sz="4" w:space="0" w:color="000000"/>
            </w:tcBorders>
            <w:vAlign w:val="center"/>
          </w:tcPr>
          <w:p w14:paraId="2BF5E097" w14:textId="77777777" w:rsidR="00B324A0" w:rsidRPr="00DD47DF" w:rsidRDefault="00892451" w:rsidP="001049C5">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2B5D035" w14:textId="77777777" w:rsidR="00B324A0" w:rsidRPr="00DD47DF" w:rsidRDefault="00B324A0" w:rsidP="001049C5">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64014271"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F5EC3F1"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118FB4B1" w14:textId="57B8BE8F" w:rsidR="00B324A0" w:rsidRPr="00DD47DF" w:rsidRDefault="00873E0A" w:rsidP="001049C5">
            <w:pPr>
              <w:pStyle w:val="Tabulka"/>
              <w:rPr>
                <w:rFonts w:cs="Calibri"/>
              </w:rPr>
            </w:pPr>
            <w:r>
              <w:rPr>
                <w:rFonts w:cs="Calibri"/>
              </w:rPr>
              <w:t>179 000 000</w:t>
            </w:r>
          </w:p>
        </w:tc>
        <w:tc>
          <w:tcPr>
            <w:tcW w:w="713" w:type="dxa"/>
            <w:tcBorders>
              <w:top w:val="single" w:sz="4" w:space="0" w:color="000000"/>
              <w:left w:val="single" w:sz="4" w:space="0" w:color="000000"/>
              <w:bottom w:val="single" w:sz="4" w:space="0" w:color="000000"/>
              <w:right w:val="single" w:sz="4" w:space="0" w:color="000000"/>
            </w:tcBorders>
            <w:vAlign w:val="center"/>
          </w:tcPr>
          <w:p w14:paraId="5113B05C" w14:textId="77777777" w:rsidR="00B324A0" w:rsidRPr="00DD47DF" w:rsidRDefault="00800418" w:rsidP="001049C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7B618CE4" w14:textId="77777777" w:rsidR="00B324A0" w:rsidRPr="00DD47DF" w:rsidRDefault="00934A97" w:rsidP="001049C5">
            <w:pPr>
              <w:pStyle w:val="Tabulka"/>
              <w:rPr>
                <w:rFonts w:cs="Calibri"/>
              </w:rPr>
            </w:pPr>
            <w:r>
              <w:rPr>
                <w:rFonts w:cs="Calibri"/>
              </w:rPr>
              <w:t>průběžně</w:t>
            </w:r>
          </w:p>
        </w:tc>
      </w:tr>
      <w:tr w:rsidR="00B324A0" w:rsidRPr="00DD47DF" w14:paraId="7F89A297"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FC57AD9" w14:textId="63F4C470" w:rsidR="00B324A0" w:rsidRPr="00DD47DF" w:rsidRDefault="00B324A0" w:rsidP="001049C5">
            <w:pPr>
              <w:pStyle w:val="Tabulka"/>
              <w:rPr>
                <w:rFonts w:cs="Calibri"/>
              </w:rPr>
            </w:pPr>
            <w:r w:rsidRPr="00DD47DF">
              <w:rPr>
                <w:rFonts w:cs="Calibri"/>
              </w:rPr>
              <w:t>CO 07</w:t>
            </w:r>
          </w:p>
        </w:tc>
        <w:tc>
          <w:tcPr>
            <w:tcW w:w="0" w:type="auto"/>
            <w:tcBorders>
              <w:top w:val="single" w:sz="4" w:space="0" w:color="000000"/>
              <w:left w:val="single" w:sz="4" w:space="0" w:color="000000"/>
              <w:bottom w:val="single" w:sz="4" w:space="0" w:color="000000"/>
              <w:right w:val="single" w:sz="4" w:space="0" w:color="000000"/>
            </w:tcBorders>
            <w:vAlign w:val="center"/>
          </w:tcPr>
          <w:p w14:paraId="6606B28B" w14:textId="77777777" w:rsidR="00B324A0" w:rsidRPr="00DD47DF" w:rsidRDefault="006D0B6D" w:rsidP="001049C5">
            <w:pPr>
              <w:pStyle w:val="Tabulka"/>
              <w:jc w:val="left"/>
              <w:rPr>
                <w:rFonts w:cs="Calibri"/>
              </w:rPr>
            </w:pPr>
            <w:r w:rsidRPr="006D0B6D">
              <w:rPr>
                <w:rFonts w:cs="Calibri"/>
              </w:rPr>
              <w:t>Soukromé investice odpovídající veřejné podpoře podniků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29FC64ED" w14:textId="77777777" w:rsidR="00B324A0" w:rsidRPr="00DD47DF" w:rsidRDefault="00B324A0" w:rsidP="001049C5">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52B89730"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0E8CE408"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4E14C758" w14:textId="3091AD75" w:rsidR="00B324A0" w:rsidRPr="00DD47DF" w:rsidRDefault="00873E0A" w:rsidP="00803F6A">
            <w:pPr>
              <w:pStyle w:val="Tabulka"/>
              <w:rPr>
                <w:rFonts w:cs="Calibri"/>
              </w:rPr>
            </w:pPr>
            <w:r>
              <w:rPr>
                <w:rFonts w:cs="Calibri"/>
              </w:rPr>
              <w:t>32</w:t>
            </w:r>
            <w:r w:rsidRPr="00DD47DF">
              <w:rPr>
                <w:rFonts w:cs="Calibri"/>
              </w:rPr>
              <w:t> </w:t>
            </w:r>
            <w:r w:rsidR="00B324A0" w:rsidRPr="00DD47DF">
              <w:rPr>
                <w:rFonts w:cs="Calibri"/>
              </w:rPr>
              <w:t>000 000</w:t>
            </w:r>
          </w:p>
        </w:tc>
        <w:tc>
          <w:tcPr>
            <w:tcW w:w="713" w:type="dxa"/>
            <w:tcBorders>
              <w:top w:val="single" w:sz="4" w:space="0" w:color="000000"/>
              <w:left w:val="single" w:sz="4" w:space="0" w:color="000000"/>
              <w:bottom w:val="single" w:sz="4" w:space="0" w:color="000000"/>
              <w:right w:val="single" w:sz="4" w:space="0" w:color="000000"/>
            </w:tcBorders>
            <w:vAlign w:val="center"/>
          </w:tcPr>
          <w:p w14:paraId="0E305CE7" w14:textId="77777777" w:rsidR="00B324A0" w:rsidRPr="00DD47DF" w:rsidRDefault="00392BCA" w:rsidP="001049C5">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7068CCE7" w14:textId="77777777" w:rsidR="00B324A0" w:rsidRPr="00DD47DF" w:rsidRDefault="00392BCA" w:rsidP="001049C5">
            <w:pPr>
              <w:pStyle w:val="Tabulka"/>
              <w:rPr>
                <w:rFonts w:cs="Calibri"/>
              </w:rPr>
            </w:pPr>
            <w:r>
              <w:rPr>
                <w:rFonts w:cs="Calibri"/>
              </w:rPr>
              <w:t>průběžně</w:t>
            </w:r>
          </w:p>
        </w:tc>
      </w:tr>
      <w:tr w:rsidR="00B324A0" w:rsidRPr="00DD47DF" w14:paraId="20496342"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E2F719E" w14:textId="4020DC4C" w:rsidR="00B324A0" w:rsidRPr="00DD47DF" w:rsidDel="00C75691" w:rsidRDefault="00B324A0" w:rsidP="001049C5">
            <w:pPr>
              <w:pStyle w:val="Tabulka"/>
              <w:rPr>
                <w:rFonts w:cs="Calibri"/>
              </w:rPr>
            </w:pPr>
            <w:r w:rsidRPr="00DD47DF">
              <w:rPr>
                <w:rFonts w:cs="Calibri"/>
              </w:rPr>
              <w:lastRenderedPageBreak/>
              <w:t>CO 34</w:t>
            </w:r>
          </w:p>
        </w:tc>
        <w:tc>
          <w:tcPr>
            <w:tcW w:w="0" w:type="auto"/>
            <w:tcBorders>
              <w:top w:val="single" w:sz="4" w:space="0" w:color="000000"/>
              <w:left w:val="single" w:sz="4" w:space="0" w:color="000000"/>
              <w:bottom w:val="single" w:sz="4" w:space="0" w:color="000000"/>
              <w:right w:val="single" w:sz="4" w:space="0" w:color="000000"/>
            </w:tcBorders>
            <w:vAlign w:val="center"/>
          </w:tcPr>
          <w:p w14:paraId="5D26907D" w14:textId="77777777" w:rsidR="00B324A0" w:rsidRPr="00DD47DF" w:rsidRDefault="00B324A0" w:rsidP="001049C5">
            <w:pPr>
              <w:pStyle w:val="Tabulka"/>
              <w:jc w:val="left"/>
              <w:rPr>
                <w:rFonts w:cs="Calibri"/>
              </w:rPr>
            </w:pPr>
            <w:r w:rsidRPr="00DD47DF">
              <w:rPr>
                <w:rFonts w:cs="Calibri"/>
              </w:rPr>
              <w:t>Odhadované roční snížení emisí skleníkových plynů</w:t>
            </w:r>
          </w:p>
        </w:tc>
        <w:tc>
          <w:tcPr>
            <w:tcW w:w="0" w:type="auto"/>
            <w:tcBorders>
              <w:top w:val="single" w:sz="4" w:space="0" w:color="000000"/>
              <w:left w:val="single" w:sz="4" w:space="0" w:color="000000"/>
              <w:bottom w:val="single" w:sz="4" w:space="0" w:color="000000"/>
              <w:right w:val="single" w:sz="4" w:space="0" w:color="000000"/>
            </w:tcBorders>
            <w:vAlign w:val="center"/>
          </w:tcPr>
          <w:p w14:paraId="2B82004D" w14:textId="77777777" w:rsidR="00B324A0" w:rsidRPr="00DD47DF" w:rsidRDefault="00B324A0" w:rsidP="001049C5">
            <w:pPr>
              <w:pStyle w:val="Tabulka"/>
              <w:rPr>
                <w:rFonts w:cs="Calibri"/>
              </w:rPr>
            </w:pPr>
            <w:r w:rsidRPr="00DD47DF">
              <w:rPr>
                <w:rFonts w:cs="Calibri"/>
              </w:rPr>
              <w:t>Tuny ekvivalentu CO2/rok</w:t>
            </w:r>
          </w:p>
        </w:tc>
        <w:tc>
          <w:tcPr>
            <w:tcW w:w="0" w:type="auto"/>
            <w:tcBorders>
              <w:top w:val="single" w:sz="4" w:space="0" w:color="000000"/>
              <w:left w:val="single" w:sz="4" w:space="0" w:color="000000"/>
              <w:bottom w:val="single" w:sz="4" w:space="0" w:color="000000"/>
              <w:right w:val="single" w:sz="4" w:space="0" w:color="000000"/>
            </w:tcBorders>
            <w:vAlign w:val="center"/>
          </w:tcPr>
          <w:p w14:paraId="35524B3C"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11D1EA8"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452DCF0C" w14:textId="77777777" w:rsidR="00B324A0" w:rsidRPr="00DD47DF" w:rsidRDefault="00B324A0" w:rsidP="001049C5">
            <w:pPr>
              <w:pStyle w:val="Tabulka"/>
              <w:rPr>
                <w:rFonts w:cs="Calibri"/>
              </w:rPr>
            </w:pPr>
            <w:r w:rsidRPr="00DD47DF">
              <w:rPr>
                <w:rFonts w:cs="Calibri"/>
              </w:rPr>
              <w:t>180 000</w:t>
            </w:r>
          </w:p>
        </w:tc>
        <w:tc>
          <w:tcPr>
            <w:tcW w:w="713" w:type="dxa"/>
            <w:tcBorders>
              <w:top w:val="single" w:sz="4" w:space="0" w:color="000000"/>
              <w:left w:val="single" w:sz="4" w:space="0" w:color="000000"/>
              <w:bottom w:val="single" w:sz="4" w:space="0" w:color="000000"/>
              <w:right w:val="single" w:sz="4" w:space="0" w:color="000000"/>
            </w:tcBorders>
            <w:vAlign w:val="center"/>
          </w:tcPr>
          <w:p w14:paraId="096CEC29" w14:textId="77777777" w:rsidR="00B324A0" w:rsidRPr="00DD47DF" w:rsidRDefault="00B324A0" w:rsidP="001049C5">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32AC8A7B" w14:textId="77777777" w:rsidR="00B324A0" w:rsidRPr="00DD47DF" w:rsidRDefault="00990784" w:rsidP="001049C5">
            <w:pPr>
              <w:pStyle w:val="Tabulka"/>
              <w:rPr>
                <w:rFonts w:cs="Calibri"/>
              </w:rPr>
            </w:pPr>
            <w:r>
              <w:rPr>
                <w:rFonts w:cs="Calibri"/>
              </w:rPr>
              <w:t>průběžně</w:t>
            </w:r>
          </w:p>
        </w:tc>
      </w:tr>
      <w:tr w:rsidR="00B324A0" w:rsidRPr="00DD47DF" w14:paraId="41334DF0" w14:textId="77777777" w:rsidTr="00997228">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A7194E6" w14:textId="77777777" w:rsidR="00B324A0" w:rsidRPr="00DD47DF" w:rsidDel="00C75691" w:rsidRDefault="00B324A0" w:rsidP="001049C5">
            <w:pPr>
              <w:pStyle w:val="Tabulka"/>
              <w:rPr>
                <w:rFonts w:cs="Calibri"/>
              </w:rPr>
            </w:pPr>
            <w:r w:rsidRPr="00DD47DF">
              <w:rPr>
                <w:rFonts w:cs="Calibri"/>
              </w:rPr>
              <w:t>33906</w:t>
            </w:r>
          </w:p>
        </w:tc>
        <w:tc>
          <w:tcPr>
            <w:tcW w:w="0" w:type="auto"/>
            <w:tcBorders>
              <w:top w:val="single" w:sz="4" w:space="0" w:color="000000"/>
              <w:left w:val="single" w:sz="4" w:space="0" w:color="000000"/>
              <w:bottom w:val="single" w:sz="4" w:space="0" w:color="000000"/>
              <w:right w:val="single" w:sz="4" w:space="0" w:color="000000"/>
            </w:tcBorders>
            <w:vAlign w:val="center"/>
          </w:tcPr>
          <w:p w14:paraId="3269FEB1" w14:textId="77777777" w:rsidR="00B324A0" w:rsidRPr="00DD47DF" w:rsidRDefault="00B324A0" w:rsidP="001049C5">
            <w:pPr>
              <w:pStyle w:val="Tabulka"/>
              <w:jc w:val="left"/>
              <w:rPr>
                <w:rFonts w:cs="Calibri"/>
              </w:rPr>
            </w:pPr>
            <w:r w:rsidRPr="00DD47DF">
              <w:rPr>
                <w:rFonts w:cs="Calibri"/>
              </w:rPr>
              <w:t>Nové nebo rekonstruované soustavy zásobování teplem</w:t>
            </w:r>
          </w:p>
        </w:tc>
        <w:tc>
          <w:tcPr>
            <w:tcW w:w="0" w:type="auto"/>
            <w:tcBorders>
              <w:top w:val="single" w:sz="4" w:space="0" w:color="000000"/>
              <w:left w:val="single" w:sz="4" w:space="0" w:color="000000"/>
              <w:bottom w:val="single" w:sz="4" w:space="0" w:color="000000"/>
              <w:right w:val="single" w:sz="4" w:space="0" w:color="000000"/>
            </w:tcBorders>
            <w:vAlign w:val="center"/>
          </w:tcPr>
          <w:p w14:paraId="275C9C8D" w14:textId="77777777" w:rsidR="00B324A0" w:rsidRPr="00DD47DF" w:rsidRDefault="00B324A0" w:rsidP="001049C5">
            <w:pPr>
              <w:pStyle w:val="Tabulka"/>
              <w:rPr>
                <w:rFonts w:cs="Calibri"/>
              </w:rPr>
            </w:pPr>
            <w:r w:rsidRPr="00DD47DF">
              <w:rPr>
                <w:rFonts w:cs="Calibri"/>
              </w:rPr>
              <w:t>soustava</w:t>
            </w:r>
          </w:p>
        </w:tc>
        <w:tc>
          <w:tcPr>
            <w:tcW w:w="0" w:type="auto"/>
            <w:tcBorders>
              <w:top w:val="single" w:sz="4" w:space="0" w:color="000000"/>
              <w:left w:val="single" w:sz="4" w:space="0" w:color="000000"/>
              <w:bottom w:val="single" w:sz="4" w:space="0" w:color="000000"/>
              <w:right w:val="single" w:sz="4" w:space="0" w:color="000000"/>
            </w:tcBorders>
            <w:vAlign w:val="center"/>
          </w:tcPr>
          <w:p w14:paraId="26EE954E"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9E2A123"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764C8059" w14:textId="77777777" w:rsidR="00B324A0" w:rsidRPr="00DD47DF" w:rsidRDefault="00B324A0" w:rsidP="001049C5">
            <w:pPr>
              <w:pStyle w:val="Tabulka"/>
              <w:rPr>
                <w:rFonts w:cs="Calibri"/>
              </w:rPr>
            </w:pPr>
            <w:r w:rsidRPr="00DD47DF">
              <w:rPr>
                <w:rFonts w:cs="Calibri"/>
              </w:rPr>
              <w:t>120</w:t>
            </w:r>
          </w:p>
        </w:tc>
        <w:tc>
          <w:tcPr>
            <w:tcW w:w="713" w:type="dxa"/>
            <w:tcBorders>
              <w:top w:val="single" w:sz="4" w:space="0" w:color="000000"/>
              <w:left w:val="single" w:sz="4" w:space="0" w:color="000000"/>
              <w:bottom w:val="single" w:sz="4" w:space="0" w:color="000000"/>
              <w:right w:val="single" w:sz="4" w:space="0" w:color="000000"/>
            </w:tcBorders>
            <w:vAlign w:val="center"/>
          </w:tcPr>
          <w:p w14:paraId="6FE4BEDB" w14:textId="77777777" w:rsidR="00B324A0" w:rsidRPr="00DD47DF" w:rsidRDefault="00B324A0" w:rsidP="001049C5">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357AC062" w14:textId="77777777" w:rsidR="00B324A0" w:rsidRPr="00DD47DF" w:rsidRDefault="0079192F" w:rsidP="001049C5">
            <w:pPr>
              <w:pStyle w:val="Tabulka"/>
              <w:rPr>
                <w:rFonts w:cs="Calibri"/>
              </w:rPr>
            </w:pPr>
            <w:r>
              <w:rPr>
                <w:rFonts w:cs="Calibri"/>
              </w:rPr>
              <w:t>průběžně</w:t>
            </w:r>
          </w:p>
        </w:tc>
      </w:tr>
      <w:tr w:rsidR="00B324A0" w:rsidRPr="00DD47DF" w14:paraId="33299F45" w14:textId="77777777" w:rsidTr="00997228">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841BDF6" w14:textId="77777777" w:rsidR="00B324A0" w:rsidRPr="00DD47DF" w:rsidDel="00C75691" w:rsidRDefault="00B324A0" w:rsidP="001049C5">
            <w:pPr>
              <w:pStyle w:val="Tabulka"/>
              <w:rPr>
                <w:rFonts w:cs="Calibri"/>
              </w:rPr>
            </w:pPr>
            <w:r w:rsidRPr="00DD47DF">
              <w:rPr>
                <w:rFonts w:cs="Calibri"/>
              </w:rPr>
              <w:t>34701</w:t>
            </w:r>
          </w:p>
        </w:tc>
        <w:tc>
          <w:tcPr>
            <w:tcW w:w="0" w:type="auto"/>
            <w:tcBorders>
              <w:top w:val="single" w:sz="4" w:space="0" w:color="000000"/>
              <w:left w:val="single" w:sz="4" w:space="0" w:color="000000"/>
              <w:bottom w:val="single" w:sz="4" w:space="0" w:color="000000"/>
              <w:right w:val="single" w:sz="4" w:space="0" w:color="000000"/>
            </w:tcBorders>
            <w:vAlign w:val="center"/>
          </w:tcPr>
          <w:p w14:paraId="3D217509" w14:textId="77777777" w:rsidR="00B324A0" w:rsidRPr="00DD47DF" w:rsidRDefault="00B324A0" w:rsidP="001049C5">
            <w:pPr>
              <w:pStyle w:val="Tabulka"/>
              <w:jc w:val="left"/>
              <w:rPr>
                <w:rFonts w:cs="Calibri"/>
              </w:rPr>
            </w:pPr>
            <w:r w:rsidRPr="00DD47DF">
              <w:rPr>
                <w:rFonts w:cs="Calibri"/>
              </w:rPr>
              <w:t>Nové nebo rekonstruované KVET</w:t>
            </w:r>
          </w:p>
        </w:tc>
        <w:tc>
          <w:tcPr>
            <w:tcW w:w="0" w:type="auto"/>
            <w:tcBorders>
              <w:top w:val="single" w:sz="4" w:space="0" w:color="000000"/>
              <w:left w:val="single" w:sz="4" w:space="0" w:color="000000"/>
              <w:bottom w:val="single" w:sz="4" w:space="0" w:color="000000"/>
              <w:right w:val="single" w:sz="4" w:space="0" w:color="000000"/>
            </w:tcBorders>
            <w:vAlign w:val="center"/>
          </w:tcPr>
          <w:p w14:paraId="4793BEF9" w14:textId="77777777" w:rsidR="00B324A0" w:rsidRPr="00DD47DF" w:rsidRDefault="00B324A0" w:rsidP="001049C5">
            <w:pPr>
              <w:pStyle w:val="Tabulka"/>
              <w:rPr>
                <w:rFonts w:cs="Calibri"/>
              </w:rPr>
            </w:pPr>
            <w:r w:rsidRPr="00DD47DF">
              <w:rPr>
                <w:rFonts w:cs="Calibri"/>
              </w:rPr>
              <w:t>soustava KVET</w:t>
            </w:r>
          </w:p>
        </w:tc>
        <w:tc>
          <w:tcPr>
            <w:tcW w:w="0" w:type="auto"/>
            <w:tcBorders>
              <w:top w:val="single" w:sz="4" w:space="0" w:color="000000"/>
              <w:left w:val="single" w:sz="4" w:space="0" w:color="000000"/>
              <w:bottom w:val="single" w:sz="4" w:space="0" w:color="000000"/>
              <w:right w:val="single" w:sz="4" w:space="0" w:color="000000"/>
            </w:tcBorders>
            <w:vAlign w:val="center"/>
          </w:tcPr>
          <w:p w14:paraId="0A123518"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78B9D00"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42130D8C" w14:textId="77777777" w:rsidR="00B324A0" w:rsidRPr="00DD47DF" w:rsidRDefault="00B324A0" w:rsidP="001049C5">
            <w:pPr>
              <w:pStyle w:val="Tabulka"/>
              <w:rPr>
                <w:rFonts w:cs="Calibri"/>
              </w:rPr>
            </w:pPr>
            <w:r w:rsidRPr="00DD47DF">
              <w:rPr>
                <w:rFonts w:cs="Calibri"/>
              </w:rPr>
              <w:t>140</w:t>
            </w:r>
          </w:p>
        </w:tc>
        <w:tc>
          <w:tcPr>
            <w:tcW w:w="713" w:type="dxa"/>
            <w:tcBorders>
              <w:top w:val="single" w:sz="4" w:space="0" w:color="000000"/>
              <w:left w:val="single" w:sz="4" w:space="0" w:color="000000"/>
              <w:bottom w:val="single" w:sz="4" w:space="0" w:color="000000"/>
              <w:right w:val="single" w:sz="4" w:space="0" w:color="000000"/>
            </w:tcBorders>
            <w:vAlign w:val="center"/>
          </w:tcPr>
          <w:p w14:paraId="6FFB9A22" w14:textId="77777777" w:rsidR="00B324A0" w:rsidRPr="00DD47DF" w:rsidRDefault="00B324A0" w:rsidP="001049C5">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255083C" w14:textId="77777777" w:rsidR="00B324A0" w:rsidRPr="00DD47DF" w:rsidRDefault="00516928" w:rsidP="001049C5">
            <w:pPr>
              <w:pStyle w:val="Tabulka"/>
              <w:rPr>
                <w:rFonts w:cs="Calibri"/>
              </w:rPr>
            </w:pPr>
            <w:r>
              <w:rPr>
                <w:rFonts w:cs="Calibri"/>
              </w:rPr>
              <w:t>průběžně</w:t>
            </w:r>
          </w:p>
        </w:tc>
      </w:tr>
    </w:tbl>
    <w:p w14:paraId="5ECFD9C1" w14:textId="77777777" w:rsidR="004C3774" w:rsidRPr="00DD47DF" w:rsidRDefault="004C3774" w:rsidP="00DA3512">
      <w:pPr>
        <w:pStyle w:val="kapitola2A0"/>
        <w:numPr>
          <w:ilvl w:val="2"/>
          <w:numId w:val="70"/>
        </w:numPr>
      </w:pPr>
      <w:bookmarkStart w:id="80" w:name="_Toc506885025"/>
      <w:r w:rsidRPr="00DD47DF">
        <w:t>INVESTIČNÍ PRIORITA 6 prioritní osy 3: Zvyšování energetické účinnosti a zabezpečení dodávek prostřednictvím rozvoje inteligentních systémů pro distribuci, skladování a přenos energie a prostřednictvím integrace distribuované výroby z obnovitelných zdrojů</w:t>
      </w:r>
      <w:bookmarkEnd w:id="80"/>
    </w:p>
    <w:p w14:paraId="66E1AA16" w14:textId="77777777" w:rsidR="004C3774" w:rsidRPr="00DD47DF" w:rsidRDefault="004C3774" w:rsidP="00DA3512">
      <w:pPr>
        <w:pStyle w:val="kapitola2A0"/>
        <w:numPr>
          <w:ilvl w:val="2"/>
          <w:numId w:val="70"/>
        </w:numPr>
      </w:pPr>
      <w:bookmarkStart w:id="81" w:name="_Toc506885026"/>
      <w:r w:rsidRPr="00DD47DF">
        <w:t>Specifické cíle odpovídající investiční prioritě a očekávané výsledky</w:t>
      </w:r>
      <w:bookmarkEnd w:id="81"/>
    </w:p>
    <w:p w14:paraId="7A46FA2F" w14:textId="77777777" w:rsidR="004C3774" w:rsidRPr="00DD47DF" w:rsidRDefault="004C3774" w:rsidP="004C3774">
      <w:pPr>
        <w:pStyle w:val="Modrnadpis"/>
      </w:pPr>
      <w:r w:rsidRPr="00DD47DF">
        <w:t xml:space="preserve">SPECIFICKÝ CÍL 3.6: </w:t>
      </w:r>
      <w:r w:rsidR="00951C8A" w:rsidRPr="00DD47DF">
        <w:t>Posílit energetickou bezpečnost přenosové soustavy</w:t>
      </w:r>
    </w:p>
    <w:p w14:paraId="0FF8E85F" w14:textId="77777777" w:rsidR="004C3774" w:rsidRPr="00DD47DF" w:rsidRDefault="00CD0C96" w:rsidP="004C3774">
      <w:pPr>
        <w:pStyle w:val="Standardntext"/>
      </w:pPr>
      <w:r w:rsidRPr="00DD47DF">
        <w:t xml:space="preserve">Pro dlouhodobě stabilní provoz přenosové soustavy je nutná modernizace a rekonstrukce jejích stávajících prvků při uplatnění inovativních postupů, které přispějí k integraci do konceptu smart řízení celé elektrizační soustavy. </w:t>
      </w:r>
      <w:r w:rsidR="005F7F3F" w:rsidRPr="00DD47DF">
        <w:t xml:space="preserve">Investice do moderní energetické infrastruktury jsou neodmyslitelnou součástí rozvoje </w:t>
      </w:r>
      <w:r w:rsidRPr="00DD47DF">
        <w:t xml:space="preserve">všech </w:t>
      </w:r>
      <w:r w:rsidR="005F7F3F" w:rsidRPr="00DD47DF">
        <w:t>průmyslově se rozvíjejících regionů.</w:t>
      </w:r>
      <w:r w:rsidR="00951C8A" w:rsidRPr="00DD47DF">
        <w:t xml:space="preserve"> Hlavním cílem je posílení konkurenceschopnosti a udržitelnosti české ekonomiky prostřednictvím rozvoje a modernizace energetické infrastruktury.</w:t>
      </w:r>
    </w:p>
    <w:p w14:paraId="5AF72B66" w14:textId="77777777" w:rsidR="004C3774" w:rsidRPr="00DD47DF" w:rsidRDefault="004C3774" w:rsidP="004C3774">
      <w:pPr>
        <w:pStyle w:val="Modrnadpis"/>
      </w:pPr>
      <w:r w:rsidRPr="00DD47DF">
        <w:t>Výsledky, kterých chce ČR dosáhnout s podporou Unie</w:t>
      </w:r>
    </w:p>
    <w:p w14:paraId="5748CC4F" w14:textId="77777777" w:rsidR="004C3774" w:rsidRPr="00DD47DF" w:rsidRDefault="00773FB8" w:rsidP="00FB3387">
      <w:pPr>
        <w:pStyle w:val="Standardntext"/>
        <w:numPr>
          <w:ilvl w:val="0"/>
          <w:numId w:val="51"/>
        </w:numPr>
        <w:rPr>
          <w:i/>
        </w:rPr>
      </w:pPr>
      <w:r w:rsidRPr="00DD47DF">
        <w:t>Zlepšení kvality, bezpečnosti a udržitelnosti dodávek elektřiny konečným zákazníkům ve všech regionech České republiky mimo Prahu</w:t>
      </w:r>
    </w:p>
    <w:p w14:paraId="1ED2CDE4" w14:textId="77777777" w:rsidR="004C3774" w:rsidRPr="00DD47DF" w:rsidRDefault="00773FB8" w:rsidP="00FB3387">
      <w:pPr>
        <w:pStyle w:val="Standardntext"/>
        <w:numPr>
          <w:ilvl w:val="0"/>
          <w:numId w:val="51"/>
        </w:numPr>
      </w:pPr>
      <w:r w:rsidRPr="00DD47DF">
        <w:t>Přispět k rychlejšímu dotvoření plně funkčního a propojeného vnitřního trhu s energií a zajištění spolehlivých vedení výkonů v rámci trhů s elektřinou v EU.</w:t>
      </w:r>
    </w:p>
    <w:p w14:paraId="1831597B" w14:textId="77777777" w:rsidR="00773FB8" w:rsidRPr="00DD47DF" w:rsidRDefault="00773FB8" w:rsidP="00FB3387">
      <w:pPr>
        <w:pStyle w:val="Standardntext"/>
        <w:numPr>
          <w:ilvl w:val="0"/>
          <w:numId w:val="51"/>
        </w:numPr>
      </w:pPr>
      <w:r w:rsidRPr="00DD47DF">
        <w:t>Minimalizace úzkých profilů a integrace decentralizovaných zdrojů energie.</w:t>
      </w:r>
    </w:p>
    <w:p w14:paraId="38427942" w14:textId="77777777" w:rsidR="00773FB8" w:rsidRPr="00DD47DF" w:rsidRDefault="00773FB8" w:rsidP="00FB3387">
      <w:pPr>
        <w:pStyle w:val="Standardntext"/>
        <w:numPr>
          <w:ilvl w:val="0"/>
          <w:numId w:val="51"/>
        </w:numPr>
      </w:pPr>
      <w:r w:rsidRPr="00DD47DF">
        <w:t>Impuls pro rozvoj průmyslu, podnikání a celé ekonomiky díky rozvoji a modernizaci energetické infrastruktury.</w:t>
      </w:r>
    </w:p>
    <w:p w14:paraId="6932ADF1" w14:textId="77777777" w:rsidR="004C3774" w:rsidRPr="00DD47DF" w:rsidRDefault="004C3774" w:rsidP="00F90D67">
      <w:pPr>
        <w:pStyle w:val="Titulek"/>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Ukazatele výsledků specifické pro jednotlivé programy, podle specifického cíle (pro EFRR a Fond soudržnosti)</w:t>
      </w:r>
    </w:p>
    <w:tbl>
      <w:tblPr>
        <w:tblW w:w="5000" w:type="pct"/>
        <w:tblLayout w:type="fixed"/>
        <w:tblCellMar>
          <w:left w:w="57" w:type="dxa"/>
          <w:right w:w="57" w:type="dxa"/>
        </w:tblCellMar>
        <w:tblLook w:val="01E0" w:firstRow="1" w:lastRow="1" w:firstColumn="1" w:lastColumn="1" w:noHBand="0" w:noVBand="0"/>
      </w:tblPr>
      <w:tblGrid>
        <w:gridCol w:w="909"/>
        <w:gridCol w:w="991"/>
        <w:gridCol w:w="993"/>
        <w:gridCol w:w="1146"/>
        <w:gridCol w:w="979"/>
        <w:gridCol w:w="851"/>
        <w:gridCol w:w="992"/>
        <w:gridCol w:w="1419"/>
        <w:gridCol w:w="1046"/>
      </w:tblGrid>
      <w:tr w:rsidR="00D57106" w:rsidRPr="00DD47DF" w14:paraId="2F840CB8" w14:textId="77777777">
        <w:trPr>
          <w:trHeight w:hRule="exact" w:val="1385"/>
        </w:trPr>
        <w:tc>
          <w:tcPr>
            <w:tcW w:w="48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847F601" w14:textId="77777777" w:rsidR="004C3774" w:rsidRPr="00DD47DF" w:rsidRDefault="004C3774" w:rsidP="00F90D67">
            <w:pPr>
              <w:pStyle w:val="Tabulka"/>
              <w:rPr>
                <w:rFonts w:cs="Calibri"/>
                <w:b/>
                <w:bCs/>
              </w:rPr>
            </w:pPr>
            <w:r w:rsidRPr="00DD47DF">
              <w:rPr>
                <w:rFonts w:cs="Calibri"/>
                <w:b/>
                <w:bCs/>
              </w:rPr>
              <w:t>ID</w:t>
            </w:r>
          </w:p>
        </w:tc>
        <w:tc>
          <w:tcPr>
            <w:tcW w:w="53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BB55D14" w14:textId="77777777" w:rsidR="004C3774" w:rsidRPr="00DD47DF" w:rsidRDefault="004C3774" w:rsidP="00F90D67">
            <w:pPr>
              <w:pStyle w:val="Tabulka"/>
              <w:rPr>
                <w:rFonts w:cs="Calibri"/>
                <w:b/>
                <w:bCs/>
              </w:rPr>
            </w:pPr>
            <w:r w:rsidRPr="00DD47DF">
              <w:rPr>
                <w:rFonts w:cs="Calibri"/>
                <w:b/>
                <w:bCs/>
              </w:rPr>
              <w:t>Ukazatel</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7C0A480" w14:textId="77777777" w:rsidR="004C3774" w:rsidRPr="00DD47DF" w:rsidRDefault="004C3774" w:rsidP="00F90D67">
            <w:pPr>
              <w:pStyle w:val="Tabulka"/>
              <w:rPr>
                <w:rFonts w:cs="Calibri"/>
                <w:b/>
                <w:bCs/>
              </w:rPr>
            </w:pPr>
            <w:r w:rsidRPr="00DD47DF">
              <w:rPr>
                <w:rFonts w:cs="Calibri"/>
                <w:b/>
                <w:bCs/>
              </w:rPr>
              <w:t>Měrná</w:t>
            </w:r>
          </w:p>
          <w:p w14:paraId="1473B358" w14:textId="77777777" w:rsidR="004C3774" w:rsidRPr="00DD47DF" w:rsidRDefault="004C3774" w:rsidP="00F90D67">
            <w:pPr>
              <w:pStyle w:val="Tabulka"/>
              <w:rPr>
                <w:rFonts w:cs="Calibri"/>
                <w:b/>
                <w:bCs/>
              </w:rPr>
            </w:pPr>
            <w:r w:rsidRPr="00DD47DF">
              <w:rPr>
                <w:rFonts w:cs="Calibri"/>
                <w:b/>
                <w:bCs/>
              </w:rPr>
              <w:t>jednotka</w:t>
            </w:r>
          </w:p>
        </w:tc>
        <w:tc>
          <w:tcPr>
            <w:tcW w:w="61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5B3FF93" w14:textId="77777777" w:rsidR="004C3774" w:rsidRPr="00DD47DF" w:rsidRDefault="004C3774" w:rsidP="00F90D67">
            <w:pPr>
              <w:pStyle w:val="Tabulka"/>
              <w:rPr>
                <w:rFonts w:cs="Calibri"/>
                <w:b/>
                <w:bCs/>
              </w:rPr>
            </w:pPr>
            <w:r w:rsidRPr="00DD47DF">
              <w:rPr>
                <w:rFonts w:cs="Calibri"/>
                <w:b/>
                <w:bCs/>
              </w:rPr>
              <w:t>Kategorie regionů (je-li relevantní)</w:t>
            </w:r>
          </w:p>
        </w:tc>
        <w:tc>
          <w:tcPr>
            <w:tcW w:w="52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560849D" w14:textId="77777777" w:rsidR="004C3774" w:rsidRPr="00DD47DF" w:rsidRDefault="004B0854" w:rsidP="00F90D67">
            <w:pPr>
              <w:pStyle w:val="Tabulka"/>
              <w:rPr>
                <w:rFonts w:cs="Calibri"/>
                <w:b/>
                <w:bCs/>
              </w:rPr>
            </w:pPr>
            <w:r w:rsidRPr="00DD47DF">
              <w:rPr>
                <w:rFonts w:cs="Calibri"/>
                <w:b/>
                <w:bCs/>
              </w:rPr>
              <w:t>Výchozí hodnota</w:t>
            </w:r>
          </w:p>
        </w:tc>
        <w:tc>
          <w:tcPr>
            <w:tcW w:w="45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2CC6F8C" w14:textId="77777777" w:rsidR="004C3774" w:rsidRPr="00DD47DF" w:rsidRDefault="004B0854" w:rsidP="00F90D67">
            <w:pPr>
              <w:pStyle w:val="Tabulka"/>
              <w:rPr>
                <w:rFonts w:cs="Calibri"/>
                <w:b/>
                <w:bCs/>
              </w:rPr>
            </w:pPr>
            <w:r w:rsidRPr="00DD47DF">
              <w:rPr>
                <w:rFonts w:cs="Calibri"/>
                <w:b/>
                <w:bCs/>
                <w:sz w:val="20"/>
              </w:rPr>
              <w:t xml:space="preserve">Výchozí </w:t>
            </w:r>
            <w:r w:rsidR="004C3774" w:rsidRPr="00DD47DF">
              <w:rPr>
                <w:rFonts w:cs="Calibri"/>
                <w:b/>
                <w:bCs/>
                <w:sz w:val="20"/>
              </w:rPr>
              <w:t>rok</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7E03902" w14:textId="77777777" w:rsidR="004C3774" w:rsidRPr="00DD47DF" w:rsidRDefault="004C3774" w:rsidP="00F90D67">
            <w:pPr>
              <w:pStyle w:val="Tabulka"/>
              <w:rPr>
                <w:rFonts w:cs="Calibri"/>
                <w:b/>
                <w:bCs/>
              </w:rPr>
            </w:pPr>
            <w:r w:rsidRPr="00DD47DF">
              <w:rPr>
                <w:rFonts w:cs="Calibri"/>
                <w:b/>
                <w:bCs/>
              </w:rPr>
              <w:t>Cílová hodnota (2023)</w:t>
            </w:r>
          </w:p>
        </w:tc>
        <w:tc>
          <w:tcPr>
            <w:tcW w:w="76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FF7D1F9" w14:textId="77777777" w:rsidR="004C3774" w:rsidRPr="00DD47DF" w:rsidRDefault="004C3774" w:rsidP="00F90D67">
            <w:pPr>
              <w:pStyle w:val="Tabulka"/>
              <w:rPr>
                <w:rFonts w:cs="Calibri"/>
                <w:b/>
                <w:bCs/>
              </w:rPr>
            </w:pPr>
            <w:r w:rsidRPr="00DD47DF">
              <w:rPr>
                <w:rFonts w:cs="Calibri"/>
                <w:b/>
                <w:bCs/>
              </w:rPr>
              <w:t>Zdroj údajů</w:t>
            </w:r>
          </w:p>
        </w:tc>
        <w:tc>
          <w:tcPr>
            <w:tcW w:w="56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13F2BE7" w14:textId="77777777" w:rsidR="004C3774" w:rsidRPr="00DD47DF" w:rsidRDefault="004C3774" w:rsidP="00F90D67">
            <w:pPr>
              <w:pStyle w:val="Tabulka"/>
              <w:rPr>
                <w:rFonts w:cs="Calibri"/>
                <w:b/>
                <w:bCs/>
              </w:rPr>
            </w:pPr>
            <w:r w:rsidRPr="00DD47DF">
              <w:rPr>
                <w:rFonts w:cs="Calibri"/>
                <w:b/>
                <w:bCs/>
              </w:rPr>
              <w:t>Četnost podávání zpráv</w:t>
            </w:r>
          </w:p>
        </w:tc>
      </w:tr>
      <w:tr w:rsidR="00956C4F" w:rsidRPr="00DD47DF" w14:paraId="6D0BF3A1" w14:textId="77777777">
        <w:trPr>
          <w:trHeight w:hRule="exact" w:val="1193"/>
        </w:trPr>
        <w:tc>
          <w:tcPr>
            <w:tcW w:w="487" w:type="pct"/>
            <w:tcBorders>
              <w:top w:val="single" w:sz="4" w:space="0" w:color="000000"/>
              <w:left w:val="single" w:sz="4" w:space="0" w:color="000000"/>
              <w:bottom w:val="single" w:sz="4" w:space="0" w:color="000000"/>
              <w:right w:val="single" w:sz="4" w:space="0" w:color="000000"/>
            </w:tcBorders>
            <w:vAlign w:val="center"/>
          </w:tcPr>
          <w:p w14:paraId="77E8B37A" w14:textId="77777777" w:rsidR="004C3774" w:rsidRPr="00DD47DF" w:rsidRDefault="002252D2" w:rsidP="00F90D67">
            <w:pPr>
              <w:pStyle w:val="Tabulka"/>
              <w:rPr>
                <w:rFonts w:cs="Calibri"/>
              </w:rPr>
            </w:pPr>
            <w:r w:rsidRPr="00DD47DF">
              <w:rPr>
                <w:rFonts w:cs="Calibri"/>
              </w:rPr>
              <w:lastRenderedPageBreak/>
              <w:t>33800</w:t>
            </w:r>
          </w:p>
        </w:tc>
        <w:tc>
          <w:tcPr>
            <w:tcW w:w="531" w:type="pct"/>
            <w:tcBorders>
              <w:top w:val="single" w:sz="4" w:space="0" w:color="000000"/>
              <w:left w:val="single" w:sz="4" w:space="0" w:color="000000"/>
              <w:bottom w:val="single" w:sz="4" w:space="0" w:color="000000"/>
              <w:right w:val="single" w:sz="4" w:space="0" w:color="000000"/>
            </w:tcBorders>
            <w:vAlign w:val="center"/>
          </w:tcPr>
          <w:p w14:paraId="353A37D9" w14:textId="77777777" w:rsidR="004C3774" w:rsidRPr="00DD47DF" w:rsidRDefault="00672F46" w:rsidP="00F90D67">
            <w:pPr>
              <w:pStyle w:val="Tabulka"/>
              <w:jc w:val="left"/>
              <w:rPr>
                <w:rFonts w:cs="Calibri"/>
              </w:rPr>
            </w:pPr>
            <w:r w:rsidRPr="00DD47DF">
              <w:rPr>
                <w:rFonts w:cs="Calibri"/>
                <w:szCs w:val="20"/>
              </w:rPr>
              <w:t>Transfor</w:t>
            </w:r>
            <w:r w:rsidR="00D57106" w:rsidRPr="00DD47DF">
              <w:rPr>
                <w:rFonts w:cs="Calibri"/>
                <w:szCs w:val="20"/>
              </w:rPr>
              <w:t>-</w:t>
            </w:r>
            <w:r w:rsidRPr="00DD47DF">
              <w:rPr>
                <w:rFonts w:cs="Calibri"/>
                <w:szCs w:val="20"/>
              </w:rPr>
              <w:t>mační výkon PS/DS</w:t>
            </w:r>
          </w:p>
        </w:tc>
        <w:tc>
          <w:tcPr>
            <w:tcW w:w="532" w:type="pct"/>
            <w:tcBorders>
              <w:top w:val="single" w:sz="4" w:space="0" w:color="000000"/>
              <w:left w:val="single" w:sz="4" w:space="0" w:color="000000"/>
              <w:bottom w:val="single" w:sz="4" w:space="0" w:color="000000"/>
              <w:right w:val="single" w:sz="4" w:space="0" w:color="000000"/>
            </w:tcBorders>
            <w:vAlign w:val="center"/>
          </w:tcPr>
          <w:p w14:paraId="157D424C" w14:textId="77777777" w:rsidR="004C3774" w:rsidRPr="00DD47DF" w:rsidRDefault="004C3774" w:rsidP="00F90D67">
            <w:pPr>
              <w:pStyle w:val="Tabulka"/>
              <w:rPr>
                <w:rFonts w:cs="Calibri"/>
              </w:rPr>
            </w:pPr>
            <w:r w:rsidRPr="00DD47DF">
              <w:rPr>
                <w:rFonts w:cs="Calibri"/>
              </w:rPr>
              <w:t>MVA</w:t>
            </w:r>
          </w:p>
        </w:tc>
        <w:tc>
          <w:tcPr>
            <w:tcW w:w="614" w:type="pct"/>
            <w:tcBorders>
              <w:top w:val="single" w:sz="4" w:space="0" w:color="000000"/>
              <w:left w:val="single" w:sz="4" w:space="0" w:color="000000"/>
              <w:bottom w:val="single" w:sz="4" w:space="0" w:color="000000"/>
              <w:right w:val="single" w:sz="4" w:space="0" w:color="000000"/>
            </w:tcBorders>
            <w:vAlign w:val="center"/>
          </w:tcPr>
          <w:p w14:paraId="01651583" w14:textId="77777777" w:rsidR="004C3774" w:rsidRPr="00DD47DF" w:rsidRDefault="004C3774" w:rsidP="00F90D67">
            <w:pPr>
              <w:pStyle w:val="Tabulka"/>
              <w:rPr>
                <w:rFonts w:cs="Calibri"/>
              </w:rPr>
            </w:pPr>
            <w:r w:rsidRPr="00DD47DF">
              <w:rPr>
                <w:rFonts w:cs="Calibri"/>
              </w:rPr>
              <w:t>Méně rozvinuté regiony</w:t>
            </w:r>
          </w:p>
        </w:tc>
        <w:tc>
          <w:tcPr>
            <w:tcW w:w="525" w:type="pct"/>
            <w:tcBorders>
              <w:top w:val="single" w:sz="4" w:space="0" w:color="000000"/>
              <w:left w:val="single" w:sz="4" w:space="0" w:color="000000"/>
              <w:bottom w:val="single" w:sz="4" w:space="0" w:color="000000"/>
              <w:right w:val="single" w:sz="4" w:space="0" w:color="000000"/>
            </w:tcBorders>
            <w:vAlign w:val="center"/>
          </w:tcPr>
          <w:p w14:paraId="1DF6E309" w14:textId="77777777" w:rsidR="004C3774" w:rsidRPr="00DD47DF" w:rsidRDefault="004C3774" w:rsidP="00F90D67">
            <w:pPr>
              <w:pStyle w:val="Tabulka"/>
              <w:rPr>
                <w:rFonts w:cs="Calibri"/>
              </w:rPr>
            </w:pPr>
            <w:r w:rsidRPr="00DD47DF">
              <w:rPr>
                <w:rFonts w:cs="Calibri"/>
              </w:rPr>
              <w:t>21 680</w:t>
            </w:r>
          </w:p>
        </w:tc>
        <w:tc>
          <w:tcPr>
            <w:tcW w:w="456" w:type="pct"/>
            <w:tcBorders>
              <w:top w:val="single" w:sz="4" w:space="0" w:color="000000"/>
              <w:left w:val="single" w:sz="4" w:space="0" w:color="000000"/>
              <w:bottom w:val="single" w:sz="4" w:space="0" w:color="000000"/>
              <w:right w:val="single" w:sz="4" w:space="0" w:color="000000"/>
            </w:tcBorders>
            <w:vAlign w:val="center"/>
          </w:tcPr>
          <w:p w14:paraId="23709CB3" w14:textId="77777777" w:rsidR="004C3774" w:rsidRPr="00DD47DF" w:rsidRDefault="004C3774" w:rsidP="00F90D67">
            <w:pPr>
              <w:pStyle w:val="Tabulka"/>
              <w:rPr>
                <w:rFonts w:cs="Calibri"/>
              </w:rPr>
            </w:pPr>
            <w:r w:rsidRPr="00DD47DF">
              <w:rPr>
                <w:rFonts w:cs="Calibri"/>
              </w:rPr>
              <w:t>201</w:t>
            </w:r>
            <w:r w:rsidR="000E2AD0" w:rsidRPr="00DD47DF">
              <w:rPr>
                <w:rFonts w:cs="Calibri"/>
              </w:rPr>
              <w:t>3</w:t>
            </w:r>
          </w:p>
        </w:tc>
        <w:tc>
          <w:tcPr>
            <w:tcW w:w="532" w:type="pct"/>
            <w:tcBorders>
              <w:top w:val="single" w:sz="4" w:space="0" w:color="000000"/>
              <w:left w:val="single" w:sz="4" w:space="0" w:color="000000"/>
              <w:bottom w:val="single" w:sz="4" w:space="0" w:color="000000"/>
              <w:right w:val="single" w:sz="4" w:space="0" w:color="000000"/>
            </w:tcBorders>
            <w:vAlign w:val="center"/>
          </w:tcPr>
          <w:p w14:paraId="3238487F" w14:textId="77777777" w:rsidR="004C3774" w:rsidRPr="00DD47DF" w:rsidRDefault="005F7F3F" w:rsidP="00F90D67">
            <w:pPr>
              <w:pStyle w:val="Tabulka"/>
              <w:rPr>
                <w:rFonts w:cs="Calibri"/>
              </w:rPr>
            </w:pPr>
            <w:r w:rsidRPr="00DD47DF">
              <w:rPr>
                <w:rFonts w:cs="Calibri"/>
              </w:rPr>
              <w:t>23 430</w:t>
            </w:r>
          </w:p>
        </w:tc>
        <w:tc>
          <w:tcPr>
            <w:tcW w:w="761" w:type="pct"/>
            <w:tcBorders>
              <w:top w:val="single" w:sz="4" w:space="0" w:color="000000"/>
              <w:left w:val="single" w:sz="4" w:space="0" w:color="000000"/>
              <w:bottom w:val="single" w:sz="4" w:space="0" w:color="000000"/>
              <w:right w:val="single" w:sz="4" w:space="0" w:color="000000"/>
            </w:tcBorders>
            <w:vAlign w:val="center"/>
          </w:tcPr>
          <w:p w14:paraId="3441FA94" w14:textId="77777777" w:rsidR="004C3774" w:rsidRPr="00DD47DF" w:rsidRDefault="00D40CB8" w:rsidP="00F90D67">
            <w:pPr>
              <w:pStyle w:val="Tabulka"/>
              <w:rPr>
                <w:rFonts w:cs="Calibri"/>
              </w:rPr>
            </w:pPr>
            <w:r>
              <w:rPr>
                <w:rFonts w:cs="Calibri"/>
              </w:rPr>
              <w:t>ŘO</w:t>
            </w:r>
          </w:p>
        </w:tc>
        <w:tc>
          <w:tcPr>
            <w:tcW w:w="561" w:type="pct"/>
            <w:tcBorders>
              <w:top w:val="single" w:sz="4" w:space="0" w:color="000000"/>
              <w:left w:val="single" w:sz="4" w:space="0" w:color="000000"/>
              <w:bottom w:val="single" w:sz="4" w:space="0" w:color="000000"/>
              <w:right w:val="single" w:sz="4" w:space="0" w:color="000000"/>
            </w:tcBorders>
            <w:vAlign w:val="center"/>
          </w:tcPr>
          <w:p w14:paraId="6236D811" w14:textId="77777777" w:rsidR="004C3774" w:rsidRPr="00DD47DF" w:rsidRDefault="00274100" w:rsidP="00F90D67">
            <w:pPr>
              <w:pStyle w:val="Tabulka"/>
              <w:rPr>
                <w:rFonts w:cs="Calibri"/>
              </w:rPr>
            </w:pPr>
            <w:r w:rsidRPr="00DD47DF">
              <w:rPr>
                <w:rFonts w:cs="Calibri"/>
              </w:rPr>
              <w:t>ročně</w:t>
            </w:r>
          </w:p>
        </w:tc>
      </w:tr>
    </w:tbl>
    <w:p w14:paraId="7E8E5BC6" w14:textId="77777777" w:rsidR="004C3774" w:rsidRPr="00DD47DF" w:rsidRDefault="004C3774" w:rsidP="00DA3512">
      <w:pPr>
        <w:pStyle w:val="kapitola2A0"/>
        <w:numPr>
          <w:ilvl w:val="2"/>
          <w:numId w:val="70"/>
        </w:numPr>
      </w:pPr>
      <w:bookmarkStart w:id="82" w:name="_Toc506885027"/>
      <w:r w:rsidRPr="00DD47DF">
        <w:t>Opatření, jež má být podpořeno v rámci investiční priority</w:t>
      </w:r>
      <w:bookmarkEnd w:id="82"/>
    </w:p>
    <w:p w14:paraId="3663B789" w14:textId="77777777" w:rsidR="004C3774" w:rsidRPr="00DD47DF" w:rsidRDefault="004C3774" w:rsidP="00DA3512">
      <w:pPr>
        <w:pStyle w:val="Nadpis5"/>
        <w:numPr>
          <w:ilvl w:val="4"/>
          <w:numId w:val="71"/>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2A84DF4F" w14:textId="77777777" w:rsidR="004C3774" w:rsidRPr="00DD47DF" w:rsidRDefault="000A2EB4" w:rsidP="00F90D67">
      <w:pPr>
        <w:pStyle w:val="Standardntext"/>
        <w:keepNext/>
        <w:keepLines/>
        <w:rPr>
          <w:b/>
        </w:rPr>
      </w:pPr>
      <w:r w:rsidRPr="00DD47DF">
        <w:rPr>
          <w:b/>
        </w:rPr>
        <w:t>Aktivity pro tento specifický cíl:</w:t>
      </w:r>
    </w:p>
    <w:p w14:paraId="467799B0" w14:textId="77777777" w:rsidR="00896EDF" w:rsidRPr="00DD47DF" w:rsidRDefault="004C3774" w:rsidP="00FB3387">
      <w:pPr>
        <w:pStyle w:val="Standardntext"/>
        <w:keepNext/>
        <w:keepLines/>
        <w:numPr>
          <w:ilvl w:val="0"/>
          <w:numId w:val="41"/>
        </w:numPr>
      </w:pPr>
      <w:r w:rsidRPr="00DD47DF">
        <w:t>Výstavba, posílení, modernizace a rekonstrukce vedení přenosové soustavy a transformoven</w:t>
      </w:r>
      <w:r w:rsidR="00B24119" w:rsidRPr="00DD47DF">
        <w:t xml:space="preserve"> </w:t>
      </w:r>
      <w:r w:rsidR="004E6583" w:rsidRPr="00DD47DF">
        <w:t>(v souladu s konceptem chytrých sítí</w:t>
      </w:r>
      <w:r w:rsidR="00DE2376" w:rsidRPr="00DD47DF">
        <w:t>).</w:t>
      </w:r>
    </w:p>
    <w:p w14:paraId="754FD36B" w14:textId="77777777" w:rsidR="005F7F3F" w:rsidRPr="00DD47DF" w:rsidRDefault="005F7F3F" w:rsidP="00896EDF">
      <w:pPr>
        <w:pStyle w:val="Standardntext"/>
      </w:pPr>
      <w:r w:rsidRPr="00DD47DF">
        <w:t>Přenosová soustava jako celek je tvořena soustavou jednotlivých prvků zejména rozvoden, vedení a transformátorů, které byly budovány a vzájemně propojovány postupně tak, jak v průběhu vývoje vyžadovaly potřeby hospodářství ČR. Jednotlivé prvky přenosové soustavy tak vznikaly v různých etapách její výstavby a mnohdy s velkým časovým odstupem. Tyto prvky byly proto navrhovány a realizovány s odlišnými technickými parametry, které odpovídaly technickým možnostem a potřebám období jejich výstavby. Bezpečný a spolehlivý provoz, který je hlavním požadavkem kladeným na přenosovou soustavu, lze přitom zajistit pouze v případě bezpečného a spolehlivého provozu každého prvku přenosové soustavy. Základní podmínkou dlouhodobě stabilního provozu přenosové soustavy je vedle jejího plánovitého rozvoje i modernizace a rekonstrukce stávajících prvků soustavy, a to tak, aby všechny tyto prvky splňovaly stanovené technické a spolehlivostní požadavky s ohledem na inovativní postupy a umožnění plné integrace do konceptu smart řízení celé elektrizační soustavy přispívající k efektivnímu využití infrastruktury.</w:t>
      </w:r>
      <w:r w:rsidR="003D4D3F" w:rsidRPr="00DD47DF">
        <w:t xml:space="preserve"> </w:t>
      </w:r>
      <w:r w:rsidRPr="00DD47DF">
        <w:t xml:space="preserve">Aktivity zaměřené na rozvoj a modernizaci přenosové soustavy jsou proto směrovány zejména do </w:t>
      </w:r>
      <w:r w:rsidR="003D4D3F" w:rsidRPr="00DD47DF">
        <w:t>následujících</w:t>
      </w:r>
      <w:r w:rsidRPr="00DD47DF">
        <w:t xml:space="preserve"> typových projektů.</w:t>
      </w:r>
    </w:p>
    <w:p w14:paraId="126EB1F3" w14:textId="77777777" w:rsidR="005F7F3F" w:rsidRPr="00DD47DF" w:rsidRDefault="003D4D3F" w:rsidP="005F7F3F">
      <w:pPr>
        <w:pStyle w:val="Standardntext"/>
      </w:pPr>
      <w:r w:rsidRPr="00DD47DF">
        <w:t>Prvním typovým projektem je v</w:t>
      </w:r>
      <w:r w:rsidR="005F7F3F" w:rsidRPr="00DD47DF">
        <w:t>ýstavba nových linek a posilování přenosové schopnosti linek stávajících. U vybraných páteřních linek je plánováno jejich zdvojení, které výrazným způsobem zvyšuje přenosovou kapacitu linky při minimalizaci nároků na zábor pozemků a zatížení životního prostředí. Součástí procesu posilování přenosové schopnosti linek je i jejich modernizace zaměřená na plnění zvýšených požadavkům bezpečnosti provozu a nově stanovených ekologických požadavků (např. limitní hodnoty elektromagnetického pole) a to za účelem dosažení dostatečné kapacity pro přenos elektrické energie mezi výrobci a spotřebiteli.</w:t>
      </w:r>
      <w:r w:rsidRPr="00DD47DF">
        <w:t xml:space="preserve"> </w:t>
      </w:r>
      <w:r w:rsidR="005F7F3F" w:rsidRPr="00DD47DF">
        <w:t>Výstupem projektu bude nové nebo posílené vedení, které se promítá do výsledků ve formě zvýšené kapacity (bezpečnost, odolnost a spolehlivost provozu).</w:t>
      </w:r>
      <w:r w:rsidR="00EC77DC" w:rsidRPr="00DD47DF">
        <w:t xml:space="preserve"> </w:t>
      </w:r>
      <w:r w:rsidR="007C2897" w:rsidRPr="00DD47DF">
        <w:t>Výsledky pokrývají celou podporovatelnou oblast, tzn. všechny regiony České republiky mimo Prahu</w:t>
      </w:r>
      <w:r w:rsidR="00EC77DC" w:rsidRPr="00DD47DF">
        <w:t>.</w:t>
      </w:r>
    </w:p>
    <w:p w14:paraId="3BAD7757" w14:textId="77777777" w:rsidR="005F7F3F" w:rsidRPr="00DD47DF" w:rsidRDefault="003D4D3F" w:rsidP="005F7F3F">
      <w:pPr>
        <w:pStyle w:val="Standardntext"/>
      </w:pPr>
      <w:r w:rsidRPr="00DD47DF">
        <w:t>Dalším typovým projektem je v</w:t>
      </w:r>
      <w:r w:rsidR="005F7F3F" w:rsidRPr="00DD47DF">
        <w:t xml:space="preserve">ýstavba a modernizace rozvoden. Nedílnou součástí rozvoje přenosové soustavy je </w:t>
      </w:r>
      <w:r w:rsidRPr="00DD47DF">
        <w:t xml:space="preserve">totiž </w:t>
      </w:r>
      <w:r w:rsidR="005F7F3F" w:rsidRPr="00DD47DF">
        <w:t>výstavba nových rozvoden s navazující transformací na napěťovou úroveň 110 kV v místech s výrazným nárůstem spotřeby. Vedle výstavby nových rozvoden je realizován i proces modernizace rozvoden, který se především zaměřuje na zajištění dostatečné přenosové schopnosti ve všech uzlech soustavy a na zlepšení i dalších technických parametrů rozvoden tak, aby byl zajištěn spolehlivý provoz přenosové soustavy i v m</w:t>
      </w:r>
      <w:r w:rsidRPr="00DD47DF">
        <w:t xml:space="preserve">imořádných provozních režimech. </w:t>
      </w:r>
      <w:r w:rsidR="005F7F3F" w:rsidRPr="00DD47DF">
        <w:t>Výstupem projektu bude nová či modernizovaná transformovna, která se promítá do výsledků ve formě zvýšené kapacity (bezpečnost, odolnost a spolehlivost provozu).</w:t>
      </w:r>
    </w:p>
    <w:p w14:paraId="08C82A10" w14:textId="77777777" w:rsidR="005F7F3F" w:rsidRPr="00DD47DF" w:rsidRDefault="003D4D3F" w:rsidP="005F7F3F">
      <w:pPr>
        <w:pStyle w:val="Standardntext"/>
      </w:pPr>
      <w:r w:rsidRPr="00DD47DF">
        <w:lastRenderedPageBreak/>
        <w:t>Mezi typové projekty patří také z</w:t>
      </w:r>
      <w:r w:rsidR="005F7F3F" w:rsidRPr="00DD47DF">
        <w:t>ajištění dostatečného transformačního výkonu z přenosové soustavy do všech částí distribuční soustavy. Tento požadavek je řešen instalací nových transformátorů v oblastech s nárůstem spotřeby a dále plánovanou výměnou stávajících transformátorů za nové stroje většího výkonu. Postupná výměna transformátorů je plánována především s ohledem na požadovaný přenášený výkon a spolehlivost provozu jednotlivých transformátorů, která je ovlivněna stářím stroje. V rámci výměny transformátorů je řešena i ekologizace jejich provozu, která se zaměřuje na snižování hladiny hluku v okolí strojů a bezpečnost olejového hospodářství.</w:t>
      </w:r>
      <w:r w:rsidRPr="00DD47DF">
        <w:t xml:space="preserve"> </w:t>
      </w:r>
      <w:r w:rsidR="005F7F3F" w:rsidRPr="00DD47DF">
        <w:t>Výstupem projektu bude nová či modernizovaná transformovna, která se promítá do výsledků ve formě zvýšené kapacity (bezpečnost, odolnost a spolehlivost provozu).</w:t>
      </w:r>
    </w:p>
    <w:p w14:paraId="0202590B" w14:textId="77777777" w:rsidR="005F7F3F" w:rsidRPr="00DD47DF" w:rsidRDefault="003D4D3F" w:rsidP="005F7F3F">
      <w:pPr>
        <w:pStyle w:val="Standardntext"/>
      </w:pPr>
      <w:r w:rsidRPr="00DD47DF">
        <w:t>Dalším typovým projektem je m</w:t>
      </w:r>
      <w:r w:rsidR="005F7F3F" w:rsidRPr="00DD47DF">
        <w:t>odernizace řídicích a komunikačních systém</w:t>
      </w:r>
      <w:r w:rsidRPr="00DD47DF">
        <w:t>ů</w:t>
      </w:r>
      <w:r w:rsidR="005F7F3F" w:rsidRPr="00DD47DF">
        <w:t xml:space="preserve">. Modernizovány </w:t>
      </w:r>
      <w:r w:rsidRPr="00DD47DF">
        <w:t>budou</w:t>
      </w:r>
      <w:r w:rsidR="005F7F3F" w:rsidRPr="00DD47DF">
        <w:t xml:space="preserve"> řídicí systémy v jednotlivých uzlech soustavy, ale i dispečerské řídicí systémy. Tento proces zajistí zlepšení provozu přenosové soustavy </w:t>
      </w:r>
      <w:r w:rsidR="00127389" w:rsidRPr="00DD47DF">
        <w:t xml:space="preserve">s </w:t>
      </w:r>
      <w:r w:rsidR="005F7F3F" w:rsidRPr="00DD47DF">
        <w:t>ohledem na jeho bezpečnost a spolehlivost, umožní ve větší míře zohlednit i ekonomické faktory provozu přenosové soustavy a postupně vytvoří podmínky pro zavádění prvků smart grid do řízení přenosové soustavy.</w:t>
      </w:r>
      <w:r w:rsidRPr="00DD47DF">
        <w:t xml:space="preserve"> </w:t>
      </w:r>
      <w:r w:rsidR="005F7F3F" w:rsidRPr="00DD47DF">
        <w:t>Výstupem projektu bude nová či modernizovaná transformovna, která se promítá do výsledků ve formě zvýšené kapacity (bezpečnost, odolnost a spolehlivost provozu).</w:t>
      </w:r>
    </w:p>
    <w:p w14:paraId="2F1EBB70" w14:textId="77777777" w:rsidR="00121309" w:rsidRPr="00DD47DF" w:rsidRDefault="00121309" w:rsidP="00121309">
      <w:pPr>
        <w:pStyle w:val="Standardntext"/>
      </w:pPr>
      <w:r w:rsidRPr="00DD47DF">
        <w:t>Rozvoj přenosové soustavy je obecně prováděn na základě principů inteligentních sítí. Obnova prvků přenosové soustavy nebo výstavba nových je vždy v souladu s nejlepší praxí. Na základě pokroku a vývoje je třeba udržovat soustavu na technologicky co možná nejvyšší úrovni, navíc rozvoj a obnova sítí velmi vysokého napětí musí neustále udržovat stejné tempo jako zbytek elektrizační soustavy, která musí být chápána jako celek. Právě všechny prvky elektrizační soustavy, jak na straně přenosu, tak distribuce, musí být kvalitativně vyváženy. Nelze proto striktně oddělovat smart pouze pro distribuční systémy a zcela opomíjet pokrok páteřní sítě na vysokých napěťových hladinách. Rozvoj inteligentních systémů pro distribuci je plně svázán s rozvojem přenosové soustavy právě z těchto důvodů.</w:t>
      </w:r>
    </w:p>
    <w:p w14:paraId="49097342" w14:textId="77777777" w:rsidR="009D3B07" w:rsidRPr="00DD47DF" w:rsidRDefault="009D3B07" w:rsidP="009D3B07">
      <w:pPr>
        <w:pStyle w:val="Standardntext"/>
      </w:pPr>
      <w:r w:rsidRPr="00DD47DF">
        <w:t>Aktivity budou v souladu s následující definici „smart grid“:</w:t>
      </w:r>
    </w:p>
    <w:p w14:paraId="0A9784F8" w14:textId="77777777" w:rsidR="009D3B07" w:rsidRPr="00DD47DF" w:rsidRDefault="00463683" w:rsidP="009D3B07">
      <w:pPr>
        <w:pStyle w:val="Standardntext"/>
      </w:pPr>
      <w:r w:rsidRPr="00DD47DF">
        <w:t>Inteligentní sítí se rozumí elektrická síť, která může nákladově efektivně zohlednit chování a akce všech uživatelů na ni napojených, včetně výrobců, spotřebitelů a těch, kteří elektřinu vyrábějí i spotřebovávají, k zajištění ekonomicky efektivní udržitelné elektrické soustavy s malými ztrátami a vysokou úrovní jakosti a bezpečnosti dodávek a zabezpečení.</w:t>
      </w:r>
    </w:p>
    <w:p w14:paraId="71D4D756" w14:textId="77777777" w:rsidR="00121309" w:rsidRPr="00DD47DF" w:rsidRDefault="00121309" w:rsidP="00121309">
      <w:pPr>
        <w:pStyle w:val="Standardntext"/>
      </w:pPr>
      <w:r w:rsidRPr="00DD47DF">
        <w:t xml:space="preserve">Elektrizační soustavu, a to jak přenosovou, tak distribuční část, je třeba rozvíjet v návaznosti na změny ve zdrojové základně, které jsou charakteristické rychlým rozvojem decentrálních a intermitentních zdrojů. Rozvoj zdrojové základny je podmíněn výstavbou nových vedení, zajišťujících spolehlivé vyvedení výkonů. Bez rozvoje a modernizace elektrizační soustavy nelze v budoucnu dostatečně uspokojit požadavky rozvíjejících se regionů a jednotného evropského trhu s elektřinou. </w:t>
      </w:r>
    </w:p>
    <w:p w14:paraId="0D55F5C2" w14:textId="77777777" w:rsidR="00121309" w:rsidRPr="00DD47DF" w:rsidRDefault="00121309" w:rsidP="00121309">
      <w:pPr>
        <w:pStyle w:val="Standardntext"/>
      </w:pPr>
      <w:r w:rsidRPr="00DD47DF">
        <w:t>Pro integraci trhu je nutné posílit vnitřní i přeshraniční kapacity přenosových vedení elektrické energie. Kvalitní napojení energetických sítí na evropské struktury je významné z hlediska energetické bezpečnosti a zajištění stálosti dodávek při exportu i importu energie. Je očekávána integrace nových inteligentních technologií jako jsou dálkově ovládané prvky, technologické prvky řízení napětí i činného výkonu, prvky dálkového řízení spotřeby a inteligentního měření, které slouží jako regulační prvek v tzv. inteligentních sítích nebo zařízení pro akumulaci elektrické energie.</w:t>
      </w:r>
    </w:p>
    <w:p w14:paraId="35C1BC2A" w14:textId="77777777" w:rsidR="00121309" w:rsidRPr="00DD47DF" w:rsidRDefault="00121309" w:rsidP="00121309">
      <w:pPr>
        <w:pStyle w:val="Standardntext"/>
      </w:pPr>
      <w:r w:rsidRPr="00DD47DF">
        <w:lastRenderedPageBreak/>
        <w:t>Bližší specifikace typových projektů je uvedena v Nepovinné příloze č. 5. Nejedná se o taxativní výčet, ale o popis typových příkladů.</w:t>
      </w:r>
    </w:p>
    <w:p w14:paraId="645C62EF" w14:textId="77777777" w:rsidR="004C3774" w:rsidRPr="00DD47DF" w:rsidRDefault="004C3774" w:rsidP="004C3774">
      <w:pPr>
        <w:pStyle w:val="Standardntext"/>
      </w:pPr>
      <w:r w:rsidRPr="00DD47DF">
        <w:rPr>
          <w:b/>
        </w:rPr>
        <w:t xml:space="preserve">Hlavní cílová skupina: </w:t>
      </w:r>
      <w:r w:rsidR="00127389" w:rsidRPr="00DD47DF">
        <w:t>P</w:t>
      </w:r>
      <w:r w:rsidR="00773FB8" w:rsidRPr="00DD47DF">
        <w:t>rovozovatel přenosové soustavy, který se hodlá soustředit na modernizaci a rozvoj přenosové soustavy.</w:t>
      </w:r>
    </w:p>
    <w:p w14:paraId="474C5632" w14:textId="77777777" w:rsidR="004C3774" w:rsidRPr="00DD47DF" w:rsidRDefault="004C3774" w:rsidP="004C3774">
      <w:pPr>
        <w:pStyle w:val="Standardntext"/>
      </w:pPr>
      <w:r w:rsidRPr="00DD47DF">
        <w:rPr>
          <w:b/>
        </w:rPr>
        <w:t>Cílové území:</w:t>
      </w:r>
      <w:r w:rsidRPr="00DD47DF">
        <w:t xml:space="preserve"> </w:t>
      </w:r>
      <w:r w:rsidR="001E0AA2" w:rsidRPr="00DD47DF">
        <w:t>Území České republiky, mimo území hl. m. Prahy.</w:t>
      </w:r>
      <w:r w:rsidRPr="00DD47DF">
        <w:t xml:space="preserve"> </w:t>
      </w:r>
      <w:r w:rsidR="00A46CD6" w:rsidRPr="00DD47DF">
        <w:t>Předpokládá se plošné směrování intervencí bez vymezení územní dimenze</w:t>
      </w:r>
      <w:r w:rsidRPr="00DD47DF">
        <w:t>.</w:t>
      </w:r>
    </w:p>
    <w:p w14:paraId="5693A12B" w14:textId="77777777" w:rsidR="004C3774" w:rsidRPr="00DD47DF" w:rsidRDefault="004C3774" w:rsidP="004C3774">
      <w:pPr>
        <w:pStyle w:val="Standardntext"/>
        <w:rPr>
          <w:b/>
        </w:rPr>
      </w:pPr>
      <w:r w:rsidRPr="00DD47DF">
        <w:rPr>
          <w:b/>
        </w:rPr>
        <w:t xml:space="preserve">Typy příjemců: </w:t>
      </w:r>
      <w:r w:rsidR="00773FB8" w:rsidRPr="00DD47DF">
        <w:t>Podnikatelsk</w:t>
      </w:r>
      <w:r w:rsidR="00FA6AB3" w:rsidRPr="00DD47DF">
        <w:t xml:space="preserve">ý </w:t>
      </w:r>
      <w:r w:rsidR="00773FB8" w:rsidRPr="00DD47DF">
        <w:t>subjekt (</w:t>
      </w:r>
      <w:r w:rsidR="00FA6AB3" w:rsidRPr="00DD47DF">
        <w:t xml:space="preserve">provozovatel přenosové soustavy). </w:t>
      </w:r>
      <w:r w:rsidR="003D4D3F" w:rsidRPr="00DD47DF">
        <w:t>Provozovatel přenosových sítí j</w:t>
      </w:r>
      <w:r w:rsidR="00FA6AB3" w:rsidRPr="00DD47DF">
        <w:t xml:space="preserve">e </w:t>
      </w:r>
      <w:r w:rsidR="003D4D3F" w:rsidRPr="00DD47DF">
        <w:t>z principu velk</w:t>
      </w:r>
      <w:r w:rsidR="00FA6AB3" w:rsidRPr="00DD47DF">
        <w:t xml:space="preserve">ý </w:t>
      </w:r>
      <w:r w:rsidR="003D4D3F" w:rsidRPr="00DD47DF">
        <w:t xml:space="preserve">podnik. Intervence v této oblasti tedy nelze realizovat v segmentu malých a středních firem. Přenosová soustava (páteřní část celé elektrizační soustavy) provozovaná na napěťových hladinách 400 a 220 kV zajišťuje přenos elektřiny po celém území České republiky a napájí elektřinou distribuční soustavy, které ji dále rozvádějí až ke konečným spotřebitelům. Do přenosové soustavy je připojena více </w:t>
      </w:r>
      <w:r w:rsidR="00D23729" w:rsidRPr="00DD47DF">
        <w:t>než</w:t>
      </w:r>
      <w:r w:rsidR="003D4D3F" w:rsidRPr="00DD47DF">
        <w:t xml:space="preserve"> polovina instalovaného výkonu elektráren ČR.</w:t>
      </w:r>
    </w:p>
    <w:p w14:paraId="789AC2C3" w14:textId="77777777" w:rsidR="004C3774" w:rsidRPr="00DD47DF" w:rsidRDefault="004C3774" w:rsidP="00DA3512">
      <w:pPr>
        <w:pStyle w:val="Nadpis5"/>
        <w:numPr>
          <w:ilvl w:val="4"/>
          <w:numId w:val="71"/>
        </w:numPr>
      </w:pPr>
      <w:r w:rsidRPr="00DD47DF">
        <w:t>Hlavní zásady pro výběr operací</w:t>
      </w:r>
    </w:p>
    <w:p w14:paraId="642EB25E"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6E7D9FFB" w14:textId="77777777" w:rsidR="00C0640C" w:rsidRPr="00DD47DF" w:rsidRDefault="00C0640C" w:rsidP="00C0640C">
      <w:pPr>
        <w:pStyle w:val="Standardntext"/>
      </w:pPr>
      <w:r w:rsidRPr="00DD47DF">
        <w:t>V rámci výběru a hodnocení projektů budou posuzována především následující kritéria:</w:t>
      </w:r>
    </w:p>
    <w:p w14:paraId="646F463C" w14:textId="77777777" w:rsidR="00C0640C" w:rsidRPr="00DD47DF" w:rsidRDefault="00C0640C" w:rsidP="00FB3387">
      <w:pPr>
        <w:pStyle w:val="Standardntext"/>
        <w:numPr>
          <w:ilvl w:val="0"/>
          <w:numId w:val="43"/>
        </w:numPr>
      </w:pPr>
      <w:r w:rsidRPr="00DD47DF">
        <w:t xml:space="preserve">Kvalita a potřebnost projektu </w:t>
      </w:r>
      <w:r w:rsidR="00DC4382" w:rsidRPr="00DD47DF">
        <w:t>s ohledem na jeho přínosy k energetické bezpečnosti</w:t>
      </w:r>
      <w:r w:rsidRPr="00DD47DF">
        <w:t>.</w:t>
      </w:r>
    </w:p>
    <w:p w14:paraId="1BE654EC" w14:textId="77777777" w:rsidR="00C0640C" w:rsidRPr="00DD47DF" w:rsidRDefault="00C0640C" w:rsidP="00FB3387">
      <w:pPr>
        <w:pStyle w:val="Standardntext"/>
        <w:numPr>
          <w:ilvl w:val="0"/>
          <w:numId w:val="43"/>
        </w:numPr>
      </w:pPr>
      <w:r w:rsidRPr="00DD47DF">
        <w:t>Soulad projektu s horizontálními principy, mezi něž patří udržitelný rozvoj, rovné příležitosti a ochrana před diskriminací. Projekt, který bude v rozporu s</w:t>
      </w:r>
      <w:r w:rsidR="00233E65" w:rsidRPr="00DD47DF">
        <w:t> </w:t>
      </w:r>
      <w:r w:rsidRPr="00DD47DF">
        <w:t>tě</w:t>
      </w:r>
      <w:r w:rsidR="00233E65" w:rsidRPr="00DD47DF">
        <w:t xml:space="preserve"> </w:t>
      </w:r>
      <w:r w:rsidRPr="00DD47DF">
        <w:t xml:space="preserve">mito principy, nebude v rámci OP PIK podpořen (blíže viz oddíl 11). </w:t>
      </w:r>
    </w:p>
    <w:p w14:paraId="6E54B580" w14:textId="77777777" w:rsidR="00A92A82" w:rsidRPr="00DD47DF" w:rsidRDefault="008701FE" w:rsidP="00FB3387">
      <w:pPr>
        <w:pStyle w:val="Standardntext"/>
        <w:numPr>
          <w:ilvl w:val="0"/>
          <w:numId w:val="43"/>
        </w:numPr>
      </w:pPr>
      <w:r w:rsidRPr="00DD47DF">
        <w:t>Prioritně budou podpořeny projekty společného zájmu (PCI). V případě, že projekt PCI nezíská podporu z ESIF  bude zachována možnost podpory z CEF.</w:t>
      </w:r>
    </w:p>
    <w:p w14:paraId="42C3F28D" w14:textId="77777777" w:rsidR="00192F36" w:rsidRPr="00DD47DF" w:rsidRDefault="00192F36" w:rsidP="00FB3387">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723CD938" w14:textId="77777777" w:rsidR="004C3774" w:rsidRPr="00DD47DF" w:rsidRDefault="004C3774" w:rsidP="00DA3512">
      <w:pPr>
        <w:pStyle w:val="Nadpis5"/>
        <w:numPr>
          <w:ilvl w:val="4"/>
          <w:numId w:val="71"/>
        </w:numPr>
        <w:rPr>
          <w:rFonts w:cs="Calibri"/>
        </w:rPr>
      </w:pPr>
      <w:r w:rsidRPr="00DD47DF">
        <w:t>Plánované využití finančních nástrojů (použije-li se)</w:t>
      </w:r>
    </w:p>
    <w:p w14:paraId="23663CEB" w14:textId="77777777" w:rsidR="004C3774" w:rsidRPr="00DD47DF" w:rsidRDefault="000373F5" w:rsidP="004C3774">
      <w:pPr>
        <w:pStyle w:val="Standardntext"/>
      </w:pPr>
      <w:r w:rsidRPr="00DD47DF">
        <w:t xml:space="preserve">Řídící orgán nepředpokládá využití finančních nástrojů v této investiční prioritě. </w:t>
      </w:r>
      <w:r w:rsidR="006F58B4" w:rsidRPr="00DD47DF">
        <w:t>Detaily</w:t>
      </w:r>
      <w:r w:rsidRPr="00DD47DF">
        <w:t xml:space="preserve"> stanoví konečná verze předběžného posouzení finančních nástrojů OP PIK dle čl. 37 odst. 2 obecného nařízení, které provede ŘO OP PIK, případně jeho revize podle čl. 37 odst. 2 písm. g) obecného nařízení.</w:t>
      </w:r>
    </w:p>
    <w:p w14:paraId="243BDBB7" w14:textId="77777777" w:rsidR="004C3774" w:rsidRPr="00DD47DF" w:rsidRDefault="004C3774" w:rsidP="00DA3512">
      <w:pPr>
        <w:pStyle w:val="Nadpis5"/>
        <w:numPr>
          <w:ilvl w:val="4"/>
          <w:numId w:val="71"/>
        </w:numPr>
      </w:pPr>
      <w:r w:rsidRPr="00DD47DF">
        <w:t>Plánované využití velkých projektů (použije-li se)</w:t>
      </w:r>
    </w:p>
    <w:p w14:paraId="76EFD475" w14:textId="2E5589B5" w:rsidR="004C3774" w:rsidRPr="00DD47DF" w:rsidRDefault="00F64F0D" w:rsidP="009F1962">
      <w:pPr>
        <w:pStyle w:val="Standardntext"/>
      </w:pPr>
      <w:r w:rsidRPr="00F64F0D">
        <w:t xml:space="preserve">Velké projekty ve smyslu čl. 100 obecného nařízení jsou plánovány. OP PPIK bude realizován také prostřednictvím tzv. velkých projektů, jejichž celkové způsobilé náklady budou vyšší než 75 mil. EUR. Velké projekty budou do financování v rámci OP PIK zařazeny na základě Plánu rozvoje přenosové soustavy České republiky zpracovaného na základě § 24 odst. 10 písm. j), </w:t>
      </w:r>
      <w:r w:rsidRPr="00F64F0D">
        <w:lastRenderedPageBreak/>
        <w:t>zákona č. 458/2000 Sb., o podmínkách podnikání a o výkonu státní správy v energetických odvětvích („energetický zákon“).</w:t>
      </w:r>
    </w:p>
    <w:p w14:paraId="69B67999" w14:textId="77777777" w:rsidR="004C3774" w:rsidRPr="00DD47DF" w:rsidRDefault="004C3774" w:rsidP="00DA3512">
      <w:pPr>
        <w:pStyle w:val="Nadpis5"/>
        <w:numPr>
          <w:ilvl w:val="4"/>
          <w:numId w:val="71"/>
        </w:numPr>
      </w:pPr>
      <w:r w:rsidRPr="00DD47DF">
        <w:t>Ukazatele výstupů podle investiční priority a případně podle kategorie regionů</w:t>
      </w:r>
    </w:p>
    <w:p w14:paraId="1863CE68" w14:textId="77777777" w:rsidR="004C3774" w:rsidRPr="00DD47DF" w:rsidRDefault="004C3774" w:rsidP="00DE2376">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Společné a programově specifické ukazatele výstupů</w:t>
      </w:r>
    </w:p>
    <w:tbl>
      <w:tblPr>
        <w:tblW w:w="0" w:type="auto"/>
        <w:tblCellMar>
          <w:left w:w="57" w:type="dxa"/>
          <w:right w:w="57" w:type="dxa"/>
        </w:tblCellMar>
        <w:tblLook w:val="01E0" w:firstRow="1" w:lastRow="1" w:firstColumn="1" w:lastColumn="1" w:noHBand="0" w:noVBand="0"/>
      </w:tblPr>
      <w:tblGrid>
        <w:gridCol w:w="664"/>
        <w:gridCol w:w="2528"/>
        <w:gridCol w:w="1073"/>
        <w:gridCol w:w="665"/>
        <w:gridCol w:w="1261"/>
        <w:gridCol w:w="1125"/>
        <w:gridCol w:w="776"/>
        <w:gridCol w:w="1234"/>
      </w:tblGrid>
      <w:tr w:rsidR="004C3774" w:rsidRPr="00DD47DF" w14:paraId="62652782" w14:textId="77777777">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7F22DDE" w14:textId="77777777" w:rsidR="004C3774" w:rsidRPr="00DD47DF" w:rsidRDefault="004C3774" w:rsidP="00DE2376">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0D67F6E" w14:textId="77777777" w:rsidR="004C3774" w:rsidRPr="00DD47DF" w:rsidRDefault="004C3774" w:rsidP="00DE2376">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FE37A60" w14:textId="77777777" w:rsidR="004C3774" w:rsidRPr="00DD47DF" w:rsidRDefault="004C3774" w:rsidP="00DE2376">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4DA7F6E" w14:textId="77777777" w:rsidR="004C3774" w:rsidRPr="00DD47DF" w:rsidRDefault="004C3774" w:rsidP="00DE2376">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D576E8A" w14:textId="77777777" w:rsidR="004C3774" w:rsidRPr="00DD47DF" w:rsidRDefault="004C3774" w:rsidP="00DE2376">
            <w:pPr>
              <w:pStyle w:val="Tabulka"/>
              <w:keepNext/>
              <w:keepLines/>
              <w:rPr>
                <w:rFonts w:cs="Calibri"/>
                <w:b/>
              </w:rPr>
            </w:pPr>
            <w:r w:rsidRPr="00DD47DF">
              <w:rPr>
                <w:rFonts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E3853DC" w14:textId="77777777" w:rsidR="004C3774" w:rsidRPr="00DD47DF" w:rsidRDefault="004C3774" w:rsidP="00DE2376">
            <w:pPr>
              <w:pStyle w:val="Tabulka"/>
              <w:keepNext/>
              <w:keepLines/>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1F613D0" w14:textId="77777777" w:rsidR="004C3774" w:rsidRPr="00DD47DF" w:rsidRDefault="004C3774" w:rsidP="00DE2376">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862D3D3" w14:textId="77777777" w:rsidR="004C3774" w:rsidRPr="00DD47DF" w:rsidRDefault="004C3774" w:rsidP="00DE2376">
            <w:pPr>
              <w:pStyle w:val="Tabulka"/>
              <w:keepNext/>
              <w:keepLines/>
              <w:rPr>
                <w:rFonts w:cs="Calibri"/>
                <w:b/>
              </w:rPr>
            </w:pPr>
            <w:r w:rsidRPr="00DD47DF">
              <w:rPr>
                <w:rFonts w:cs="Calibri"/>
                <w:b/>
              </w:rPr>
              <w:t>Četnost podávání zpráv</w:t>
            </w:r>
          </w:p>
        </w:tc>
      </w:tr>
      <w:tr w:rsidR="00502BCE" w:rsidRPr="00DD47DF" w14:paraId="7F674FBD"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DA99F9C" w14:textId="77777777" w:rsidR="00502BCE" w:rsidRPr="00DD47DF" w:rsidRDefault="00502BCE" w:rsidP="00957169">
            <w:pPr>
              <w:pStyle w:val="Tabulka"/>
              <w:rPr>
                <w:rFonts w:cs="Calibri"/>
              </w:rPr>
            </w:pPr>
            <w:r w:rsidRPr="00DD47DF">
              <w:rPr>
                <w:rFonts w:cs="Calibri"/>
              </w:rPr>
              <w:t>33500</w:t>
            </w:r>
          </w:p>
        </w:tc>
        <w:tc>
          <w:tcPr>
            <w:tcW w:w="0" w:type="auto"/>
            <w:tcBorders>
              <w:top w:val="single" w:sz="4" w:space="0" w:color="000000"/>
              <w:left w:val="single" w:sz="4" w:space="0" w:color="000000"/>
              <w:bottom w:val="single" w:sz="4" w:space="0" w:color="000000"/>
              <w:right w:val="single" w:sz="4" w:space="0" w:color="000000"/>
            </w:tcBorders>
            <w:vAlign w:val="center"/>
          </w:tcPr>
          <w:p w14:paraId="4F5D0767" w14:textId="77777777" w:rsidR="00502BCE" w:rsidRPr="00DD47DF" w:rsidRDefault="00502BCE" w:rsidP="0073569C">
            <w:pPr>
              <w:pStyle w:val="Tabulka"/>
              <w:jc w:val="left"/>
              <w:rPr>
                <w:rFonts w:cs="Calibri"/>
              </w:rPr>
            </w:pPr>
            <w:r w:rsidRPr="00DD47DF">
              <w:rPr>
                <w:rFonts w:cs="Calibri"/>
              </w:rPr>
              <w:t>Počet rekonstruovaných</w:t>
            </w:r>
            <w:r w:rsidR="0073569C" w:rsidRPr="00DD47DF">
              <w:rPr>
                <w:rFonts w:cs="Calibri"/>
              </w:rPr>
              <w:t xml:space="preserve"> či </w:t>
            </w:r>
            <w:r w:rsidRPr="00DD47DF">
              <w:rPr>
                <w:rFonts w:cs="Calibri"/>
              </w:rPr>
              <w:t>zmodernizovaných polí v rozvodnách</w:t>
            </w:r>
          </w:p>
        </w:tc>
        <w:tc>
          <w:tcPr>
            <w:tcW w:w="0" w:type="auto"/>
            <w:tcBorders>
              <w:top w:val="single" w:sz="4" w:space="0" w:color="000000"/>
              <w:left w:val="single" w:sz="4" w:space="0" w:color="000000"/>
              <w:bottom w:val="single" w:sz="4" w:space="0" w:color="000000"/>
              <w:right w:val="single" w:sz="4" w:space="0" w:color="000000"/>
            </w:tcBorders>
            <w:vAlign w:val="center"/>
          </w:tcPr>
          <w:p w14:paraId="3EF1CB31" w14:textId="77777777" w:rsidR="00502BCE" w:rsidRPr="00DD47DF" w:rsidRDefault="00502BCE" w:rsidP="008B3478">
            <w:pPr>
              <w:pStyle w:val="Tabulka"/>
              <w:rPr>
                <w:rFonts w:cs="Calibri"/>
              </w:rPr>
            </w:pPr>
            <w:r w:rsidRPr="00DD47DF">
              <w:rPr>
                <w:rFonts w:cs="Calibri"/>
              </w:rPr>
              <w:t>po</w:t>
            </w:r>
            <w:r w:rsidR="008B3478" w:rsidRPr="00DD47DF">
              <w:rPr>
                <w:rFonts w:cs="Calibri"/>
              </w:rPr>
              <w:t>le</w:t>
            </w:r>
          </w:p>
        </w:tc>
        <w:tc>
          <w:tcPr>
            <w:tcW w:w="0" w:type="auto"/>
            <w:tcBorders>
              <w:top w:val="single" w:sz="4" w:space="0" w:color="000000"/>
              <w:left w:val="single" w:sz="4" w:space="0" w:color="000000"/>
              <w:bottom w:val="single" w:sz="4" w:space="0" w:color="000000"/>
              <w:right w:val="single" w:sz="4" w:space="0" w:color="000000"/>
            </w:tcBorders>
            <w:vAlign w:val="center"/>
          </w:tcPr>
          <w:p w14:paraId="5D0CE94C" w14:textId="77777777" w:rsidR="00502BCE" w:rsidRPr="00DD47DF" w:rsidRDefault="00502BCE" w:rsidP="00957169">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35EE1EC" w14:textId="77777777" w:rsidR="00502BCE" w:rsidRPr="00DD47DF" w:rsidRDefault="00502BCE" w:rsidP="00957169">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7A0E085A" w14:textId="2F300027" w:rsidR="00502BCE" w:rsidRPr="00DD47DF" w:rsidRDefault="00FC4065" w:rsidP="00957169">
            <w:pPr>
              <w:pStyle w:val="Tabulka"/>
              <w:rPr>
                <w:rFonts w:cs="Calibri"/>
              </w:rPr>
            </w:pPr>
            <w:r w:rsidRPr="00DD47DF">
              <w:rPr>
                <w:rFonts w:cs="Calibri"/>
              </w:rPr>
              <w:t>7</w:t>
            </w:r>
            <w:r w:rsidR="00484DB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07635AF0" w14:textId="77777777" w:rsidR="00502BCE" w:rsidRPr="00DD47DF" w:rsidRDefault="00502BCE" w:rsidP="00957169">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9A44E95" w14:textId="77777777" w:rsidR="00502BCE" w:rsidRPr="00DD47DF" w:rsidRDefault="0053488F" w:rsidP="00957169">
            <w:pPr>
              <w:pStyle w:val="Tabulka"/>
              <w:rPr>
                <w:rFonts w:cs="Calibri"/>
              </w:rPr>
            </w:pPr>
            <w:r>
              <w:rPr>
                <w:rFonts w:cs="Calibri"/>
              </w:rPr>
              <w:t>průběžně</w:t>
            </w:r>
          </w:p>
        </w:tc>
      </w:tr>
      <w:tr w:rsidR="00502BCE" w:rsidRPr="00DD47DF" w14:paraId="614CFA54"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96B0CE8" w14:textId="77777777" w:rsidR="00502BCE" w:rsidRPr="00DD47DF" w:rsidRDefault="008B3478" w:rsidP="00957169">
            <w:pPr>
              <w:pStyle w:val="Tabulka"/>
              <w:rPr>
                <w:rFonts w:cs="Calibri"/>
              </w:rPr>
            </w:pPr>
            <w:r w:rsidRPr="00DD47DF">
              <w:rPr>
                <w:rFonts w:cs="Calibri"/>
              </w:rPr>
              <w:t>33501</w:t>
            </w:r>
          </w:p>
        </w:tc>
        <w:tc>
          <w:tcPr>
            <w:tcW w:w="0" w:type="auto"/>
            <w:tcBorders>
              <w:top w:val="single" w:sz="4" w:space="0" w:color="000000"/>
              <w:left w:val="single" w:sz="4" w:space="0" w:color="000000"/>
              <w:bottom w:val="single" w:sz="4" w:space="0" w:color="000000"/>
              <w:right w:val="single" w:sz="4" w:space="0" w:color="000000"/>
            </w:tcBorders>
            <w:vAlign w:val="center"/>
          </w:tcPr>
          <w:p w14:paraId="5ADAF4E0" w14:textId="77777777" w:rsidR="00502BCE" w:rsidRPr="00DD47DF" w:rsidRDefault="00502BCE" w:rsidP="00957169">
            <w:pPr>
              <w:pStyle w:val="Tabulka"/>
              <w:jc w:val="left"/>
              <w:rPr>
                <w:rFonts w:cs="Calibri"/>
              </w:rPr>
            </w:pPr>
            <w:r w:rsidRPr="00DD47DF">
              <w:rPr>
                <w:rFonts w:cs="Calibri"/>
              </w:rPr>
              <w:t>Počet nově vybudovaných polí v rozvodnách</w:t>
            </w:r>
          </w:p>
        </w:tc>
        <w:tc>
          <w:tcPr>
            <w:tcW w:w="0" w:type="auto"/>
            <w:tcBorders>
              <w:top w:val="single" w:sz="4" w:space="0" w:color="000000"/>
              <w:left w:val="single" w:sz="4" w:space="0" w:color="000000"/>
              <w:bottom w:val="single" w:sz="4" w:space="0" w:color="000000"/>
              <w:right w:val="single" w:sz="4" w:space="0" w:color="000000"/>
            </w:tcBorders>
            <w:vAlign w:val="center"/>
          </w:tcPr>
          <w:p w14:paraId="1CF111FD" w14:textId="77777777" w:rsidR="00502BCE" w:rsidRPr="00DD47DF" w:rsidRDefault="008B3478" w:rsidP="00957169">
            <w:pPr>
              <w:pStyle w:val="Tabulka"/>
              <w:rPr>
                <w:rFonts w:cs="Calibri"/>
              </w:rPr>
            </w:pPr>
            <w:r w:rsidRPr="00DD47DF">
              <w:rPr>
                <w:rFonts w:cs="Calibri"/>
              </w:rPr>
              <w:t>pole</w:t>
            </w:r>
          </w:p>
        </w:tc>
        <w:tc>
          <w:tcPr>
            <w:tcW w:w="0" w:type="auto"/>
            <w:tcBorders>
              <w:top w:val="single" w:sz="4" w:space="0" w:color="000000"/>
              <w:left w:val="single" w:sz="4" w:space="0" w:color="000000"/>
              <w:bottom w:val="single" w:sz="4" w:space="0" w:color="000000"/>
              <w:right w:val="single" w:sz="4" w:space="0" w:color="000000"/>
            </w:tcBorders>
            <w:vAlign w:val="center"/>
          </w:tcPr>
          <w:p w14:paraId="674BDDDD" w14:textId="77777777" w:rsidR="00502BCE" w:rsidRPr="00DD47DF" w:rsidRDefault="00502BCE" w:rsidP="00957169">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48B6803" w14:textId="77777777" w:rsidR="00502BCE" w:rsidRPr="00DD47DF" w:rsidRDefault="00502BCE" w:rsidP="00957169">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322172D" w14:textId="5F82A9C3" w:rsidR="00502BCE" w:rsidRPr="00DD47DF" w:rsidRDefault="00484DBF" w:rsidP="00957169">
            <w:pPr>
              <w:pStyle w:val="Tabulka"/>
              <w:rPr>
                <w:rFonts w:cs="Calibri"/>
              </w:rPr>
            </w:pPr>
            <w:r>
              <w:rPr>
                <w:rFonts w:cs="Calibri"/>
              </w:rPr>
              <w:t>39</w:t>
            </w:r>
          </w:p>
        </w:tc>
        <w:tc>
          <w:tcPr>
            <w:tcW w:w="0" w:type="auto"/>
            <w:tcBorders>
              <w:top w:val="single" w:sz="4" w:space="0" w:color="000000"/>
              <w:left w:val="single" w:sz="4" w:space="0" w:color="000000"/>
              <w:bottom w:val="single" w:sz="4" w:space="0" w:color="000000"/>
              <w:right w:val="single" w:sz="4" w:space="0" w:color="000000"/>
            </w:tcBorders>
            <w:vAlign w:val="center"/>
          </w:tcPr>
          <w:p w14:paraId="5DDFFC40" w14:textId="77777777" w:rsidR="00502BCE" w:rsidRPr="00DD47DF" w:rsidRDefault="00502BCE" w:rsidP="00957169">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74DD1A75" w14:textId="77777777" w:rsidR="00502BCE" w:rsidRPr="00DD47DF" w:rsidRDefault="0053488F" w:rsidP="00957169">
            <w:pPr>
              <w:pStyle w:val="Tabulka"/>
              <w:rPr>
                <w:rFonts w:cs="Calibri"/>
              </w:rPr>
            </w:pPr>
            <w:r>
              <w:rPr>
                <w:rFonts w:cs="Calibri"/>
              </w:rPr>
              <w:t>průběžně</w:t>
            </w:r>
          </w:p>
        </w:tc>
      </w:tr>
    </w:tbl>
    <w:p w14:paraId="612C6438" w14:textId="77777777" w:rsidR="00B53995" w:rsidRPr="00DD47DF" w:rsidRDefault="00B53995" w:rsidP="00DA3512">
      <w:pPr>
        <w:pStyle w:val="kapitola2A0"/>
        <w:numPr>
          <w:ilvl w:val="2"/>
          <w:numId w:val="68"/>
        </w:numPr>
      </w:pPr>
      <w:bookmarkStart w:id="83" w:name="_Toc506885028"/>
      <w:r w:rsidRPr="00DD47DF">
        <w:t>Sociální inovace, nadnárodní spolupráce a přínos k tematickým cílům 1 až 7</w:t>
      </w:r>
      <w:bookmarkEnd w:id="83"/>
    </w:p>
    <w:p w14:paraId="7F0DB446" w14:textId="77777777" w:rsidR="004126CC" w:rsidRPr="00DD47DF" w:rsidRDefault="006B6307" w:rsidP="008A5FCE">
      <w:pPr>
        <w:pStyle w:val="Standardntext"/>
        <w:sectPr w:rsidR="004126CC" w:rsidRPr="00DD47DF" w:rsidSect="004126CC">
          <w:headerReference w:type="default" r:id="rId37"/>
          <w:footerReference w:type="default" r:id="rId38"/>
          <w:pgSz w:w="11906" w:h="16838"/>
          <w:pgMar w:top="1418" w:right="1276" w:bottom="1276" w:left="1418" w:header="709" w:footer="709" w:gutter="0"/>
          <w:cols w:space="708"/>
          <w:docGrid w:linePitch="272"/>
        </w:sectPr>
      </w:pPr>
      <w:r w:rsidRPr="00DD47DF">
        <w:t>Není relevantní pro OP PIK.</w:t>
      </w:r>
    </w:p>
    <w:p w14:paraId="4BC9CBE7" w14:textId="77777777" w:rsidR="00B53995" w:rsidRPr="00DD47DF" w:rsidRDefault="00B53995" w:rsidP="00DA3512">
      <w:pPr>
        <w:pStyle w:val="kapitola2A0"/>
        <w:numPr>
          <w:ilvl w:val="2"/>
          <w:numId w:val="68"/>
        </w:numPr>
      </w:pPr>
      <w:bookmarkStart w:id="84" w:name="_Toc506885029"/>
      <w:r w:rsidRPr="00DD47DF">
        <w:lastRenderedPageBreak/>
        <w:t>Výkonnostní rámec</w:t>
      </w:r>
      <w:bookmarkEnd w:id="84"/>
    </w:p>
    <w:p w14:paraId="17A03B1B" w14:textId="77777777" w:rsidR="00F7325F" w:rsidRPr="00DD47DF" w:rsidRDefault="00F7325F" w:rsidP="007E38FF">
      <w:pPr>
        <w:pStyle w:val="Titulek"/>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6</w:t>
      </w:r>
      <w:r w:rsidR="002756E7" w:rsidRPr="00DD47DF">
        <w:rPr>
          <w:noProof/>
        </w:rPr>
        <w:fldChar w:fldCharType="end"/>
      </w:r>
      <w:r w:rsidRPr="00DD47DF">
        <w:t xml:space="preserve">: </w:t>
      </w:r>
      <w:r w:rsidR="00AC6E26" w:rsidRPr="00DD47DF">
        <w:t>Výkonnostní rámec prioritní osy</w:t>
      </w:r>
      <w:r w:rsidRPr="00DD47DF">
        <w:t xml:space="preserve"> </w:t>
      </w:r>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461"/>
        <w:gridCol w:w="1195"/>
        <w:gridCol w:w="1377"/>
        <w:gridCol w:w="1048"/>
        <w:gridCol w:w="767"/>
        <w:gridCol w:w="1156"/>
        <w:gridCol w:w="1126"/>
        <w:gridCol w:w="2228"/>
        <w:gridCol w:w="997"/>
        <w:gridCol w:w="2021"/>
      </w:tblGrid>
      <w:tr w:rsidR="000E6E04" w:rsidRPr="00DD47DF" w14:paraId="3AC784F6" w14:textId="77777777" w:rsidTr="000E6E04">
        <w:tc>
          <w:tcPr>
            <w:tcW w:w="0" w:type="auto"/>
            <w:shd w:val="clear" w:color="auto" w:fill="B8CCE4"/>
            <w:vAlign w:val="center"/>
          </w:tcPr>
          <w:p w14:paraId="79083AA5" w14:textId="77777777" w:rsidR="000E6E04" w:rsidRPr="00DD47DF" w:rsidRDefault="000E6E04" w:rsidP="00700B4C">
            <w:pPr>
              <w:pStyle w:val="Tabulka"/>
              <w:keepNext/>
              <w:keepLines/>
              <w:rPr>
                <w:rFonts w:cs="Calibri"/>
                <w:b/>
              </w:rPr>
            </w:pPr>
            <w:r w:rsidRPr="00DD47DF">
              <w:rPr>
                <w:rFonts w:cs="Calibri"/>
                <w:b/>
              </w:rPr>
              <w:t>Prioritní osa</w:t>
            </w:r>
          </w:p>
        </w:tc>
        <w:tc>
          <w:tcPr>
            <w:tcW w:w="1500" w:type="dxa"/>
            <w:shd w:val="clear" w:color="auto" w:fill="B8CCE4"/>
            <w:vAlign w:val="center"/>
          </w:tcPr>
          <w:p w14:paraId="4BBEC2DA" w14:textId="77777777" w:rsidR="000E6E04" w:rsidRPr="00DD47DF" w:rsidRDefault="000E6E04" w:rsidP="00700B4C">
            <w:pPr>
              <w:pStyle w:val="Tabulka"/>
              <w:keepNext/>
              <w:keepLines/>
              <w:rPr>
                <w:rFonts w:cs="Calibri"/>
                <w:b/>
              </w:rPr>
            </w:pPr>
            <w:r w:rsidRPr="00DD47DF">
              <w:rPr>
                <w:rFonts w:cs="Calibri"/>
                <w:b/>
              </w:rPr>
              <w:t>Typ ukazatele</w:t>
            </w:r>
          </w:p>
          <w:p w14:paraId="70460939" w14:textId="77777777" w:rsidR="000E6E04" w:rsidRPr="00DD47DF" w:rsidRDefault="000E6E04" w:rsidP="00700B4C">
            <w:pPr>
              <w:pStyle w:val="Tabulka"/>
              <w:keepNext/>
              <w:keepLines/>
              <w:rPr>
                <w:rFonts w:cs="Calibri"/>
                <w:b/>
              </w:rPr>
            </w:pPr>
            <w:r w:rsidRPr="00DD47DF">
              <w:rPr>
                <w:rFonts w:cs="Calibri"/>
                <w:b/>
              </w:rPr>
              <w:t>(klíčový krok provádění, finanční výstup nebo popřípadě ukazatel výsledků)</w:t>
            </w:r>
          </w:p>
        </w:tc>
        <w:tc>
          <w:tcPr>
            <w:tcW w:w="1239" w:type="dxa"/>
            <w:shd w:val="clear" w:color="auto" w:fill="B8CCE4"/>
            <w:vAlign w:val="center"/>
          </w:tcPr>
          <w:p w14:paraId="49DCBC5A" w14:textId="77777777" w:rsidR="000E6E04" w:rsidRPr="00DD47DF" w:rsidRDefault="000E6E04" w:rsidP="00700B4C">
            <w:pPr>
              <w:pStyle w:val="Tabulka"/>
              <w:keepNext/>
              <w:keepLines/>
              <w:rPr>
                <w:rFonts w:cs="Calibri"/>
                <w:b/>
              </w:rPr>
            </w:pPr>
            <w:r w:rsidRPr="00DD47DF">
              <w:rPr>
                <w:rFonts w:cs="Calibri"/>
                <w:b/>
              </w:rPr>
              <w:t>ID</w:t>
            </w:r>
          </w:p>
        </w:tc>
        <w:tc>
          <w:tcPr>
            <w:tcW w:w="0" w:type="auto"/>
            <w:shd w:val="clear" w:color="auto" w:fill="B8CCE4"/>
            <w:tcMar>
              <w:top w:w="0" w:type="dxa"/>
              <w:left w:w="108" w:type="dxa"/>
              <w:bottom w:w="0" w:type="dxa"/>
              <w:right w:w="108" w:type="dxa"/>
            </w:tcMar>
            <w:vAlign w:val="center"/>
          </w:tcPr>
          <w:p w14:paraId="3432B139" w14:textId="77777777" w:rsidR="000E6E04" w:rsidRPr="00DD47DF" w:rsidRDefault="000E6E04" w:rsidP="00700B4C">
            <w:pPr>
              <w:pStyle w:val="Tabulka"/>
              <w:keepNext/>
              <w:keepLines/>
              <w:rPr>
                <w:rFonts w:cs="Calibri"/>
                <w:b/>
              </w:rPr>
            </w:pPr>
            <w:r w:rsidRPr="00DD47DF">
              <w:rPr>
                <w:rFonts w:cs="Calibri"/>
                <w:b/>
              </w:rPr>
              <w:t>Ukazatel nebo klíčový krok provádění</w:t>
            </w:r>
          </w:p>
        </w:tc>
        <w:tc>
          <w:tcPr>
            <w:tcW w:w="0" w:type="auto"/>
            <w:shd w:val="clear" w:color="auto" w:fill="B8CCE4"/>
            <w:tcMar>
              <w:top w:w="0" w:type="dxa"/>
              <w:left w:w="108" w:type="dxa"/>
              <w:bottom w:w="0" w:type="dxa"/>
              <w:right w:w="108" w:type="dxa"/>
            </w:tcMar>
            <w:vAlign w:val="center"/>
          </w:tcPr>
          <w:p w14:paraId="17C59A19" w14:textId="77777777" w:rsidR="000E6E04" w:rsidRPr="00DD47DF" w:rsidRDefault="000E6E04" w:rsidP="00700B4C">
            <w:pPr>
              <w:pStyle w:val="Tabulka"/>
              <w:keepNext/>
              <w:keepLines/>
              <w:rPr>
                <w:rFonts w:cs="Calibri"/>
                <w:b/>
              </w:rPr>
            </w:pPr>
            <w:r w:rsidRPr="00DD47DF">
              <w:rPr>
                <w:rFonts w:cs="Calibri"/>
                <w:b/>
              </w:rPr>
              <w:t>Měrná jednotka (použije-li se)</w:t>
            </w:r>
          </w:p>
        </w:tc>
        <w:tc>
          <w:tcPr>
            <w:tcW w:w="0" w:type="auto"/>
            <w:shd w:val="clear" w:color="auto" w:fill="B8CCE4"/>
            <w:tcMar>
              <w:top w:w="0" w:type="dxa"/>
              <w:left w:w="108" w:type="dxa"/>
              <w:bottom w:w="0" w:type="dxa"/>
              <w:right w:w="108" w:type="dxa"/>
            </w:tcMar>
            <w:vAlign w:val="center"/>
          </w:tcPr>
          <w:p w14:paraId="12B56203" w14:textId="77777777" w:rsidR="000E6E04" w:rsidRPr="00DD47DF" w:rsidRDefault="000E6E04" w:rsidP="00700B4C">
            <w:pPr>
              <w:pStyle w:val="Tabulka"/>
              <w:keepNext/>
              <w:keepLines/>
              <w:rPr>
                <w:rFonts w:cs="Calibri"/>
                <w:b/>
              </w:rPr>
            </w:pPr>
            <w:r w:rsidRPr="00DD47DF">
              <w:rPr>
                <w:rFonts w:cs="Calibri"/>
                <w:b/>
              </w:rPr>
              <w:t>Fond</w:t>
            </w:r>
          </w:p>
        </w:tc>
        <w:tc>
          <w:tcPr>
            <w:tcW w:w="1157" w:type="dxa"/>
            <w:shd w:val="clear" w:color="auto" w:fill="B8CCE4"/>
            <w:tcMar>
              <w:top w:w="0" w:type="dxa"/>
              <w:left w:w="108" w:type="dxa"/>
              <w:bottom w:w="0" w:type="dxa"/>
              <w:right w:w="108" w:type="dxa"/>
            </w:tcMar>
            <w:vAlign w:val="center"/>
          </w:tcPr>
          <w:p w14:paraId="537DD804" w14:textId="77777777" w:rsidR="000E6E04" w:rsidRPr="00DD47DF" w:rsidRDefault="000E6E04" w:rsidP="00700B4C">
            <w:pPr>
              <w:pStyle w:val="Tabulka"/>
              <w:keepNext/>
              <w:keepLines/>
              <w:rPr>
                <w:rFonts w:cs="Calibri"/>
                <w:b/>
              </w:rPr>
            </w:pPr>
            <w:r w:rsidRPr="00DD47DF">
              <w:rPr>
                <w:rFonts w:cs="Calibri"/>
                <w:b/>
              </w:rPr>
              <w:t>Kategorie regionů</w:t>
            </w:r>
          </w:p>
        </w:tc>
        <w:tc>
          <w:tcPr>
            <w:tcW w:w="1159" w:type="dxa"/>
            <w:shd w:val="clear" w:color="auto" w:fill="B8CCE4"/>
            <w:vAlign w:val="center"/>
          </w:tcPr>
          <w:p w14:paraId="1DD503DF" w14:textId="77777777" w:rsidR="000E6E04" w:rsidRPr="00DD47DF" w:rsidRDefault="000E6E04" w:rsidP="00700B4C">
            <w:pPr>
              <w:pStyle w:val="Tabulka"/>
              <w:keepNext/>
              <w:keepLines/>
              <w:rPr>
                <w:rFonts w:cs="Calibri"/>
                <w:b/>
              </w:rPr>
            </w:pPr>
            <w:r w:rsidRPr="00DD47DF">
              <w:rPr>
                <w:rFonts w:cs="Calibri"/>
                <w:b/>
              </w:rPr>
              <w:t>Milník pro rok 2018</w:t>
            </w:r>
          </w:p>
        </w:tc>
        <w:tc>
          <w:tcPr>
            <w:tcW w:w="2361" w:type="dxa"/>
            <w:shd w:val="clear" w:color="auto" w:fill="B8CCE4"/>
            <w:tcMar>
              <w:top w:w="0" w:type="dxa"/>
              <w:left w:w="108" w:type="dxa"/>
              <w:bottom w:w="0" w:type="dxa"/>
              <w:right w:w="108" w:type="dxa"/>
            </w:tcMar>
            <w:vAlign w:val="center"/>
          </w:tcPr>
          <w:p w14:paraId="10024381" w14:textId="77777777" w:rsidR="000E6E04" w:rsidRPr="00DD47DF" w:rsidRDefault="000E6E04" w:rsidP="00700B4C">
            <w:pPr>
              <w:pStyle w:val="Tabulka"/>
              <w:keepNext/>
              <w:keepLines/>
              <w:rPr>
                <w:rFonts w:cs="Calibri"/>
                <w:b/>
              </w:rPr>
            </w:pPr>
            <w:r w:rsidRPr="00DD47DF">
              <w:rPr>
                <w:rFonts w:cs="Calibri"/>
                <w:b/>
              </w:rPr>
              <w:t>Konečný cíl (2023)</w:t>
            </w:r>
          </w:p>
        </w:tc>
        <w:tc>
          <w:tcPr>
            <w:tcW w:w="688" w:type="dxa"/>
            <w:shd w:val="clear" w:color="auto" w:fill="B8CCE4"/>
            <w:vAlign w:val="center"/>
          </w:tcPr>
          <w:p w14:paraId="41E455E6" w14:textId="77777777" w:rsidR="000E6E04" w:rsidRPr="00DD47DF" w:rsidRDefault="000E6E04" w:rsidP="00700B4C">
            <w:pPr>
              <w:pStyle w:val="Tabulka"/>
              <w:keepNext/>
              <w:keepLines/>
              <w:rPr>
                <w:rFonts w:cs="Calibri"/>
                <w:b/>
              </w:rPr>
            </w:pPr>
            <w:r w:rsidRPr="00DD47DF">
              <w:rPr>
                <w:rFonts w:cs="Calibri"/>
                <w:b/>
              </w:rPr>
              <w:t>Zdroj dat</w:t>
            </w:r>
          </w:p>
        </w:tc>
        <w:tc>
          <w:tcPr>
            <w:tcW w:w="2080" w:type="dxa"/>
            <w:shd w:val="clear" w:color="auto" w:fill="B8CCE4"/>
            <w:vAlign w:val="center"/>
          </w:tcPr>
          <w:p w14:paraId="6FC02E92" w14:textId="77777777" w:rsidR="000E6E04" w:rsidRPr="00DD47DF" w:rsidRDefault="000E6E04" w:rsidP="00700B4C">
            <w:pPr>
              <w:pStyle w:val="Tabulka"/>
              <w:keepNext/>
              <w:keepLines/>
              <w:rPr>
                <w:rFonts w:cs="Calibri"/>
                <w:b/>
              </w:rPr>
            </w:pPr>
            <w:r w:rsidRPr="00DD47DF">
              <w:rPr>
                <w:rFonts w:cs="Calibri"/>
                <w:b/>
              </w:rPr>
              <w:t>Popřípadě vysvětlení relevantnosti ukazatele</w:t>
            </w:r>
          </w:p>
        </w:tc>
      </w:tr>
      <w:tr w:rsidR="000E6E04" w:rsidRPr="00DD47DF" w14:paraId="0EED8ADF" w14:textId="77777777" w:rsidTr="000E6E04">
        <w:trPr>
          <w:trHeight w:val="1107"/>
        </w:trPr>
        <w:tc>
          <w:tcPr>
            <w:tcW w:w="0" w:type="auto"/>
            <w:vAlign w:val="center"/>
          </w:tcPr>
          <w:p w14:paraId="134496D4" w14:textId="77777777" w:rsidR="000E6E04" w:rsidRPr="00DD47DF" w:rsidRDefault="000E6E04" w:rsidP="00700B4C">
            <w:pPr>
              <w:pStyle w:val="Tabulka"/>
              <w:rPr>
                <w:rFonts w:cs="Calibri"/>
              </w:rPr>
            </w:pPr>
            <w:r w:rsidRPr="00DD47DF">
              <w:rPr>
                <w:rFonts w:cs="Calibri"/>
              </w:rPr>
              <w:t>PO 3</w:t>
            </w:r>
          </w:p>
        </w:tc>
        <w:tc>
          <w:tcPr>
            <w:tcW w:w="1500" w:type="dxa"/>
            <w:vAlign w:val="center"/>
          </w:tcPr>
          <w:p w14:paraId="495B051A" w14:textId="77777777" w:rsidR="000E6E04" w:rsidRPr="00DD47DF" w:rsidRDefault="000E6E04" w:rsidP="00700B4C">
            <w:pPr>
              <w:pStyle w:val="Tabulka"/>
              <w:rPr>
                <w:rFonts w:cs="Calibri"/>
              </w:rPr>
            </w:pPr>
            <w:r w:rsidRPr="00DD47DF">
              <w:rPr>
                <w:rFonts w:cs="Calibri"/>
              </w:rPr>
              <w:t>finanční</w:t>
            </w:r>
          </w:p>
        </w:tc>
        <w:tc>
          <w:tcPr>
            <w:tcW w:w="1239" w:type="dxa"/>
            <w:vAlign w:val="center"/>
          </w:tcPr>
          <w:p w14:paraId="43DF983A" w14:textId="77777777" w:rsidR="000E6E04" w:rsidRPr="00DD47DF" w:rsidRDefault="000E6E04" w:rsidP="00700B4C">
            <w:pPr>
              <w:pStyle w:val="Tabulka"/>
              <w:rPr>
                <w:rFonts w:cs="Calibri"/>
              </w:rPr>
            </w:pPr>
            <w:r w:rsidRPr="00DD47DF">
              <w:rPr>
                <w:rFonts w:cs="Calibri"/>
              </w:rPr>
              <w:t>FINMT</w:t>
            </w:r>
          </w:p>
        </w:tc>
        <w:tc>
          <w:tcPr>
            <w:tcW w:w="0" w:type="auto"/>
            <w:shd w:val="clear" w:color="auto" w:fill="auto"/>
            <w:tcMar>
              <w:top w:w="0" w:type="dxa"/>
              <w:left w:w="108" w:type="dxa"/>
              <w:bottom w:w="0" w:type="dxa"/>
              <w:right w:w="108" w:type="dxa"/>
            </w:tcMar>
            <w:vAlign w:val="center"/>
          </w:tcPr>
          <w:p w14:paraId="73DFC47B" w14:textId="77777777" w:rsidR="000E6E04" w:rsidRPr="00DD47DF" w:rsidRDefault="000E6E04" w:rsidP="00700B4C">
            <w:pPr>
              <w:pStyle w:val="Tabulka"/>
              <w:rPr>
                <w:rFonts w:cs="Calibri"/>
              </w:rPr>
            </w:pPr>
            <w:r w:rsidRPr="00DD47DF">
              <w:rPr>
                <w:rFonts w:cs="Calibri"/>
              </w:rPr>
              <w:t>Celkové způsobilé certifikované finanční prostředky</w:t>
            </w:r>
          </w:p>
        </w:tc>
        <w:tc>
          <w:tcPr>
            <w:tcW w:w="0" w:type="auto"/>
            <w:shd w:val="clear" w:color="auto" w:fill="auto"/>
            <w:tcMar>
              <w:top w:w="0" w:type="dxa"/>
              <w:left w:w="108" w:type="dxa"/>
              <w:bottom w:w="0" w:type="dxa"/>
              <w:right w:w="108" w:type="dxa"/>
            </w:tcMar>
            <w:vAlign w:val="center"/>
          </w:tcPr>
          <w:p w14:paraId="6A819399" w14:textId="77777777" w:rsidR="000E6E04" w:rsidRPr="00DD47DF" w:rsidRDefault="000E6E04" w:rsidP="00700B4C">
            <w:pPr>
              <w:pStyle w:val="Tabulka"/>
              <w:rPr>
                <w:rFonts w:cs="Calibri"/>
              </w:rPr>
            </w:pPr>
            <w:r w:rsidRPr="00DD47DF">
              <w:rPr>
                <w:rFonts w:cs="Calibri"/>
              </w:rPr>
              <w:t>EUR</w:t>
            </w:r>
          </w:p>
        </w:tc>
        <w:tc>
          <w:tcPr>
            <w:tcW w:w="0" w:type="auto"/>
            <w:shd w:val="clear" w:color="auto" w:fill="auto"/>
            <w:tcMar>
              <w:top w:w="0" w:type="dxa"/>
              <w:left w:w="108" w:type="dxa"/>
              <w:bottom w:w="0" w:type="dxa"/>
              <w:right w:w="108" w:type="dxa"/>
            </w:tcMar>
            <w:vAlign w:val="center"/>
          </w:tcPr>
          <w:p w14:paraId="08084A99" w14:textId="77777777" w:rsidR="000E6E04" w:rsidRPr="00DD47DF" w:rsidRDefault="000E6E04" w:rsidP="00700B4C">
            <w:pPr>
              <w:pStyle w:val="Tabulka"/>
              <w:rPr>
                <w:rFonts w:cs="Calibri"/>
              </w:rPr>
            </w:pPr>
            <w:r w:rsidRPr="00DD47DF">
              <w:rPr>
                <w:rFonts w:cs="Calibri"/>
              </w:rPr>
              <w:t>EFRR</w:t>
            </w:r>
          </w:p>
        </w:tc>
        <w:tc>
          <w:tcPr>
            <w:tcW w:w="1157" w:type="dxa"/>
            <w:shd w:val="clear" w:color="auto" w:fill="auto"/>
            <w:tcMar>
              <w:top w:w="0" w:type="dxa"/>
              <w:left w:w="108" w:type="dxa"/>
              <w:bottom w:w="0" w:type="dxa"/>
              <w:right w:w="108" w:type="dxa"/>
            </w:tcMar>
            <w:vAlign w:val="center"/>
          </w:tcPr>
          <w:p w14:paraId="41228648" w14:textId="77777777" w:rsidR="000E6E04" w:rsidRPr="00DD47DF" w:rsidRDefault="000E6E04" w:rsidP="00700B4C">
            <w:pPr>
              <w:pStyle w:val="Tabulka"/>
              <w:rPr>
                <w:rFonts w:cs="Calibri"/>
              </w:rPr>
            </w:pPr>
            <w:r w:rsidRPr="00DD47DF">
              <w:rPr>
                <w:rFonts w:cs="Calibri"/>
              </w:rPr>
              <w:t>Méně rozvinuté regiony</w:t>
            </w:r>
          </w:p>
        </w:tc>
        <w:tc>
          <w:tcPr>
            <w:tcW w:w="1159" w:type="dxa"/>
            <w:vAlign w:val="center"/>
          </w:tcPr>
          <w:p w14:paraId="6486428F" w14:textId="77777777" w:rsidR="000E6E04" w:rsidRPr="00DD47DF" w:rsidRDefault="000E6E04" w:rsidP="00700B4C">
            <w:pPr>
              <w:pStyle w:val="Tabulka"/>
              <w:rPr>
                <w:rFonts w:cs="Calibri"/>
              </w:rPr>
            </w:pPr>
            <w:r w:rsidRPr="00DD47DF">
              <w:rPr>
                <w:rFonts w:cs="Calibri"/>
              </w:rPr>
              <w:t>4</w:t>
            </w:r>
            <w:r w:rsidR="00CC653D" w:rsidRPr="00DD47DF">
              <w:rPr>
                <w:rFonts w:cs="Calibri"/>
              </w:rPr>
              <w:t>95</w:t>
            </w:r>
            <w:r w:rsidRPr="00DD47DF">
              <w:rPr>
                <w:rFonts w:cs="Calibri"/>
              </w:rPr>
              <w:t> 000 000</w:t>
            </w:r>
          </w:p>
        </w:tc>
        <w:tc>
          <w:tcPr>
            <w:tcW w:w="2361" w:type="dxa"/>
            <w:shd w:val="clear" w:color="auto" w:fill="auto"/>
            <w:tcMar>
              <w:top w:w="0" w:type="dxa"/>
              <w:left w:w="108" w:type="dxa"/>
              <w:bottom w:w="0" w:type="dxa"/>
              <w:right w:w="108" w:type="dxa"/>
            </w:tcMar>
            <w:vAlign w:val="center"/>
          </w:tcPr>
          <w:p w14:paraId="0DB44FF4" w14:textId="32B796A0" w:rsidR="000E6E04" w:rsidRPr="00DD47DF" w:rsidRDefault="00AC14B7" w:rsidP="00700B4C">
            <w:pPr>
              <w:pStyle w:val="Tabulka"/>
              <w:rPr>
                <w:rFonts w:cs="Calibri"/>
              </w:rPr>
            </w:pPr>
            <w:r w:rsidRPr="00700E39">
              <w:t>3 000 805 255</w:t>
            </w:r>
          </w:p>
        </w:tc>
        <w:tc>
          <w:tcPr>
            <w:tcW w:w="688" w:type="dxa"/>
            <w:vAlign w:val="center"/>
          </w:tcPr>
          <w:p w14:paraId="596BFB9C" w14:textId="77777777" w:rsidR="000E6E04" w:rsidRPr="00DD47DF" w:rsidRDefault="000E6E04" w:rsidP="00700B4C">
            <w:pPr>
              <w:pStyle w:val="Tabulka"/>
              <w:rPr>
                <w:rFonts w:cs="Calibri"/>
              </w:rPr>
            </w:pPr>
            <w:r w:rsidRPr="00DD47DF">
              <w:rPr>
                <w:rFonts w:cs="Calibri"/>
              </w:rPr>
              <w:t>ŘO</w:t>
            </w:r>
          </w:p>
        </w:tc>
        <w:tc>
          <w:tcPr>
            <w:tcW w:w="2080" w:type="dxa"/>
            <w:vAlign w:val="center"/>
          </w:tcPr>
          <w:p w14:paraId="1EA083D0" w14:textId="77777777" w:rsidR="000E6E04" w:rsidRPr="00DD47DF" w:rsidRDefault="000E6E04" w:rsidP="00700B4C">
            <w:pPr>
              <w:pStyle w:val="Tabulka"/>
              <w:rPr>
                <w:rFonts w:cs="Calibri"/>
              </w:rPr>
            </w:pPr>
            <w:r w:rsidRPr="00DD47DF">
              <w:rPr>
                <w:rFonts w:cs="Calibri"/>
              </w:rPr>
              <w:t>Objem celkových způsobilých výdajů zaslaných do účetního systému certifikačního orgánu a certifikovaných certifikačním orgánem.</w:t>
            </w:r>
          </w:p>
        </w:tc>
      </w:tr>
      <w:tr w:rsidR="000E6E04" w:rsidRPr="00DD47DF" w14:paraId="1FC038D4" w14:textId="77777777" w:rsidTr="000E6E04">
        <w:tc>
          <w:tcPr>
            <w:tcW w:w="0" w:type="auto"/>
            <w:vAlign w:val="center"/>
          </w:tcPr>
          <w:p w14:paraId="49F54B5A" w14:textId="77777777" w:rsidR="000E6E04" w:rsidRPr="00DD47DF" w:rsidRDefault="000E6E04" w:rsidP="00700B4C">
            <w:pPr>
              <w:pStyle w:val="Tabulka"/>
              <w:rPr>
                <w:rFonts w:cs="Calibri"/>
              </w:rPr>
            </w:pPr>
            <w:r w:rsidRPr="00DD47DF">
              <w:rPr>
                <w:rFonts w:cs="Calibri"/>
              </w:rPr>
              <w:t>PO 3</w:t>
            </w:r>
          </w:p>
        </w:tc>
        <w:tc>
          <w:tcPr>
            <w:tcW w:w="1500" w:type="dxa"/>
            <w:vAlign w:val="center"/>
          </w:tcPr>
          <w:p w14:paraId="62589A54" w14:textId="77777777" w:rsidR="000E6E04" w:rsidRPr="00DD47DF" w:rsidRDefault="000E6E04" w:rsidP="00700B4C">
            <w:pPr>
              <w:pStyle w:val="Tabulka"/>
              <w:rPr>
                <w:rFonts w:cs="Calibri"/>
              </w:rPr>
            </w:pPr>
            <w:r w:rsidRPr="00DD47DF">
              <w:rPr>
                <w:rFonts w:cs="Calibri"/>
              </w:rPr>
              <w:t>výstupový</w:t>
            </w:r>
          </w:p>
        </w:tc>
        <w:tc>
          <w:tcPr>
            <w:tcW w:w="1239" w:type="dxa"/>
            <w:vAlign w:val="center"/>
          </w:tcPr>
          <w:p w14:paraId="7C257229" w14:textId="47B020C2" w:rsidR="000E6E04" w:rsidRPr="00DD47DF" w:rsidRDefault="000E6E04" w:rsidP="00700B4C">
            <w:pPr>
              <w:pStyle w:val="Tabulka"/>
              <w:rPr>
                <w:rFonts w:cs="Calibri"/>
              </w:rPr>
            </w:pPr>
            <w:r w:rsidRPr="00DD47DF">
              <w:rPr>
                <w:rFonts w:cs="Calibri"/>
              </w:rPr>
              <w:t>CO 01</w:t>
            </w:r>
          </w:p>
        </w:tc>
        <w:tc>
          <w:tcPr>
            <w:tcW w:w="0" w:type="auto"/>
            <w:shd w:val="clear" w:color="auto" w:fill="auto"/>
            <w:tcMar>
              <w:top w:w="0" w:type="dxa"/>
              <w:left w:w="108" w:type="dxa"/>
              <w:bottom w:w="0" w:type="dxa"/>
              <w:right w:w="108" w:type="dxa"/>
            </w:tcMar>
            <w:vAlign w:val="center"/>
          </w:tcPr>
          <w:p w14:paraId="43999371" w14:textId="77777777" w:rsidR="000E6E04" w:rsidRPr="00DD47DF" w:rsidRDefault="000E6E04" w:rsidP="00700B4C">
            <w:pPr>
              <w:pStyle w:val="Tabulka"/>
              <w:rPr>
                <w:rFonts w:cs="Calibri"/>
              </w:rPr>
            </w:pPr>
            <w:r w:rsidRPr="00DD47DF">
              <w:rPr>
                <w:rFonts w:cs="Calibri"/>
              </w:rPr>
              <w:t>Počet podniků pobírajících podporu</w:t>
            </w:r>
          </w:p>
        </w:tc>
        <w:tc>
          <w:tcPr>
            <w:tcW w:w="0" w:type="auto"/>
            <w:shd w:val="clear" w:color="auto" w:fill="auto"/>
            <w:tcMar>
              <w:top w:w="0" w:type="dxa"/>
              <w:left w:w="108" w:type="dxa"/>
              <w:bottom w:w="0" w:type="dxa"/>
              <w:right w:w="108" w:type="dxa"/>
            </w:tcMar>
            <w:vAlign w:val="center"/>
          </w:tcPr>
          <w:p w14:paraId="75BA3C53" w14:textId="77777777" w:rsidR="000E6E04" w:rsidRPr="00DD47DF" w:rsidRDefault="000E6E04" w:rsidP="00700B4C">
            <w:pPr>
              <w:pStyle w:val="Tabulka"/>
              <w:rPr>
                <w:rFonts w:cs="Calibri"/>
              </w:rPr>
            </w:pPr>
            <w:r w:rsidRPr="00DD47DF">
              <w:rPr>
                <w:rFonts w:cs="Calibri"/>
              </w:rPr>
              <w:t>Podniky</w:t>
            </w:r>
          </w:p>
        </w:tc>
        <w:tc>
          <w:tcPr>
            <w:tcW w:w="0" w:type="auto"/>
            <w:shd w:val="clear" w:color="auto" w:fill="auto"/>
            <w:tcMar>
              <w:top w:w="0" w:type="dxa"/>
              <w:left w:w="108" w:type="dxa"/>
              <w:bottom w:w="0" w:type="dxa"/>
              <w:right w:w="108" w:type="dxa"/>
            </w:tcMar>
            <w:vAlign w:val="center"/>
          </w:tcPr>
          <w:p w14:paraId="04A93A09" w14:textId="77777777" w:rsidR="000E6E04" w:rsidRPr="00DD47DF" w:rsidRDefault="000E6E04" w:rsidP="00700B4C">
            <w:pPr>
              <w:pStyle w:val="Tabulka"/>
              <w:rPr>
                <w:rFonts w:cs="Calibri"/>
              </w:rPr>
            </w:pPr>
            <w:r w:rsidRPr="00DD47DF">
              <w:rPr>
                <w:rFonts w:cs="Calibri"/>
              </w:rPr>
              <w:t>EFRR</w:t>
            </w:r>
          </w:p>
        </w:tc>
        <w:tc>
          <w:tcPr>
            <w:tcW w:w="1157" w:type="dxa"/>
            <w:shd w:val="clear" w:color="auto" w:fill="auto"/>
            <w:tcMar>
              <w:top w:w="0" w:type="dxa"/>
              <w:left w:w="108" w:type="dxa"/>
              <w:bottom w:w="0" w:type="dxa"/>
              <w:right w:w="108" w:type="dxa"/>
            </w:tcMar>
            <w:vAlign w:val="center"/>
          </w:tcPr>
          <w:p w14:paraId="6B2424BD" w14:textId="77777777" w:rsidR="000E6E04" w:rsidRPr="00DD47DF" w:rsidRDefault="000E6E04" w:rsidP="00700B4C">
            <w:pPr>
              <w:pStyle w:val="Tabulka"/>
              <w:rPr>
                <w:rFonts w:cs="Calibri"/>
              </w:rPr>
            </w:pPr>
            <w:r w:rsidRPr="00DD47DF">
              <w:rPr>
                <w:rFonts w:cs="Calibri"/>
              </w:rPr>
              <w:t>Méně rozvinuté regiony</w:t>
            </w:r>
          </w:p>
        </w:tc>
        <w:tc>
          <w:tcPr>
            <w:tcW w:w="1159" w:type="dxa"/>
            <w:vAlign w:val="center"/>
          </w:tcPr>
          <w:p w14:paraId="64A24CB6" w14:textId="77777777" w:rsidR="000E6E04" w:rsidRPr="00DD47DF" w:rsidRDefault="000E6E04" w:rsidP="00700B4C">
            <w:pPr>
              <w:pStyle w:val="Tabulka"/>
              <w:rPr>
                <w:rFonts w:cs="Calibri"/>
              </w:rPr>
            </w:pPr>
            <w:r w:rsidRPr="00DD47DF">
              <w:rPr>
                <w:rFonts w:cs="Calibri"/>
              </w:rPr>
              <w:t>270</w:t>
            </w:r>
          </w:p>
        </w:tc>
        <w:tc>
          <w:tcPr>
            <w:tcW w:w="2361" w:type="dxa"/>
            <w:shd w:val="clear" w:color="auto" w:fill="auto"/>
            <w:tcMar>
              <w:top w:w="0" w:type="dxa"/>
              <w:left w:w="108" w:type="dxa"/>
              <w:bottom w:w="0" w:type="dxa"/>
              <w:right w:w="108" w:type="dxa"/>
            </w:tcMar>
            <w:vAlign w:val="center"/>
          </w:tcPr>
          <w:p w14:paraId="4165CB3E" w14:textId="47C9E5BE" w:rsidR="000E6E04" w:rsidRPr="00DD47DF" w:rsidRDefault="00FA5E47" w:rsidP="00D26AA4">
            <w:pPr>
              <w:pStyle w:val="Tabulka"/>
              <w:rPr>
                <w:rFonts w:cs="Calibri"/>
              </w:rPr>
            </w:pPr>
            <w:r w:rsidRPr="00700E39">
              <w:rPr>
                <w:rFonts w:cs="Calibri"/>
              </w:rPr>
              <w:t>3 772</w:t>
            </w:r>
          </w:p>
        </w:tc>
        <w:tc>
          <w:tcPr>
            <w:tcW w:w="688" w:type="dxa"/>
            <w:vAlign w:val="center"/>
          </w:tcPr>
          <w:p w14:paraId="7932DD4A" w14:textId="77777777" w:rsidR="000E6E04" w:rsidRPr="00DD47DF" w:rsidRDefault="00FC7054" w:rsidP="00700B4C">
            <w:pPr>
              <w:pStyle w:val="Tabulka"/>
              <w:rPr>
                <w:rFonts w:cs="Calibri"/>
              </w:rPr>
            </w:pPr>
            <w:r>
              <w:rPr>
                <w:rFonts w:cs="Calibri"/>
              </w:rPr>
              <w:t>MS2014+</w:t>
            </w:r>
          </w:p>
        </w:tc>
        <w:tc>
          <w:tcPr>
            <w:tcW w:w="2080" w:type="dxa"/>
            <w:vAlign w:val="center"/>
          </w:tcPr>
          <w:p w14:paraId="2F6062EF" w14:textId="77777777" w:rsidR="000E6E04" w:rsidRPr="00DD47DF" w:rsidRDefault="000E6E04" w:rsidP="00700B4C">
            <w:pPr>
              <w:pStyle w:val="Tabulka"/>
              <w:rPr>
                <w:rFonts w:cs="Calibri"/>
              </w:rPr>
            </w:pPr>
            <w:r w:rsidRPr="00DD47DF">
              <w:rPr>
                <w:rFonts w:cs="Calibri"/>
              </w:rPr>
              <w:t xml:space="preserve">Indikátor sleduje počet podpořených firem a pokrývá finančně nejobjemnější část intervence v rámci prioritní osy 3. Rozhodujícím okamžikem pro započítání hodnoty milníku bude počet </w:t>
            </w:r>
            <w:r w:rsidRPr="00DD47DF">
              <w:rPr>
                <w:rFonts w:cs="Calibri"/>
              </w:rPr>
              <w:lastRenderedPageBreak/>
              <w:t>podpořených firem s ukončenou fyzickou realizací tzn. dosažením cílů projektů.</w:t>
            </w:r>
          </w:p>
        </w:tc>
      </w:tr>
    </w:tbl>
    <w:p w14:paraId="2C50D3DD" w14:textId="77777777" w:rsidR="000E6E04" w:rsidRPr="00DD47DF" w:rsidRDefault="000E6E04" w:rsidP="000E6E04">
      <w:pPr>
        <w:pStyle w:val="Titulek"/>
      </w:pPr>
      <w:r w:rsidRPr="00DD47DF">
        <w:lastRenderedPageBreak/>
        <w:t>Další kvalitativní informace o stanovení výkonnostního rámce</w:t>
      </w:r>
    </w:p>
    <w:p w14:paraId="33DC9DA0" w14:textId="77777777" w:rsidR="000E6E04" w:rsidRPr="00DD47DF" w:rsidRDefault="000E6E04" w:rsidP="000E6E04">
      <w:pPr>
        <w:pStyle w:val="Standardntext"/>
      </w:pPr>
      <w:r w:rsidRPr="00DD47DF">
        <w:t>Pro OP PIK byly stanoveny hodnoty milníků pro rok 2018 a 2023 (finanční ukazatele a „certifikované finanční prostředky“, ukazatele výstupů).</w:t>
      </w:r>
    </w:p>
    <w:p w14:paraId="3197E2E2" w14:textId="77777777" w:rsidR="000E6E04" w:rsidRPr="00DD47DF" w:rsidRDefault="000E6E04" w:rsidP="000E6E04">
      <w:pPr>
        <w:pStyle w:val="Standardntext"/>
      </w:pPr>
      <w:r w:rsidRPr="00DD47DF">
        <w:t xml:space="preserve">Při kvantifikaci milníků </w:t>
      </w:r>
      <w:r w:rsidRPr="00DD47DF">
        <w:rPr>
          <w:b/>
          <w:bCs/>
        </w:rPr>
        <w:t>pro rok 2018</w:t>
      </w:r>
      <w:r w:rsidRPr="00DD47DF">
        <w:t xml:space="preserve"> byly zohledněny dále uvedené klíčové předpoklady:</w:t>
      </w:r>
    </w:p>
    <w:p w14:paraId="2AE7D730" w14:textId="77777777" w:rsidR="000E6E04" w:rsidRPr="00DD47DF" w:rsidRDefault="000E6E04" w:rsidP="00DA3512">
      <w:pPr>
        <w:pStyle w:val="Standardntext"/>
        <w:numPr>
          <w:ilvl w:val="0"/>
          <w:numId w:val="86"/>
        </w:numPr>
        <w:rPr>
          <w:strike/>
        </w:rPr>
      </w:pPr>
      <w:r w:rsidRPr="00DD47DF">
        <w:t>Zohledněn je aktuální finanční plán OP PIK;</w:t>
      </w:r>
    </w:p>
    <w:p w14:paraId="1B37132C" w14:textId="77777777" w:rsidR="000E6E04" w:rsidRPr="00DD47DF" w:rsidRDefault="000E6E04" w:rsidP="00DA3512">
      <w:pPr>
        <w:pStyle w:val="Standardntext"/>
        <w:numPr>
          <w:ilvl w:val="0"/>
          <w:numId w:val="86"/>
        </w:numPr>
      </w:pPr>
      <w:r w:rsidRPr="00DD47DF">
        <w:t>Při stanovení milníku bylo v maximální možné míře vycházeno ze zkušeností s OPPI;</w:t>
      </w:r>
    </w:p>
    <w:p w14:paraId="2AE74472" w14:textId="77777777" w:rsidR="000E6E04" w:rsidRPr="00DD47DF" w:rsidRDefault="000E6E04" w:rsidP="00DA3512">
      <w:pPr>
        <w:pStyle w:val="Standardntext"/>
        <w:numPr>
          <w:ilvl w:val="0"/>
          <w:numId w:val="86"/>
        </w:numPr>
      </w:pPr>
      <w:r w:rsidRPr="00DD47DF">
        <w:t>První výzvy budou vyhlášeny pravděpodobně nejdříve až ve 2.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až ve 3. čtvrtletí 2015;</w:t>
      </w:r>
    </w:p>
    <w:p w14:paraId="05398B81" w14:textId="77777777" w:rsidR="000E6E04" w:rsidRPr="00DD47DF" w:rsidRDefault="000E6E04" w:rsidP="00DA3512">
      <w:pPr>
        <w:pStyle w:val="Standardntext"/>
        <w:numPr>
          <w:ilvl w:val="0"/>
          <w:numId w:val="86"/>
        </w:numPr>
      </w:pPr>
      <w:r w:rsidRPr="00DD47DF">
        <w:t xml:space="preserve">Při možném předpokladu, že projekty budou dvouleté, to znamená, že první z nich ukončí realizaci nejdříve koncem roku 2017 a finanční prostředky tak budou předkládány k certifikaci až v průběhu roku 2018 (u delších projektů však až počátkem roku 2019); </w:t>
      </w:r>
    </w:p>
    <w:p w14:paraId="0BA98F49" w14:textId="77777777" w:rsidR="000E6E04" w:rsidRPr="00DD47DF" w:rsidRDefault="000E6E04" w:rsidP="00DA3512">
      <w:pPr>
        <w:pStyle w:val="Standardntext"/>
        <w:numPr>
          <w:ilvl w:val="0"/>
          <w:numId w:val="86"/>
        </w:numPr>
      </w:pPr>
      <w:r w:rsidRPr="00DD47DF">
        <w:t>Ukazatelé výstupů stanovené ve výkonnostním rámci odpovídají více než 50 % finančního přídělu na prioritu (v souladu se čl. 5 Prováděcího nařízení komise (EU) č. 215/2014);</w:t>
      </w:r>
    </w:p>
    <w:p w14:paraId="02EA9893" w14:textId="77777777" w:rsidR="000E6E04" w:rsidRPr="00DD47DF" w:rsidRDefault="000E6E04" w:rsidP="00DA3512">
      <w:pPr>
        <w:pStyle w:val="Standardntext"/>
        <w:numPr>
          <w:ilvl w:val="0"/>
          <w:numId w:val="86"/>
        </w:numPr>
      </w:pPr>
      <w:r w:rsidRPr="00DD47DF">
        <w:t>Není započítána výkonnostní rezerva stanovená ŘO OP PIK na roky 2014 a 2015;</w:t>
      </w:r>
    </w:p>
    <w:p w14:paraId="7CEBE397" w14:textId="77777777" w:rsidR="000E6E04" w:rsidRPr="00DD47DF" w:rsidRDefault="000E6E04" w:rsidP="00DA3512">
      <w:pPr>
        <w:pStyle w:val="Standardntext"/>
        <w:numPr>
          <w:ilvl w:val="0"/>
          <w:numId w:val="86"/>
        </w:numPr>
      </w:pPr>
      <w:r w:rsidRPr="00DD47DF">
        <w:t>Pravidlo n+3, na základě kterého je nutné vzít v úvahu, že na konci roku 2018 by měla být vyčerpána alokace let 2014, 2015;</w:t>
      </w:r>
    </w:p>
    <w:p w14:paraId="00870DCD" w14:textId="77777777" w:rsidR="000E6E04" w:rsidRPr="00DD47DF" w:rsidRDefault="000E6E04" w:rsidP="00DA3512">
      <w:pPr>
        <w:pStyle w:val="Standardntext"/>
        <w:numPr>
          <w:ilvl w:val="0"/>
          <w:numId w:val="86"/>
        </w:numPr>
        <w:rPr>
          <w:strike/>
        </w:rPr>
      </w:pPr>
      <w:r w:rsidRPr="00DD47DF">
        <w:t>Nové typy aktivit v některých specifických cílech této prioritní osy OP PIK (aktivity v SC 3.3, SC 3.4, SC 3.6);</w:t>
      </w:r>
    </w:p>
    <w:p w14:paraId="582911EA" w14:textId="77777777" w:rsidR="000E6E04" w:rsidRPr="00DD47DF" w:rsidRDefault="000E6E04" w:rsidP="00DA3512">
      <w:pPr>
        <w:pStyle w:val="Standardntext"/>
        <w:numPr>
          <w:ilvl w:val="0"/>
          <w:numId w:val="87"/>
        </w:numPr>
      </w:pPr>
      <w:r w:rsidRPr="00DD47DF">
        <w:t>Využití finančních nástrojů v SC 3.2 a SC 3.5, rizikovým je v tomto případě např. časový rámec pro přípravu projektu, lze tak předpokládat pomalejší rozjezd aktivit;</w:t>
      </w:r>
    </w:p>
    <w:p w14:paraId="3AA130CD" w14:textId="77777777" w:rsidR="000E6E04" w:rsidRPr="00DD47DF" w:rsidRDefault="000E6E04" w:rsidP="00DA3512">
      <w:pPr>
        <w:pStyle w:val="Standardntext"/>
        <w:numPr>
          <w:ilvl w:val="0"/>
          <w:numId w:val="87"/>
        </w:numPr>
      </w:pPr>
      <w:r w:rsidRPr="00DD47DF">
        <w:t>Výše alokace na jednotlivé aktivity SC včetně předpokládané výše veřejné podpory;</w:t>
      </w:r>
    </w:p>
    <w:p w14:paraId="54D9F1E7" w14:textId="77777777" w:rsidR="000E6E04" w:rsidRPr="00DD47DF" w:rsidRDefault="000E6E04" w:rsidP="00DA3512">
      <w:pPr>
        <w:pStyle w:val="Standardntext"/>
        <w:numPr>
          <w:ilvl w:val="0"/>
          <w:numId w:val="87"/>
        </w:numPr>
      </w:pPr>
      <w:r w:rsidRPr="00DD47DF">
        <w:lastRenderedPageBreak/>
        <w:t>Předpokládaná délka projektů v rámci jednotlivých aktivit.</w:t>
      </w:r>
    </w:p>
    <w:p w14:paraId="4822050E" w14:textId="77777777" w:rsidR="000E6E04" w:rsidRPr="00DD47DF" w:rsidRDefault="000E6E04" w:rsidP="00997228">
      <w:pPr>
        <w:pStyle w:val="Standardntext"/>
        <w:ind w:left="720"/>
      </w:pPr>
    </w:p>
    <w:p w14:paraId="5C28D7A1" w14:textId="77777777" w:rsidR="000E6E04" w:rsidRPr="00DD47DF" w:rsidRDefault="000E6E04" w:rsidP="00DA3512">
      <w:pPr>
        <w:pStyle w:val="Standardntext"/>
        <w:numPr>
          <w:ilvl w:val="0"/>
          <w:numId w:val="87"/>
        </w:numPr>
      </w:pPr>
      <w:r w:rsidRPr="00DD47DF">
        <w:rPr>
          <w:i/>
        </w:rPr>
        <w:t>Milník</w:t>
      </w:r>
      <w:r w:rsidRPr="00DD47DF">
        <w:rPr>
          <w:i/>
          <w:vertAlign w:val="superscript"/>
        </w:rPr>
        <w:t>2018 PO3</w:t>
      </w:r>
      <w:r w:rsidRPr="00DD47DF">
        <w:rPr>
          <w:i/>
        </w:rPr>
        <w:t>= (celkové způsobilé výdaje na PO 3 v roce 2014 + celkové způsobilé výdaje na PO 3 v roce 2015) – (10% finančních prostředků ERDF na PO 3 + podíl výkonnostní rezervy za roky 2014 a 2015 na PO 3)</w:t>
      </w:r>
    </w:p>
    <w:p w14:paraId="25E52AC2" w14:textId="77777777" w:rsidR="000E6E04" w:rsidRPr="00DD47DF" w:rsidRDefault="000E6E04" w:rsidP="000E6E04">
      <w:pPr>
        <w:pStyle w:val="Standardntext"/>
      </w:pPr>
      <w:r w:rsidRPr="00DD47DF">
        <w:t xml:space="preserve">Při kvantifikaci milníků </w:t>
      </w:r>
      <w:r w:rsidRPr="00DD47DF">
        <w:rPr>
          <w:b/>
          <w:bCs/>
        </w:rPr>
        <w:t>pro rok 2023</w:t>
      </w:r>
      <w:r w:rsidRPr="00DD47DF">
        <w:t xml:space="preserve"> byly zohledněny ještě dále uvedené klíčové předpoklady:</w:t>
      </w:r>
    </w:p>
    <w:p w14:paraId="63A62433" w14:textId="77777777" w:rsidR="000E6E04" w:rsidRPr="00DD47DF" w:rsidRDefault="000E6E04" w:rsidP="00DA3512">
      <w:pPr>
        <w:pStyle w:val="Standardntext"/>
        <w:numPr>
          <w:ilvl w:val="0"/>
          <w:numId w:val="88"/>
        </w:numPr>
      </w:pPr>
      <w:r w:rsidRPr="00DD47DF">
        <w:t>Klíčovým předpokladem je naplnění stanovených cílů programu v jednotlivých prioritních osách (finanční i věcné plnění);</w:t>
      </w:r>
    </w:p>
    <w:p w14:paraId="77C79C8E" w14:textId="77777777" w:rsidR="000E6E04" w:rsidRPr="00DD47DF" w:rsidRDefault="000E6E04" w:rsidP="00DA3512">
      <w:pPr>
        <w:pStyle w:val="Standardntext"/>
        <w:numPr>
          <w:ilvl w:val="0"/>
          <w:numId w:val="88"/>
        </w:numPr>
      </w:pPr>
      <w:r w:rsidRPr="00DD47DF">
        <w:t xml:space="preserve">Započítána je již i výkonnostní rezerva. </w:t>
      </w:r>
    </w:p>
    <w:p w14:paraId="3FCDE03B" w14:textId="77777777" w:rsidR="000E6E04" w:rsidRPr="00DD47DF" w:rsidRDefault="000E6E04" w:rsidP="000E6E04">
      <w:r w:rsidRPr="00DD47DF">
        <w:rPr>
          <w:sz w:val="24"/>
          <w:szCs w:val="24"/>
        </w:rPr>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 Téma výkonnostní rezervy a milníků je dále rozpracováno v Nepovinné příloze č. 3.</w:t>
      </w:r>
    </w:p>
    <w:p w14:paraId="58201FF5" w14:textId="77777777" w:rsidR="000E6E04" w:rsidRPr="00DD47DF" w:rsidRDefault="000E6E04" w:rsidP="000E6E04"/>
    <w:p w14:paraId="6376E2C0" w14:textId="77777777" w:rsidR="004126CC" w:rsidRPr="00DD47DF" w:rsidRDefault="004126CC" w:rsidP="000E6E04">
      <w:pPr>
        <w:pStyle w:val="kapitola2A0"/>
        <w:numPr>
          <w:ilvl w:val="0"/>
          <w:numId w:val="0"/>
        </w:numPr>
        <w:ind w:left="720" w:hanging="720"/>
        <w:sectPr w:rsidR="004126CC" w:rsidRPr="00DD47DF" w:rsidSect="004126CC">
          <w:headerReference w:type="default" r:id="rId39"/>
          <w:footerReference w:type="default" r:id="rId40"/>
          <w:pgSz w:w="16838" w:h="11906" w:orient="landscape"/>
          <w:pgMar w:top="1418" w:right="1418" w:bottom="1276" w:left="1276" w:header="709" w:footer="709" w:gutter="0"/>
          <w:cols w:space="708"/>
          <w:docGrid w:linePitch="272"/>
        </w:sectPr>
      </w:pPr>
      <w:bookmarkStart w:id="85" w:name="_Toc364327634"/>
    </w:p>
    <w:p w14:paraId="62E5DD67" w14:textId="77777777" w:rsidR="00B53995" w:rsidRPr="00DD47DF" w:rsidRDefault="00B53995" w:rsidP="00DA3512">
      <w:pPr>
        <w:pStyle w:val="kapitola2A0"/>
        <w:numPr>
          <w:ilvl w:val="2"/>
          <w:numId w:val="68"/>
        </w:numPr>
      </w:pPr>
      <w:bookmarkStart w:id="86" w:name="_Toc506885030"/>
      <w:r w:rsidRPr="00DD47DF">
        <w:lastRenderedPageBreak/>
        <w:t>Kategorie zásahů</w:t>
      </w:r>
      <w:bookmarkEnd w:id="86"/>
    </w:p>
    <w:bookmarkEnd w:id="85"/>
    <w:p w14:paraId="276BA9B6" w14:textId="59B252E9" w:rsidR="00F7325F" w:rsidRPr="00DD47DF" w:rsidRDefault="00F7325F" w:rsidP="007E38FF">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7</w:t>
      </w:r>
      <w:r w:rsidR="002756E7" w:rsidRPr="00DD47DF">
        <w:rPr>
          <w:noProof/>
        </w:rPr>
        <w:fldChar w:fldCharType="end"/>
      </w:r>
      <w:r w:rsidRPr="00DD47DF">
        <w:t xml:space="preserve"> - </w:t>
      </w:r>
      <w:r w:rsidR="00EF7F2D">
        <w:t>10</w:t>
      </w:r>
      <w:r w:rsidR="00F2469F" w:rsidRPr="00DD47DF">
        <w:t>: Kategorie zásahů</w:t>
      </w:r>
      <w:r w:rsidR="006C2096" w:rsidRPr="00DD47DF">
        <w:rPr>
          <w:rStyle w:val="Znakapoznpodarou"/>
        </w:rPr>
        <w:footnoteReference w:id="6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1707"/>
        <w:gridCol w:w="561"/>
        <w:gridCol w:w="1771"/>
        <w:gridCol w:w="639"/>
        <w:gridCol w:w="1692"/>
        <w:gridCol w:w="576"/>
        <w:gridCol w:w="1756"/>
      </w:tblGrid>
      <w:tr w:rsidR="000B2315" w:rsidRPr="00DD47DF" w14:paraId="523EB65B" w14:textId="77777777">
        <w:tc>
          <w:tcPr>
            <w:tcW w:w="9326" w:type="dxa"/>
            <w:gridSpan w:val="8"/>
            <w:shd w:val="clear" w:color="auto" w:fill="B8CCE4"/>
            <w:vAlign w:val="center"/>
          </w:tcPr>
          <w:p w14:paraId="685A772B" w14:textId="77777777" w:rsidR="009F18F5" w:rsidRPr="00DD47DF" w:rsidRDefault="009F18F5" w:rsidP="009F18F5">
            <w:pPr>
              <w:pStyle w:val="Tabulka"/>
              <w:keepNext/>
              <w:keepLines/>
              <w:rPr>
                <w:rFonts w:cs="Calibri"/>
                <w:b/>
              </w:rPr>
            </w:pPr>
            <w:r w:rsidRPr="00DD47DF">
              <w:rPr>
                <w:rFonts w:cs="Calibri"/>
                <w:b/>
              </w:rPr>
              <w:t xml:space="preserve">Fond: </w:t>
            </w:r>
            <w:r w:rsidRPr="00DD47DF">
              <w:rPr>
                <w:rFonts w:cs="Calibri"/>
              </w:rPr>
              <w:t>EFRR</w:t>
            </w:r>
          </w:p>
          <w:p w14:paraId="719A9478" w14:textId="77777777" w:rsidR="000B2315" w:rsidRPr="00DD47DF" w:rsidRDefault="009F18F5" w:rsidP="009F18F5">
            <w:pPr>
              <w:pStyle w:val="Tabulka"/>
              <w:keepNext/>
              <w:keepLines/>
              <w:rPr>
                <w:rFonts w:cs="Calibri"/>
                <w:i/>
              </w:rPr>
            </w:pPr>
            <w:r w:rsidRPr="00DD47DF">
              <w:rPr>
                <w:rFonts w:cs="Calibri"/>
                <w:b/>
              </w:rPr>
              <w:t xml:space="preserve">Kategorie regionů: </w:t>
            </w:r>
            <w:r w:rsidRPr="00DD47DF">
              <w:rPr>
                <w:rFonts w:cs="Calibri"/>
              </w:rPr>
              <w:t>Méně rozvinuté regiony</w:t>
            </w:r>
          </w:p>
        </w:tc>
      </w:tr>
      <w:tr w:rsidR="000B2315" w:rsidRPr="00DD47DF" w14:paraId="26084F54" w14:textId="77777777">
        <w:tc>
          <w:tcPr>
            <w:tcW w:w="2331" w:type="dxa"/>
            <w:gridSpan w:val="2"/>
            <w:shd w:val="clear" w:color="auto" w:fill="B8CCE4"/>
            <w:vAlign w:val="center"/>
          </w:tcPr>
          <w:p w14:paraId="4AE69727" w14:textId="77777777" w:rsidR="000B2315" w:rsidRPr="00DD47DF" w:rsidRDefault="000B2315" w:rsidP="00450475">
            <w:pPr>
              <w:pStyle w:val="Tabulka"/>
              <w:keepNext/>
              <w:keepLines/>
              <w:rPr>
                <w:rFonts w:cs="Calibri"/>
              </w:rPr>
            </w:pPr>
            <w:r w:rsidRPr="00DD47DF">
              <w:rPr>
                <w:rFonts w:cs="Calibri"/>
              </w:rPr>
              <w:t>Tabulka č. 7:</w:t>
            </w:r>
          </w:p>
          <w:p w14:paraId="0B4181B2" w14:textId="77777777" w:rsidR="000B2315" w:rsidRPr="00DD47DF" w:rsidRDefault="000B2315" w:rsidP="00450475">
            <w:pPr>
              <w:pStyle w:val="Tabulka"/>
              <w:keepNext/>
              <w:keepLines/>
              <w:rPr>
                <w:rFonts w:cs="Calibri"/>
              </w:rPr>
            </w:pPr>
            <w:r w:rsidRPr="00DD47DF">
              <w:rPr>
                <w:rFonts w:cs="Calibri"/>
              </w:rPr>
              <w:t>Dimenze 1</w:t>
            </w:r>
          </w:p>
          <w:p w14:paraId="6B194AED" w14:textId="77777777" w:rsidR="000B2315" w:rsidRPr="00DD47DF" w:rsidRDefault="000B2315" w:rsidP="00450475">
            <w:pPr>
              <w:pStyle w:val="Tabulka"/>
              <w:keepNext/>
              <w:keepLines/>
              <w:rPr>
                <w:rFonts w:cs="Calibri"/>
              </w:rPr>
            </w:pPr>
            <w:r w:rsidRPr="00DD47DF">
              <w:rPr>
                <w:rFonts w:cs="Calibri"/>
              </w:rPr>
              <w:t>Oblast zásahu</w:t>
            </w:r>
          </w:p>
        </w:tc>
        <w:tc>
          <w:tcPr>
            <w:tcW w:w="2332" w:type="dxa"/>
            <w:gridSpan w:val="2"/>
            <w:shd w:val="clear" w:color="auto" w:fill="B8CCE4"/>
            <w:vAlign w:val="center"/>
          </w:tcPr>
          <w:p w14:paraId="445C47F4" w14:textId="77777777" w:rsidR="000B2315" w:rsidRPr="00DD47DF" w:rsidRDefault="000B2315" w:rsidP="00450475">
            <w:pPr>
              <w:pStyle w:val="Tabulka"/>
              <w:keepNext/>
              <w:keepLines/>
              <w:rPr>
                <w:rFonts w:cs="Calibri"/>
              </w:rPr>
            </w:pPr>
            <w:r w:rsidRPr="00DD47DF">
              <w:rPr>
                <w:rFonts w:cs="Calibri"/>
              </w:rPr>
              <w:t>Tabulka č. 8:</w:t>
            </w:r>
          </w:p>
          <w:p w14:paraId="23413E2C" w14:textId="77777777" w:rsidR="000B2315" w:rsidRPr="00DD47DF" w:rsidRDefault="000B2315" w:rsidP="00450475">
            <w:pPr>
              <w:pStyle w:val="Tabulka"/>
              <w:keepNext/>
              <w:keepLines/>
              <w:rPr>
                <w:rFonts w:cs="Calibri"/>
              </w:rPr>
            </w:pPr>
            <w:r w:rsidRPr="00DD47DF">
              <w:rPr>
                <w:rFonts w:cs="Calibri"/>
              </w:rPr>
              <w:t>Dimenze 2</w:t>
            </w:r>
          </w:p>
          <w:p w14:paraId="18FAF25B" w14:textId="77777777" w:rsidR="000B2315" w:rsidRPr="00DD47DF" w:rsidRDefault="000B2315" w:rsidP="00450475">
            <w:pPr>
              <w:pStyle w:val="Tabulka"/>
              <w:keepNext/>
              <w:keepLines/>
              <w:rPr>
                <w:rFonts w:cs="Calibri"/>
              </w:rPr>
            </w:pPr>
            <w:r w:rsidRPr="00DD47DF">
              <w:rPr>
                <w:rFonts w:cs="Calibri"/>
              </w:rPr>
              <w:t>Forma financování</w:t>
            </w:r>
          </w:p>
        </w:tc>
        <w:tc>
          <w:tcPr>
            <w:tcW w:w="2331" w:type="dxa"/>
            <w:gridSpan w:val="2"/>
            <w:shd w:val="clear" w:color="auto" w:fill="B8CCE4"/>
            <w:vAlign w:val="center"/>
          </w:tcPr>
          <w:p w14:paraId="6E3054C3" w14:textId="77777777" w:rsidR="000B2315" w:rsidRPr="00DD47DF" w:rsidRDefault="000B2315" w:rsidP="00450475">
            <w:pPr>
              <w:pStyle w:val="Tabulka"/>
              <w:keepNext/>
              <w:keepLines/>
              <w:rPr>
                <w:rFonts w:cs="Calibri"/>
              </w:rPr>
            </w:pPr>
            <w:r w:rsidRPr="00DD47DF">
              <w:rPr>
                <w:rFonts w:cs="Calibri"/>
              </w:rPr>
              <w:t>Tabulka č. 9:</w:t>
            </w:r>
          </w:p>
          <w:p w14:paraId="4F30B686" w14:textId="77777777" w:rsidR="000B2315" w:rsidRPr="00DD47DF" w:rsidRDefault="000B2315" w:rsidP="00450475">
            <w:pPr>
              <w:pStyle w:val="Tabulka"/>
              <w:keepNext/>
              <w:keepLines/>
              <w:rPr>
                <w:rFonts w:cs="Calibri"/>
              </w:rPr>
            </w:pPr>
            <w:r w:rsidRPr="00DD47DF">
              <w:rPr>
                <w:rFonts w:cs="Calibri"/>
              </w:rPr>
              <w:t>Dimenze 3</w:t>
            </w:r>
          </w:p>
          <w:p w14:paraId="1AD70BEC" w14:textId="77777777" w:rsidR="000B2315" w:rsidRPr="00DD47DF" w:rsidRDefault="000B2315" w:rsidP="00450475">
            <w:pPr>
              <w:pStyle w:val="Tabulka"/>
              <w:keepNext/>
              <w:keepLines/>
              <w:rPr>
                <w:rFonts w:cs="Calibri"/>
              </w:rPr>
            </w:pPr>
            <w:r w:rsidRPr="00DD47DF">
              <w:rPr>
                <w:rFonts w:cs="Calibri"/>
              </w:rPr>
              <w:t>Typ území</w:t>
            </w:r>
          </w:p>
        </w:tc>
        <w:tc>
          <w:tcPr>
            <w:tcW w:w="2332" w:type="dxa"/>
            <w:gridSpan w:val="2"/>
            <w:shd w:val="clear" w:color="auto" w:fill="B8CCE4"/>
            <w:vAlign w:val="center"/>
          </w:tcPr>
          <w:p w14:paraId="46F11D06" w14:textId="77777777" w:rsidR="000B2315" w:rsidRPr="00DD47DF" w:rsidRDefault="000B2315" w:rsidP="00450475">
            <w:pPr>
              <w:pStyle w:val="Tabulka"/>
              <w:keepNext/>
              <w:keepLines/>
              <w:rPr>
                <w:rFonts w:cs="Calibri"/>
              </w:rPr>
            </w:pPr>
            <w:r w:rsidRPr="00DD47DF">
              <w:rPr>
                <w:rFonts w:cs="Calibri"/>
              </w:rPr>
              <w:t>Tabulka č. 10:</w:t>
            </w:r>
          </w:p>
          <w:p w14:paraId="2AF3432D" w14:textId="77777777" w:rsidR="000B2315" w:rsidRPr="00DD47DF" w:rsidRDefault="000B2315" w:rsidP="00450475">
            <w:pPr>
              <w:pStyle w:val="Tabulka"/>
              <w:keepNext/>
              <w:keepLines/>
              <w:rPr>
                <w:rFonts w:cs="Calibri"/>
              </w:rPr>
            </w:pPr>
            <w:r w:rsidRPr="00DD47DF">
              <w:rPr>
                <w:rFonts w:cs="Calibri"/>
              </w:rPr>
              <w:t>Dimenze 4</w:t>
            </w:r>
          </w:p>
          <w:p w14:paraId="5164E093" w14:textId="77777777" w:rsidR="000B2315" w:rsidRPr="00DD47DF" w:rsidRDefault="000B2315" w:rsidP="00450475">
            <w:pPr>
              <w:pStyle w:val="Tabulka"/>
              <w:keepNext/>
              <w:keepLines/>
              <w:rPr>
                <w:rFonts w:cs="Calibri"/>
              </w:rPr>
            </w:pPr>
            <w:r w:rsidRPr="00DD47DF">
              <w:rPr>
                <w:rFonts w:cs="Calibri"/>
              </w:rPr>
              <w:t>Mechanismus územního plnění</w:t>
            </w:r>
          </w:p>
        </w:tc>
      </w:tr>
      <w:tr w:rsidR="000B2315" w:rsidRPr="00DD47DF" w14:paraId="0D0FC9BC" w14:textId="77777777">
        <w:tc>
          <w:tcPr>
            <w:tcW w:w="624" w:type="dxa"/>
            <w:shd w:val="clear" w:color="auto" w:fill="DBE5F1"/>
            <w:vAlign w:val="center"/>
          </w:tcPr>
          <w:p w14:paraId="27D820E2" w14:textId="77777777" w:rsidR="000B2315" w:rsidRPr="00DD47DF" w:rsidRDefault="000B2315" w:rsidP="00450475">
            <w:pPr>
              <w:pStyle w:val="Tabulka"/>
              <w:keepNext/>
              <w:keepLines/>
              <w:rPr>
                <w:rFonts w:cs="Calibri"/>
              </w:rPr>
            </w:pPr>
            <w:r w:rsidRPr="00DD47DF">
              <w:rPr>
                <w:rFonts w:cs="Calibri"/>
              </w:rPr>
              <w:t>Kód</w:t>
            </w:r>
          </w:p>
        </w:tc>
        <w:tc>
          <w:tcPr>
            <w:tcW w:w="1707" w:type="dxa"/>
            <w:shd w:val="clear" w:color="auto" w:fill="DBE5F1"/>
            <w:vAlign w:val="center"/>
          </w:tcPr>
          <w:p w14:paraId="29725000" w14:textId="77777777" w:rsidR="000B2315" w:rsidRPr="00DD47DF" w:rsidRDefault="00D16DE9" w:rsidP="00450475">
            <w:pPr>
              <w:pStyle w:val="Tabulka"/>
              <w:keepNext/>
              <w:keepLines/>
              <w:rPr>
                <w:rFonts w:cs="Calibri"/>
              </w:rPr>
            </w:pPr>
            <w:r w:rsidRPr="00DD47DF">
              <w:rPr>
                <w:rFonts w:cs="Calibri"/>
              </w:rPr>
              <w:t>Částka (v EUR)</w:t>
            </w:r>
          </w:p>
        </w:tc>
        <w:tc>
          <w:tcPr>
            <w:tcW w:w="561" w:type="dxa"/>
            <w:shd w:val="clear" w:color="auto" w:fill="DBE5F1"/>
            <w:vAlign w:val="center"/>
          </w:tcPr>
          <w:p w14:paraId="2173D7EF" w14:textId="77777777" w:rsidR="000B2315" w:rsidRPr="00DD47DF" w:rsidRDefault="000B2315" w:rsidP="00450475">
            <w:pPr>
              <w:pStyle w:val="Tabulka"/>
              <w:keepNext/>
              <w:keepLines/>
              <w:rPr>
                <w:rFonts w:cs="Calibri"/>
              </w:rPr>
            </w:pPr>
            <w:r w:rsidRPr="00DD47DF">
              <w:rPr>
                <w:rFonts w:cs="Calibri"/>
              </w:rPr>
              <w:t>Kód</w:t>
            </w:r>
          </w:p>
        </w:tc>
        <w:tc>
          <w:tcPr>
            <w:tcW w:w="1771" w:type="dxa"/>
            <w:shd w:val="clear" w:color="auto" w:fill="DBE5F1"/>
            <w:vAlign w:val="center"/>
          </w:tcPr>
          <w:p w14:paraId="742FADAF" w14:textId="77777777" w:rsidR="000B2315" w:rsidRPr="00DD47DF" w:rsidRDefault="00D16DE9" w:rsidP="00450475">
            <w:pPr>
              <w:pStyle w:val="Tabulka"/>
              <w:keepNext/>
              <w:keepLines/>
              <w:rPr>
                <w:rFonts w:cs="Calibri"/>
              </w:rPr>
            </w:pPr>
            <w:r w:rsidRPr="00DD47DF">
              <w:rPr>
                <w:rFonts w:cs="Calibri"/>
              </w:rPr>
              <w:t>Částka (v EUR)</w:t>
            </w:r>
          </w:p>
        </w:tc>
        <w:tc>
          <w:tcPr>
            <w:tcW w:w="639" w:type="dxa"/>
            <w:shd w:val="clear" w:color="auto" w:fill="DBE5F1"/>
            <w:vAlign w:val="center"/>
          </w:tcPr>
          <w:p w14:paraId="642705D0" w14:textId="77777777" w:rsidR="000B2315" w:rsidRPr="00DD47DF" w:rsidRDefault="000B2315" w:rsidP="00450475">
            <w:pPr>
              <w:pStyle w:val="Tabulka"/>
              <w:keepNext/>
              <w:keepLines/>
              <w:rPr>
                <w:rFonts w:cs="Calibri"/>
              </w:rPr>
            </w:pPr>
            <w:r w:rsidRPr="00DD47DF">
              <w:rPr>
                <w:rFonts w:cs="Calibri"/>
              </w:rPr>
              <w:t>Kód</w:t>
            </w:r>
          </w:p>
        </w:tc>
        <w:tc>
          <w:tcPr>
            <w:tcW w:w="1692" w:type="dxa"/>
            <w:shd w:val="clear" w:color="auto" w:fill="DBE5F1"/>
            <w:vAlign w:val="center"/>
          </w:tcPr>
          <w:p w14:paraId="4816E47D" w14:textId="77777777" w:rsidR="000B2315" w:rsidRPr="00DD47DF" w:rsidRDefault="00D16DE9" w:rsidP="00450475">
            <w:pPr>
              <w:pStyle w:val="Tabulka"/>
              <w:keepNext/>
              <w:keepLines/>
              <w:rPr>
                <w:rFonts w:cs="Calibri"/>
              </w:rPr>
            </w:pPr>
            <w:r w:rsidRPr="00DD47DF">
              <w:rPr>
                <w:rFonts w:cs="Calibri"/>
              </w:rPr>
              <w:t>Částka (v EUR)</w:t>
            </w:r>
          </w:p>
        </w:tc>
        <w:tc>
          <w:tcPr>
            <w:tcW w:w="576" w:type="dxa"/>
            <w:shd w:val="clear" w:color="auto" w:fill="DBE5F1"/>
            <w:vAlign w:val="center"/>
          </w:tcPr>
          <w:p w14:paraId="314866C7" w14:textId="77777777" w:rsidR="000B2315" w:rsidRPr="00DD47DF" w:rsidRDefault="000B2315" w:rsidP="00450475">
            <w:pPr>
              <w:pStyle w:val="Tabulka"/>
              <w:keepNext/>
              <w:keepLines/>
              <w:rPr>
                <w:rFonts w:cs="Calibri"/>
              </w:rPr>
            </w:pPr>
            <w:r w:rsidRPr="00DD47DF">
              <w:rPr>
                <w:rFonts w:cs="Calibri"/>
              </w:rPr>
              <w:t>Kód</w:t>
            </w:r>
          </w:p>
        </w:tc>
        <w:tc>
          <w:tcPr>
            <w:tcW w:w="1756" w:type="dxa"/>
            <w:shd w:val="clear" w:color="auto" w:fill="DBE5F1"/>
            <w:vAlign w:val="center"/>
          </w:tcPr>
          <w:p w14:paraId="419BB231" w14:textId="77777777" w:rsidR="000B2315" w:rsidRPr="00DD47DF" w:rsidRDefault="00D16DE9" w:rsidP="00450475">
            <w:pPr>
              <w:pStyle w:val="Tabulka"/>
              <w:keepNext/>
              <w:keepLines/>
              <w:rPr>
                <w:rFonts w:cs="Calibri"/>
              </w:rPr>
            </w:pPr>
            <w:r w:rsidRPr="00DD47DF">
              <w:rPr>
                <w:rFonts w:cs="Calibri"/>
              </w:rPr>
              <w:t>Částka (v EUR)</w:t>
            </w:r>
          </w:p>
        </w:tc>
      </w:tr>
      <w:tr w:rsidR="00E50BE4" w:rsidRPr="00DD47DF" w14:paraId="64CABAED" w14:textId="77777777">
        <w:tc>
          <w:tcPr>
            <w:tcW w:w="624" w:type="dxa"/>
            <w:shd w:val="clear" w:color="auto" w:fill="auto"/>
            <w:vAlign w:val="center"/>
          </w:tcPr>
          <w:p w14:paraId="31BAF329" w14:textId="77777777" w:rsidR="00E50BE4" w:rsidRPr="00DD47DF" w:rsidRDefault="00E50BE4" w:rsidP="00E50BE4">
            <w:pPr>
              <w:pStyle w:val="Tabulka"/>
              <w:rPr>
                <w:rFonts w:cs="Calibri"/>
              </w:rPr>
            </w:pPr>
            <w:r w:rsidRPr="00DD47DF">
              <w:rPr>
                <w:rFonts w:cs="Calibri"/>
              </w:rPr>
              <w:t>003</w:t>
            </w:r>
          </w:p>
        </w:tc>
        <w:tc>
          <w:tcPr>
            <w:tcW w:w="1707" w:type="dxa"/>
            <w:shd w:val="clear" w:color="auto" w:fill="auto"/>
            <w:vAlign w:val="center"/>
          </w:tcPr>
          <w:p w14:paraId="6C0F38C5" w14:textId="1BC4935C" w:rsidR="00E50BE4" w:rsidRPr="00DD47DF" w:rsidRDefault="00321EB3" w:rsidP="00E50BE4">
            <w:pPr>
              <w:pStyle w:val="Tabulka"/>
              <w:jc w:val="right"/>
              <w:rPr>
                <w:rFonts w:cs="Calibri"/>
              </w:rPr>
            </w:pPr>
            <w:r w:rsidRPr="00700E39">
              <w:rPr>
                <w:color w:val="000000"/>
              </w:rPr>
              <w:t>28 309 949</w:t>
            </w:r>
          </w:p>
        </w:tc>
        <w:tc>
          <w:tcPr>
            <w:tcW w:w="561" w:type="dxa"/>
            <w:shd w:val="clear" w:color="auto" w:fill="auto"/>
            <w:vAlign w:val="center"/>
          </w:tcPr>
          <w:p w14:paraId="1F01C558" w14:textId="77777777" w:rsidR="00E50BE4" w:rsidRPr="00DD47DF" w:rsidRDefault="00E50BE4" w:rsidP="00E50BE4">
            <w:pPr>
              <w:pStyle w:val="Tabulka"/>
              <w:rPr>
                <w:rFonts w:cs="Calibri"/>
              </w:rPr>
            </w:pPr>
            <w:r w:rsidRPr="00DD47DF">
              <w:rPr>
                <w:rFonts w:cs="Calibri"/>
              </w:rPr>
              <w:t>01</w:t>
            </w:r>
          </w:p>
        </w:tc>
        <w:tc>
          <w:tcPr>
            <w:tcW w:w="1771" w:type="dxa"/>
            <w:shd w:val="clear" w:color="auto" w:fill="auto"/>
            <w:vAlign w:val="center"/>
          </w:tcPr>
          <w:p w14:paraId="21FC8A7A" w14:textId="082A3EC3" w:rsidR="00E50BE4" w:rsidRPr="00DD47DF" w:rsidRDefault="00B51078" w:rsidP="00E50BE4">
            <w:pPr>
              <w:pStyle w:val="Tabulka"/>
              <w:jc w:val="right"/>
              <w:rPr>
                <w:rFonts w:cs="Calibri"/>
              </w:rPr>
            </w:pPr>
            <w:r>
              <w:rPr>
                <w:rFonts w:cs="Calibri"/>
              </w:rPr>
              <w:t>1 145 129 658</w:t>
            </w:r>
          </w:p>
        </w:tc>
        <w:tc>
          <w:tcPr>
            <w:tcW w:w="639" w:type="dxa"/>
            <w:shd w:val="clear" w:color="auto" w:fill="auto"/>
            <w:vAlign w:val="center"/>
          </w:tcPr>
          <w:p w14:paraId="70592510" w14:textId="77777777" w:rsidR="00E50BE4" w:rsidRPr="00DD47DF" w:rsidRDefault="00E50BE4" w:rsidP="00E50BE4">
            <w:pPr>
              <w:pStyle w:val="Tabulka"/>
              <w:rPr>
                <w:rFonts w:cs="Calibri"/>
              </w:rPr>
            </w:pPr>
            <w:r w:rsidRPr="00DD47DF">
              <w:rPr>
                <w:rFonts w:cs="Calibri"/>
              </w:rPr>
              <w:t>01</w:t>
            </w:r>
          </w:p>
        </w:tc>
        <w:tc>
          <w:tcPr>
            <w:tcW w:w="1692" w:type="dxa"/>
            <w:shd w:val="clear" w:color="auto" w:fill="auto"/>
            <w:vAlign w:val="center"/>
          </w:tcPr>
          <w:p w14:paraId="26EFC03D" w14:textId="77777777" w:rsidR="00E50BE4" w:rsidRPr="00DD47DF" w:rsidRDefault="00E50BE4" w:rsidP="00E50BE4">
            <w:pPr>
              <w:pStyle w:val="Tabulka"/>
              <w:jc w:val="right"/>
              <w:rPr>
                <w:rFonts w:cs="Calibri"/>
              </w:rPr>
            </w:pPr>
            <w:r w:rsidRPr="00DD47DF">
              <w:rPr>
                <w:rFonts w:cs="Calibri"/>
              </w:rPr>
              <w:t>245 248 243</w:t>
            </w:r>
          </w:p>
        </w:tc>
        <w:tc>
          <w:tcPr>
            <w:tcW w:w="576" w:type="dxa"/>
            <w:shd w:val="clear" w:color="auto" w:fill="auto"/>
            <w:vAlign w:val="center"/>
          </w:tcPr>
          <w:p w14:paraId="56AEAD84" w14:textId="77777777" w:rsidR="00E50BE4" w:rsidRPr="00DD47DF" w:rsidRDefault="00E50BE4" w:rsidP="00E50BE4">
            <w:pPr>
              <w:pStyle w:val="Tabulka"/>
              <w:rPr>
                <w:rFonts w:cs="Calibri"/>
              </w:rPr>
            </w:pPr>
            <w:r w:rsidRPr="00DD47DF">
              <w:rPr>
                <w:rFonts w:cs="Calibri"/>
              </w:rPr>
              <w:t>01</w:t>
            </w:r>
          </w:p>
        </w:tc>
        <w:tc>
          <w:tcPr>
            <w:tcW w:w="1756" w:type="dxa"/>
            <w:shd w:val="clear" w:color="auto" w:fill="auto"/>
            <w:vAlign w:val="center"/>
          </w:tcPr>
          <w:p w14:paraId="06437421" w14:textId="5F55F4FB" w:rsidR="00E50BE4" w:rsidRPr="00DD47DF" w:rsidRDefault="00F20E9F" w:rsidP="00E50BE4">
            <w:pPr>
              <w:pStyle w:val="Tabulka"/>
              <w:jc w:val="right"/>
              <w:rPr>
                <w:rFonts w:cs="Calibri"/>
              </w:rPr>
            </w:pPr>
            <w:r w:rsidRPr="00700E39">
              <w:rPr>
                <w:rFonts w:cs="Calibri"/>
              </w:rPr>
              <w:t>7 407 407</w:t>
            </w:r>
          </w:p>
        </w:tc>
      </w:tr>
      <w:tr w:rsidR="00E50BE4" w:rsidRPr="00DD47DF" w14:paraId="608D730D" w14:textId="77777777">
        <w:tc>
          <w:tcPr>
            <w:tcW w:w="624" w:type="dxa"/>
            <w:shd w:val="clear" w:color="auto" w:fill="auto"/>
            <w:vAlign w:val="center"/>
          </w:tcPr>
          <w:p w14:paraId="507204FE" w14:textId="77777777" w:rsidR="00E50BE4" w:rsidRPr="00DD47DF" w:rsidRDefault="00E50BE4" w:rsidP="00E50BE4">
            <w:pPr>
              <w:pStyle w:val="Tabulka"/>
              <w:rPr>
                <w:rFonts w:cs="Calibri"/>
              </w:rPr>
            </w:pPr>
            <w:r w:rsidRPr="00DD47DF">
              <w:rPr>
                <w:rFonts w:cs="Calibri"/>
              </w:rPr>
              <w:t>005</w:t>
            </w:r>
          </w:p>
        </w:tc>
        <w:tc>
          <w:tcPr>
            <w:tcW w:w="1707" w:type="dxa"/>
            <w:shd w:val="clear" w:color="auto" w:fill="auto"/>
            <w:vAlign w:val="center"/>
          </w:tcPr>
          <w:p w14:paraId="41365785" w14:textId="7FA422BD" w:rsidR="00E50BE4" w:rsidRPr="00DD47DF" w:rsidRDefault="00321EB3" w:rsidP="00E50BE4">
            <w:pPr>
              <w:pStyle w:val="Tabulka"/>
              <w:jc w:val="right"/>
              <w:rPr>
                <w:rFonts w:cs="Calibri"/>
              </w:rPr>
            </w:pPr>
            <w:r w:rsidRPr="00700E39">
              <w:rPr>
                <w:color w:val="000000"/>
              </w:rPr>
              <w:t>158 533 699</w:t>
            </w:r>
          </w:p>
        </w:tc>
        <w:tc>
          <w:tcPr>
            <w:tcW w:w="561" w:type="dxa"/>
            <w:shd w:val="clear" w:color="auto" w:fill="auto"/>
            <w:vAlign w:val="center"/>
          </w:tcPr>
          <w:p w14:paraId="5CC85B96" w14:textId="77777777" w:rsidR="00E50BE4" w:rsidRPr="00DD47DF" w:rsidRDefault="00E50BE4" w:rsidP="00E50BE4">
            <w:pPr>
              <w:pStyle w:val="Tabulka"/>
              <w:rPr>
                <w:rFonts w:cs="Calibri"/>
              </w:rPr>
            </w:pPr>
            <w:r w:rsidRPr="00DD47DF">
              <w:rPr>
                <w:rFonts w:cs="Calibri"/>
              </w:rPr>
              <w:t>04</w:t>
            </w:r>
          </w:p>
        </w:tc>
        <w:tc>
          <w:tcPr>
            <w:tcW w:w="1771" w:type="dxa"/>
            <w:shd w:val="clear" w:color="auto" w:fill="auto"/>
            <w:vAlign w:val="center"/>
          </w:tcPr>
          <w:p w14:paraId="0D6E7445" w14:textId="0CE4E3C2" w:rsidR="00E50BE4" w:rsidRPr="00DD47DF" w:rsidRDefault="00B51078" w:rsidP="00E50BE4">
            <w:pPr>
              <w:pStyle w:val="Tabulka"/>
              <w:jc w:val="right"/>
              <w:rPr>
                <w:rFonts w:cs="Calibri"/>
              </w:rPr>
            </w:pPr>
            <w:r>
              <w:rPr>
                <w:rFonts w:cs="Calibri"/>
              </w:rPr>
              <w:t>63 000 000</w:t>
            </w:r>
          </w:p>
        </w:tc>
        <w:tc>
          <w:tcPr>
            <w:tcW w:w="639" w:type="dxa"/>
            <w:shd w:val="clear" w:color="auto" w:fill="auto"/>
            <w:vAlign w:val="center"/>
          </w:tcPr>
          <w:p w14:paraId="616F2852" w14:textId="77777777" w:rsidR="00E50BE4" w:rsidRPr="00DD47DF" w:rsidRDefault="00E50BE4" w:rsidP="00E50BE4">
            <w:pPr>
              <w:pStyle w:val="Tabulka"/>
              <w:rPr>
                <w:rFonts w:cs="Calibri"/>
              </w:rPr>
            </w:pPr>
            <w:r w:rsidRPr="00DD47DF">
              <w:rPr>
                <w:rFonts w:cs="Calibri"/>
              </w:rPr>
              <w:t>02</w:t>
            </w:r>
          </w:p>
        </w:tc>
        <w:tc>
          <w:tcPr>
            <w:tcW w:w="1692" w:type="dxa"/>
            <w:shd w:val="clear" w:color="auto" w:fill="auto"/>
            <w:vAlign w:val="center"/>
          </w:tcPr>
          <w:p w14:paraId="006AC6E8" w14:textId="77777777" w:rsidR="00E50BE4" w:rsidRPr="00DD47DF" w:rsidRDefault="00E50BE4" w:rsidP="00E50BE4">
            <w:pPr>
              <w:pStyle w:val="Tabulka"/>
              <w:jc w:val="right"/>
              <w:rPr>
                <w:rFonts w:cs="Calibri"/>
              </w:rPr>
            </w:pPr>
            <w:r w:rsidRPr="00DD47DF">
              <w:rPr>
                <w:rFonts w:cs="Calibri"/>
              </w:rPr>
              <w:t>567 198 407</w:t>
            </w:r>
          </w:p>
        </w:tc>
        <w:tc>
          <w:tcPr>
            <w:tcW w:w="576" w:type="dxa"/>
            <w:shd w:val="clear" w:color="auto" w:fill="auto"/>
            <w:vAlign w:val="center"/>
          </w:tcPr>
          <w:p w14:paraId="1B5D6217" w14:textId="77777777" w:rsidR="00E50BE4" w:rsidRPr="00DD47DF" w:rsidRDefault="00E50BE4" w:rsidP="00E50BE4">
            <w:pPr>
              <w:pStyle w:val="Tabulka"/>
              <w:rPr>
                <w:rFonts w:cs="Calibri"/>
              </w:rPr>
            </w:pPr>
            <w:r w:rsidRPr="00DD47DF">
              <w:rPr>
                <w:rFonts w:cs="Calibri"/>
              </w:rPr>
              <w:t>07</w:t>
            </w:r>
          </w:p>
        </w:tc>
        <w:tc>
          <w:tcPr>
            <w:tcW w:w="1756" w:type="dxa"/>
            <w:shd w:val="clear" w:color="auto" w:fill="auto"/>
            <w:vAlign w:val="center"/>
          </w:tcPr>
          <w:p w14:paraId="6888BB7C" w14:textId="56D59988" w:rsidR="00E50BE4" w:rsidRPr="00DD47DF" w:rsidRDefault="00712EE8" w:rsidP="00E50BE4">
            <w:pPr>
              <w:pStyle w:val="Tabulka"/>
              <w:jc w:val="right"/>
              <w:rPr>
                <w:rFonts w:cs="Calibri"/>
              </w:rPr>
            </w:pPr>
            <w:r w:rsidRPr="00700E39">
              <w:rPr>
                <w:rFonts w:cs="Calibri"/>
              </w:rPr>
              <w:t>1 209 722 251</w:t>
            </w:r>
          </w:p>
        </w:tc>
      </w:tr>
      <w:tr w:rsidR="00E50BE4" w:rsidRPr="00DD47DF" w14:paraId="06C3A5ED" w14:textId="77777777">
        <w:tc>
          <w:tcPr>
            <w:tcW w:w="624" w:type="dxa"/>
            <w:shd w:val="clear" w:color="auto" w:fill="auto"/>
            <w:vAlign w:val="center"/>
          </w:tcPr>
          <w:p w14:paraId="2D83AA91" w14:textId="77777777" w:rsidR="00E50BE4" w:rsidRPr="00DD47DF" w:rsidRDefault="00E50BE4" w:rsidP="00E50BE4">
            <w:pPr>
              <w:pStyle w:val="Tabulka"/>
              <w:rPr>
                <w:rFonts w:cs="Calibri"/>
              </w:rPr>
            </w:pPr>
            <w:r w:rsidRPr="00DD47DF">
              <w:rPr>
                <w:rFonts w:cs="Calibri"/>
              </w:rPr>
              <w:t>011</w:t>
            </w:r>
          </w:p>
        </w:tc>
        <w:tc>
          <w:tcPr>
            <w:tcW w:w="1707" w:type="dxa"/>
            <w:shd w:val="clear" w:color="auto" w:fill="auto"/>
            <w:vAlign w:val="center"/>
          </w:tcPr>
          <w:p w14:paraId="2F334548" w14:textId="44023768" w:rsidR="00E50BE4" w:rsidRPr="00DD47DF" w:rsidRDefault="00E50BE4" w:rsidP="00E50BE4">
            <w:pPr>
              <w:pStyle w:val="Tabulka"/>
              <w:jc w:val="right"/>
              <w:rPr>
                <w:rFonts w:cs="Calibri"/>
              </w:rPr>
            </w:pPr>
            <w:r>
              <w:rPr>
                <w:rFonts w:cs="Calibri"/>
              </w:rPr>
              <w:t>33 717 081</w:t>
            </w:r>
          </w:p>
        </w:tc>
        <w:tc>
          <w:tcPr>
            <w:tcW w:w="561" w:type="dxa"/>
            <w:shd w:val="clear" w:color="auto" w:fill="auto"/>
            <w:vAlign w:val="center"/>
          </w:tcPr>
          <w:p w14:paraId="5CF5B55E" w14:textId="77777777" w:rsidR="00E50BE4" w:rsidRPr="00DD47DF" w:rsidRDefault="00E50BE4" w:rsidP="00E50BE4">
            <w:pPr>
              <w:pStyle w:val="Tabulka"/>
              <w:rPr>
                <w:rFonts w:cs="Calibri"/>
              </w:rPr>
            </w:pPr>
            <w:r w:rsidRPr="00DD47DF">
              <w:rPr>
                <w:rFonts w:cs="Calibri"/>
              </w:rPr>
              <w:t>06</w:t>
            </w:r>
          </w:p>
        </w:tc>
        <w:tc>
          <w:tcPr>
            <w:tcW w:w="1771" w:type="dxa"/>
            <w:shd w:val="clear" w:color="auto" w:fill="auto"/>
            <w:vAlign w:val="center"/>
          </w:tcPr>
          <w:p w14:paraId="593BCBA9" w14:textId="4612D4FE" w:rsidR="00E50BE4" w:rsidRPr="00DD47DF" w:rsidRDefault="00E50BE4" w:rsidP="00E50BE4">
            <w:pPr>
              <w:pStyle w:val="Tabulka"/>
              <w:jc w:val="right"/>
              <w:rPr>
                <w:rFonts w:cs="Calibri"/>
              </w:rPr>
            </w:pPr>
            <w:r w:rsidRPr="00DD47DF">
              <w:rPr>
                <w:rFonts w:cs="Calibri"/>
              </w:rPr>
              <w:t>9 000 000</w:t>
            </w:r>
          </w:p>
        </w:tc>
        <w:tc>
          <w:tcPr>
            <w:tcW w:w="639" w:type="dxa"/>
            <w:shd w:val="clear" w:color="auto" w:fill="auto"/>
            <w:vAlign w:val="center"/>
          </w:tcPr>
          <w:p w14:paraId="6600FD8A" w14:textId="77777777" w:rsidR="00E50BE4" w:rsidRPr="00DD47DF" w:rsidRDefault="00E50BE4" w:rsidP="00E50BE4">
            <w:pPr>
              <w:pStyle w:val="Tabulka"/>
              <w:rPr>
                <w:rFonts w:cs="Calibri"/>
              </w:rPr>
            </w:pPr>
            <w:r w:rsidRPr="00DD47DF">
              <w:rPr>
                <w:rFonts w:cs="Calibri"/>
              </w:rPr>
              <w:t>03</w:t>
            </w:r>
          </w:p>
        </w:tc>
        <w:tc>
          <w:tcPr>
            <w:tcW w:w="1692" w:type="dxa"/>
            <w:shd w:val="clear" w:color="auto" w:fill="auto"/>
            <w:vAlign w:val="center"/>
          </w:tcPr>
          <w:p w14:paraId="4F0B8D98" w14:textId="77777777" w:rsidR="00E50BE4" w:rsidRPr="00DD47DF" w:rsidRDefault="00E50BE4" w:rsidP="00E50BE4">
            <w:pPr>
              <w:pStyle w:val="Tabulka"/>
              <w:jc w:val="right"/>
              <w:rPr>
                <w:rFonts w:cs="Calibri"/>
              </w:rPr>
            </w:pPr>
            <w:r w:rsidRPr="00DD47DF">
              <w:rPr>
                <w:rFonts w:cs="Calibri"/>
              </w:rPr>
              <w:t>404 683 008</w:t>
            </w:r>
          </w:p>
        </w:tc>
        <w:tc>
          <w:tcPr>
            <w:tcW w:w="576" w:type="dxa"/>
            <w:shd w:val="clear" w:color="auto" w:fill="auto"/>
            <w:vAlign w:val="center"/>
          </w:tcPr>
          <w:p w14:paraId="0943E0BB" w14:textId="77777777" w:rsidR="00E50BE4" w:rsidRPr="00DD47DF" w:rsidRDefault="00E50BE4" w:rsidP="00E50BE4">
            <w:pPr>
              <w:pStyle w:val="Tabulka"/>
              <w:rPr>
                <w:rFonts w:cs="Calibri"/>
              </w:rPr>
            </w:pPr>
          </w:p>
        </w:tc>
        <w:tc>
          <w:tcPr>
            <w:tcW w:w="1756" w:type="dxa"/>
            <w:shd w:val="clear" w:color="auto" w:fill="auto"/>
            <w:vAlign w:val="center"/>
          </w:tcPr>
          <w:p w14:paraId="0C11179D" w14:textId="77777777" w:rsidR="00E50BE4" w:rsidRPr="00DD47DF" w:rsidRDefault="00E50BE4" w:rsidP="00E50BE4">
            <w:pPr>
              <w:pStyle w:val="Tabulka"/>
              <w:jc w:val="right"/>
              <w:rPr>
                <w:rFonts w:cs="Calibri"/>
              </w:rPr>
            </w:pPr>
          </w:p>
        </w:tc>
      </w:tr>
      <w:tr w:rsidR="00E50BE4" w:rsidRPr="00DD47DF" w14:paraId="52542408" w14:textId="77777777">
        <w:tc>
          <w:tcPr>
            <w:tcW w:w="624" w:type="dxa"/>
            <w:shd w:val="clear" w:color="auto" w:fill="auto"/>
            <w:vAlign w:val="center"/>
          </w:tcPr>
          <w:p w14:paraId="1AC117F1" w14:textId="77777777" w:rsidR="00E50BE4" w:rsidRPr="00DD47DF" w:rsidRDefault="00E50BE4" w:rsidP="00E50BE4">
            <w:pPr>
              <w:pStyle w:val="Tabulka"/>
              <w:rPr>
                <w:rFonts w:cs="Calibri"/>
              </w:rPr>
            </w:pPr>
            <w:r w:rsidRPr="00DD47DF">
              <w:rPr>
                <w:rFonts w:cs="Calibri"/>
              </w:rPr>
              <w:t>012</w:t>
            </w:r>
          </w:p>
        </w:tc>
        <w:tc>
          <w:tcPr>
            <w:tcW w:w="1707" w:type="dxa"/>
            <w:shd w:val="clear" w:color="auto" w:fill="auto"/>
            <w:vAlign w:val="center"/>
          </w:tcPr>
          <w:p w14:paraId="7CC03DC8" w14:textId="241477E2" w:rsidR="00E50BE4" w:rsidRPr="00DD47DF" w:rsidRDefault="00E50BE4" w:rsidP="00E50BE4">
            <w:pPr>
              <w:pStyle w:val="Tabulka"/>
              <w:jc w:val="right"/>
              <w:rPr>
                <w:rFonts w:cs="Calibri"/>
              </w:rPr>
            </w:pPr>
            <w:r>
              <w:rPr>
                <w:rFonts w:cs="Calibri"/>
              </w:rPr>
              <w:t>19 802 095</w:t>
            </w:r>
          </w:p>
        </w:tc>
        <w:tc>
          <w:tcPr>
            <w:tcW w:w="561" w:type="dxa"/>
            <w:shd w:val="clear" w:color="auto" w:fill="auto"/>
            <w:vAlign w:val="center"/>
          </w:tcPr>
          <w:p w14:paraId="760F1B90" w14:textId="77777777" w:rsidR="00E50BE4" w:rsidRPr="00DD47DF" w:rsidRDefault="00E50BE4" w:rsidP="00E50BE4">
            <w:pPr>
              <w:pStyle w:val="Tabulka"/>
              <w:rPr>
                <w:rFonts w:cs="Calibri"/>
              </w:rPr>
            </w:pPr>
          </w:p>
        </w:tc>
        <w:tc>
          <w:tcPr>
            <w:tcW w:w="1771" w:type="dxa"/>
            <w:shd w:val="clear" w:color="auto" w:fill="auto"/>
            <w:vAlign w:val="center"/>
          </w:tcPr>
          <w:p w14:paraId="3CA15188" w14:textId="77777777" w:rsidR="00E50BE4" w:rsidRPr="00DD47DF" w:rsidRDefault="00E50BE4" w:rsidP="00E50BE4">
            <w:pPr>
              <w:pStyle w:val="Tabulka"/>
              <w:jc w:val="right"/>
              <w:rPr>
                <w:rFonts w:cs="Calibri"/>
              </w:rPr>
            </w:pPr>
          </w:p>
        </w:tc>
        <w:tc>
          <w:tcPr>
            <w:tcW w:w="639" w:type="dxa"/>
            <w:shd w:val="clear" w:color="auto" w:fill="auto"/>
            <w:vAlign w:val="center"/>
          </w:tcPr>
          <w:p w14:paraId="13C1AFBE" w14:textId="77777777" w:rsidR="00E50BE4" w:rsidRPr="00DD47DF" w:rsidRDefault="00E50BE4" w:rsidP="00E50BE4">
            <w:pPr>
              <w:pStyle w:val="Tabulka"/>
              <w:rPr>
                <w:rFonts w:cs="Calibri"/>
              </w:rPr>
            </w:pPr>
          </w:p>
        </w:tc>
        <w:tc>
          <w:tcPr>
            <w:tcW w:w="1692" w:type="dxa"/>
            <w:shd w:val="clear" w:color="auto" w:fill="auto"/>
            <w:vAlign w:val="center"/>
          </w:tcPr>
          <w:p w14:paraId="087FBDA1" w14:textId="77777777" w:rsidR="00E50BE4" w:rsidRPr="00DD47DF" w:rsidRDefault="00E50BE4" w:rsidP="00E50BE4">
            <w:pPr>
              <w:pStyle w:val="Tabulka"/>
              <w:jc w:val="right"/>
              <w:rPr>
                <w:rFonts w:cs="Calibri"/>
              </w:rPr>
            </w:pPr>
          </w:p>
        </w:tc>
        <w:tc>
          <w:tcPr>
            <w:tcW w:w="576" w:type="dxa"/>
            <w:shd w:val="clear" w:color="auto" w:fill="auto"/>
            <w:vAlign w:val="center"/>
          </w:tcPr>
          <w:p w14:paraId="279A8668" w14:textId="77777777" w:rsidR="00E50BE4" w:rsidRPr="00DD47DF" w:rsidRDefault="00E50BE4" w:rsidP="00E50BE4">
            <w:pPr>
              <w:pStyle w:val="Tabulka"/>
              <w:rPr>
                <w:rFonts w:cs="Calibri"/>
              </w:rPr>
            </w:pPr>
          </w:p>
        </w:tc>
        <w:tc>
          <w:tcPr>
            <w:tcW w:w="1756" w:type="dxa"/>
            <w:shd w:val="clear" w:color="auto" w:fill="auto"/>
            <w:vAlign w:val="center"/>
          </w:tcPr>
          <w:p w14:paraId="6E23111B" w14:textId="77777777" w:rsidR="00E50BE4" w:rsidRPr="00DD47DF" w:rsidRDefault="00E50BE4" w:rsidP="00E50BE4">
            <w:pPr>
              <w:pStyle w:val="Tabulka"/>
              <w:jc w:val="right"/>
              <w:rPr>
                <w:rFonts w:cs="Calibri"/>
              </w:rPr>
            </w:pPr>
          </w:p>
        </w:tc>
      </w:tr>
      <w:tr w:rsidR="00E50BE4" w:rsidRPr="00DD47DF" w14:paraId="4E6859EF" w14:textId="77777777">
        <w:tc>
          <w:tcPr>
            <w:tcW w:w="624" w:type="dxa"/>
            <w:shd w:val="clear" w:color="auto" w:fill="auto"/>
            <w:vAlign w:val="center"/>
          </w:tcPr>
          <w:p w14:paraId="00F71E0D" w14:textId="77777777" w:rsidR="00E50BE4" w:rsidRPr="00DD47DF" w:rsidRDefault="00E50BE4" w:rsidP="00E50BE4">
            <w:pPr>
              <w:pStyle w:val="Tabulka"/>
              <w:rPr>
                <w:rFonts w:cs="Calibri"/>
              </w:rPr>
            </w:pPr>
            <w:r w:rsidRPr="00DD47DF">
              <w:rPr>
                <w:rFonts w:cs="Calibri"/>
              </w:rPr>
              <w:t>015</w:t>
            </w:r>
          </w:p>
        </w:tc>
        <w:tc>
          <w:tcPr>
            <w:tcW w:w="1707" w:type="dxa"/>
            <w:shd w:val="clear" w:color="auto" w:fill="auto"/>
            <w:vAlign w:val="center"/>
          </w:tcPr>
          <w:p w14:paraId="234895B7" w14:textId="4047F08B" w:rsidR="00E50BE4" w:rsidRPr="00DD47DF" w:rsidRDefault="00E50BE4" w:rsidP="00E50BE4">
            <w:pPr>
              <w:pStyle w:val="Tabulka"/>
              <w:jc w:val="right"/>
              <w:rPr>
                <w:rFonts w:cs="Calibri"/>
              </w:rPr>
            </w:pPr>
            <w:r w:rsidRPr="00DD47DF">
              <w:rPr>
                <w:rFonts w:cs="Calibri"/>
              </w:rPr>
              <w:t>37 118 139</w:t>
            </w:r>
          </w:p>
        </w:tc>
        <w:tc>
          <w:tcPr>
            <w:tcW w:w="561" w:type="dxa"/>
            <w:shd w:val="clear" w:color="auto" w:fill="auto"/>
            <w:vAlign w:val="center"/>
          </w:tcPr>
          <w:p w14:paraId="32A461C7" w14:textId="77777777" w:rsidR="00E50BE4" w:rsidRPr="00DD47DF" w:rsidRDefault="00E50BE4" w:rsidP="00E50BE4">
            <w:pPr>
              <w:pStyle w:val="Tabulka"/>
              <w:rPr>
                <w:rFonts w:cs="Calibri"/>
              </w:rPr>
            </w:pPr>
          </w:p>
        </w:tc>
        <w:tc>
          <w:tcPr>
            <w:tcW w:w="1771" w:type="dxa"/>
            <w:shd w:val="clear" w:color="auto" w:fill="auto"/>
            <w:vAlign w:val="center"/>
          </w:tcPr>
          <w:p w14:paraId="6747DB88" w14:textId="77777777" w:rsidR="00E50BE4" w:rsidRPr="00DD47DF" w:rsidRDefault="00E50BE4" w:rsidP="00E50BE4">
            <w:pPr>
              <w:pStyle w:val="Tabulka"/>
              <w:jc w:val="right"/>
              <w:rPr>
                <w:rFonts w:cs="Calibri"/>
              </w:rPr>
            </w:pPr>
          </w:p>
        </w:tc>
        <w:tc>
          <w:tcPr>
            <w:tcW w:w="639" w:type="dxa"/>
            <w:shd w:val="clear" w:color="auto" w:fill="auto"/>
            <w:vAlign w:val="center"/>
          </w:tcPr>
          <w:p w14:paraId="4ABDD67F" w14:textId="77777777" w:rsidR="00E50BE4" w:rsidRPr="00DD47DF" w:rsidRDefault="00E50BE4" w:rsidP="00E50BE4">
            <w:pPr>
              <w:pStyle w:val="Tabulka"/>
              <w:rPr>
                <w:rFonts w:cs="Calibri"/>
              </w:rPr>
            </w:pPr>
          </w:p>
        </w:tc>
        <w:tc>
          <w:tcPr>
            <w:tcW w:w="1692" w:type="dxa"/>
            <w:shd w:val="clear" w:color="auto" w:fill="auto"/>
            <w:vAlign w:val="center"/>
          </w:tcPr>
          <w:p w14:paraId="6FDA9F73" w14:textId="77777777" w:rsidR="00E50BE4" w:rsidRPr="00DD47DF" w:rsidRDefault="00E50BE4" w:rsidP="00E50BE4">
            <w:pPr>
              <w:pStyle w:val="Tabulka"/>
              <w:jc w:val="right"/>
              <w:rPr>
                <w:rFonts w:cs="Calibri"/>
              </w:rPr>
            </w:pPr>
          </w:p>
        </w:tc>
        <w:tc>
          <w:tcPr>
            <w:tcW w:w="576" w:type="dxa"/>
            <w:shd w:val="clear" w:color="auto" w:fill="auto"/>
            <w:vAlign w:val="center"/>
          </w:tcPr>
          <w:p w14:paraId="3123EC66" w14:textId="77777777" w:rsidR="00E50BE4" w:rsidRPr="00DD47DF" w:rsidRDefault="00E50BE4" w:rsidP="00E50BE4">
            <w:pPr>
              <w:pStyle w:val="Tabulka"/>
              <w:rPr>
                <w:rFonts w:cs="Calibri"/>
              </w:rPr>
            </w:pPr>
          </w:p>
        </w:tc>
        <w:tc>
          <w:tcPr>
            <w:tcW w:w="1756" w:type="dxa"/>
            <w:shd w:val="clear" w:color="auto" w:fill="auto"/>
            <w:vAlign w:val="center"/>
          </w:tcPr>
          <w:p w14:paraId="4A30D501" w14:textId="77777777" w:rsidR="00E50BE4" w:rsidRPr="00DD47DF" w:rsidRDefault="00E50BE4" w:rsidP="00E50BE4">
            <w:pPr>
              <w:pStyle w:val="Tabulka"/>
              <w:jc w:val="right"/>
              <w:rPr>
                <w:rFonts w:cs="Calibri"/>
              </w:rPr>
            </w:pPr>
          </w:p>
        </w:tc>
      </w:tr>
      <w:tr w:rsidR="00E50BE4" w:rsidRPr="00DD47DF" w14:paraId="02C310E7" w14:textId="77777777">
        <w:tc>
          <w:tcPr>
            <w:tcW w:w="624" w:type="dxa"/>
            <w:shd w:val="clear" w:color="auto" w:fill="auto"/>
            <w:vAlign w:val="center"/>
          </w:tcPr>
          <w:p w14:paraId="144F061C" w14:textId="77777777" w:rsidR="00E50BE4" w:rsidRPr="00DD47DF" w:rsidRDefault="00E50BE4" w:rsidP="00E50BE4">
            <w:pPr>
              <w:pStyle w:val="Tabulka"/>
              <w:rPr>
                <w:rFonts w:cs="Calibri"/>
              </w:rPr>
            </w:pPr>
            <w:r w:rsidRPr="00DD47DF">
              <w:rPr>
                <w:rFonts w:cs="Calibri"/>
              </w:rPr>
              <w:t>016</w:t>
            </w:r>
          </w:p>
        </w:tc>
        <w:tc>
          <w:tcPr>
            <w:tcW w:w="1707" w:type="dxa"/>
            <w:shd w:val="clear" w:color="auto" w:fill="auto"/>
            <w:vAlign w:val="center"/>
          </w:tcPr>
          <w:p w14:paraId="36AA234F" w14:textId="22E3DD5D" w:rsidR="00E50BE4" w:rsidRPr="00DD47DF" w:rsidRDefault="00E50BE4" w:rsidP="00E50BE4">
            <w:pPr>
              <w:pStyle w:val="Tabulka"/>
              <w:jc w:val="right"/>
              <w:rPr>
                <w:rFonts w:cs="Calibri"/>
              </w:rPr>
            </w:pPr>
            <w:r w:rsidRPr="00AC0508">
              <w:rPr>
                <w:rFonts w:cs="Calibri"/>
              </w:rPr>
              <w:t>142</w:t>
            </w:r>
            <w:r>
              <w:rPr>
                <w:rFonts w:cs="Calibri"/>
              </w:rPr>
              <w:t xml:space="preserve"> </w:t>
            </w:r>
            <w:r w:rsidRPr="00AC0508">
              <w:rPr>
                <w:rFonts w:cs="Calibri"/>
              </w:rPr>
              <w:t>861</w:t>
            </w:r>
            <w:r>
              <w:rPr>
                <w:rFonts w:cs="Calibri"/>
              </w:rPr>
              <w:t xml:space="preserve"> </w:t>
            </w:r>
            <w:r w:rsidRPr="00AC0508">
              <w:rPr>
                <w:rFonts w:cs="Calibri"/>
              </w:rPr>
              <w:t>673</w:t>
            </w:r>
          </w:p>
        </w:tc>
        <w:tc>
          <w:tcPr>
            <w:tcW w:w="561" w:type="dxa"/>
            <w:shd w:val="clear" w:color="auto" w:fill="auto"/>
            <w:vAlign w:val="center"/>
          </w:tcPr>
          <w:p w14:paraId="38195DF3" w14:textId="77777777" w:rsidR="00E50BE4" w:rsidRPr="00DD47DF" w:rsidRDefault="00E50BE4" w:rsidP="00E50BE4">
            <w:pPr>
              <w:pStyle w:val="Tabulka"/>
              <w:rPr>
                <w:rFonts w:cs="Calibri"/>
              </w:rPr>
            </w:pPr>
          </w:p>
        </w:tc>
        <w:tc>
          <w:tcPr>
            <w:tcW w:w="1771" w:type="dxa"/>
            <w:shd w:val="clear" w:color="auto" w:fill="auto"/>
            <w:vAlign w:val="center"/>
          </w:tcPr>
          <w:p w14:paraId="4035FB5C" w14:textId="77777777" w:rsidR="00E50BE4" w:rsidRPr="00DD47DF" w:rsidRDefault="00E50BE4" w:rsidP="00E50BE4">
            <w:pPr>
              <w:pStyle w:val="Tabulka"/>
              <w:jc w:val="right"/>
              <w:rPr>
                <w:rFonts w:cs="Calibri"/>
              </w:rPr>
            </w:pPr>
          </w:p>
        </w:tc>
        <w:tc>
          <w:tcPr>
            <w:tcW w:w="639" w:type="dxa"/>
            <w:shd w:val="clear" w:color="auto" w:fill="auto"/>
            <w:vAlign w:val="center"/>
          </w:tcPr>
          <w:p w14:paraId="71F8C838" w14:textId="77777777" w:rsidR="00E50BE4" w:rsidRPr="00DD47DF" w:rsidRDefault="00E50BE4" w:rsidP="00E50BE4">
            <w:pPr>
              <w:pStyle w:val="Tabulka"/>
              <w:rPr>
                <w:rFonts w:cs="Calibri"/>
              </w:rPr>
            </w:pPr>
          </w:p>
        </w:tc>
        <w:tc>
          <w:tcPr>
            <w:tcW w:w="1692" w:type="dxa"/>
            <w:shd w:val="clear" w:color="auto" w:fill="auto"/>
            <w:vAlign w:val="center"/>
          </w:tcPr>
          <w:p w14:paraId="7025F757" w14:textId="77777777" w:rsidR="00E50BE4" w:rsidRPr="00DD47DF" w:rsidRDefault="00E50BE4" w:rsidP="00E50BE4">
            <w:pPr>
              <w:pStyle w:val="Tabulka"/>
              <w:jc w:val="right"/>
              <w:rPr>
                <w:rFonts w:cs="Calibri"/>
              </w:rPr>
            </w:pPr>
          </w:p>
        </w:tc>
        <w:tc>
          <w:tcPr>
            <w:tcW w:w="576" w:type="dxa"/>
            <w:shd w:val="clear" w:color="auto" w:fill="auto"/>
            <w:vAlign w:val="center"/>
          </w:tcPr>
          <w:p w14:paraId="7B8EAD21" w14:textId="77777777" w:rsidR="00E50BE4" w:rsidRPr="00DD47DF" w:rsidRDefault="00E50BE4" w:rsidP="00E50BE4">
            <w:pPr>
              <w:pStyle w:val="Tabulka"/>
              <w:rPr>
                <w:rFonts w:cs="Calibri"/>
              </w:rPr>
            </w:pPr>
          </w:p>
        </w:tc>
        <w:tc>
          <w:tcPr>
            <w:tcW w:w="1756" w:type="dxa"/>
            <w:shd w:val="clear" w:color="auto" w:fill="auto"/>
            <w:vAlign w:val="center"/>
          </w:tcPr>
          <w:p w14:paraId="2B94B3D1" w14:textId="77777777" w:rsidR="00E50BE4" w:rsidRPr="00DD47DF" w:rsidRDefault="00E50BE4" w:rsidP="00E50BE4">
            <w:pPr>
              <w:pStyle w:val="Tabulka"/>
              <w:jc w:val="right"/>
              <w:rPr>
                <w:rFonts w:cs="Calibri"/>
              </w:rPr>
            </w:pPr>
          </w:p>
        </w:tc>
      </w:tr>
      <w:tr w:rsidR="00E50BE4" w:rsidRPr="00DD47DF" w14:paraId="1CCBE6EB" w14:textId="77777777">
        <w:tc>
          <w:tcPr>
            <w:tcW w:w="624" w:type="dxa"/>
            <w:shd w:val="clear" w:color="auto" w:fill="auto"/>
            <w:vAlign w:val="center"/>
          </w:tcPr>
          <w:p w14:paraId="106C1555" w14:textId="77777777" w:rsidR="00E50BE4" w:rsidRPr="00DD47DF" w:rsidRDefault="00E50BE4" w:rsidP="00E50BE4">
            <w:pPr>
              <w:pStyle w:val="Tabulka"/>
              <w:rPr>
                <w:rFonts w:cs="Calibri"/>
              </w:rPr>
            </w:pPr>
            <w:r w:rsidRPr="00DD47DF">
              <w:rPr>
                <w:rFonts w:cs="Calibri"/>
              </w:rPr>
              <w:t>068</w:t>
            </w:r>
          </w:p>
        </w:tc>
        <w:tc>
          <w:tcPr>
            <w:tcW w:w="1707" w:type="dxa"/>
            <w:shd w:val="clear" w:color="auto" w:fill="auto"/>
            <w:vAlign w:val="center"/>
          </w:tcPr>
          <w:p w14:paraId="1D7B2631" w14:textId="1AAFFC99" w:rsidR="00E50BE4" w:rsidRPr="00DD47DF" w:rsidRDefault="00E50BE4" w:rsidP="00E50BE4">
            <w:pPr>
              <w:pStyle w:val="Tabulka"/>
              <w:jc w:val="right"/>
              <w:rPr>
                <w:rFonts w:cs="Calibri"/>
              </w:rPr>
            </w:pPr>
            <w:r w:rsidRPr="001A705B">
              <w:rPr>
                <w:rFonts w:cs="Calibri"/>
              </w:rPr>
              <w:t>298</w:t>
            </w:r>
            <w:r>
              <w:rPr>
                <w:rFonts w:cs="Calibri"/>
              </w:rPr>
              <w:t xml:space="preserve"> </w:t>
            </w:r>
            <w:r w:rsidRPr="001A705B">
              <w:rPr>
                <w:rFonts w:cs="Calibri"/>
              </w:rPr>
              <w:t>498</w:t>
            </w:r>
            <w:r>
              <w:rPr>
                <w:rFonts w:cs="Calibri"/>
              </w:rPr>
              <w:t xml:space="preserve"> </w:t>
            </w:r>
            <w:r w:rsidRPr="001A705B">
              <w:rPr>
                <w:rFonts w:cs="Calibri"/>
              </w:rPr>
              <w:t>891</w:t>
            </w:r>
          </w:p>
        </w:tc>
        <w:tc>
          <w:tcPr>
            <w:tcW w:w="561" w:type="dxa"/>
            <w:shd w:val="clear" w:color="auto" w:fill="auto"/>
            <w:vAlign w:val="center"/>
          </w:tcPr>
          <w:p w14:paraId="1874D4C9" w14:textId="77777777" w:rsidR="00E50BE4" w:rsidRPr="00DD47DF" w:rsidRDefault="00E50BE4" w:rsidP="00E50BE4">
            <w:pPr>
              <w:pStyle w:val="Tabulka"/>
              <w:rPr>
                <w:rFonts w:cs="Calibri"/>
              </w:rPr>
            </w:pPr>
          </w:p>
        </w:tc>
        <w:tc>
          <w:tcPr>
            <w:tcW w:w="1771" w:type="dxa"/>
            <w:shd w:val="clear" w:color="auto" w:fill="auto"/>
            <w:vAlign w:val="center"/>
          </w:tcPr>
          <w:p w14:paraId="5513D239" w14:textId="77777777" w:rsidR="00E50BE4" w:rsidRPr="00DD47DF" w:rsidRDefault="00E50BE4" w:rsidP="00E50BE4">
            <w:pPr>
              <w:pStyle w:val="Tabulka"/>
              <w:jc w:val="right"/>
              <w:rPr>
                <w:rFonts w:cs="Calibri"/>
              </w:rPr>
            </w:pPr>
          </w:p>
        </w:tc>
        <w:tc>
          <w:tcPr>
            <w:tcW w:w="639" w:type="dxa"/>
            <w:shd w:val="clear" w:color="auto" w:fill="auto"/>
            <w:vAlign w:val="center"/>
          </w:tcPr>
          <w:p w14:paraId="7474BF2D" w14:textId="77777777" w:rsidR="00E50BE4" w:rsidRPr="00DD47DF" w:rsidRDefault="00E50BE4" w:rsidP="00E50BE4">
            <w:pPr>
              <w:pStyle w:val="Tabulka"/>
              <w:rPr>
                <w:rFonts w:cs="Calibri"/>
              </w:rPr>
            </w:pPr>
          </w:p>
        </w:tc>
        <w:tc>
          <w:tcPr>
            <w:tcW w:w="1692" w:type="dxa"/>
            <w:shd w:val="clear" w:color="auto" w:fill="auto"/>
            <w:vAlign w:val="center"/>
          </w:tcPr>
          <w:p w14:paraId="3DD725D2" w14:textId="77777777" w:rsidR="00E50BE4" w:rsidRPr="00DD47DF" w:rsidRDefault="00E50BE4" w:rsidP="00E50BE4">
            <w:pPr>
              <w:pStyle w:val="Tabulka"/>
              <w:jc w:val="right"/>
              <w:rPr>
                <w:rFonts w:cs="Calibri"/>
              </w:rPr>
            </w:pPr>
          </w:p>
        </w:tc>
        <w:tc>
          <w:tcPr>
            <w:tcW w:w="576" w:type="dxa"/>
            <w:shd w:val="clear" w:color="auto" w:fill="auto"/>
            <w:vAlign w:val="center"/>
          </w:tcPr>
          <w:p w14:paraId="01D2C887" w14:textId="77777777" w:rsidR="00E50BE4" w:rsidRPr="00DD47DF" w:rsidRDefault="00E50BE4" w:rsidP="00E50BE4">
            <w:pPr>
              <w:pStyle w:val="Tabulka"/>
              <w:rPr>
                <w:rFonts w:cs="Calibri"/>
              </w:rPr>
            </w:pPr>
          </w:p>
        </w:tc>
        <w:tc>
          <w:tcPr>
            <w:tcW w:w="1756" w:type="dxa"/>
            <w:shd w:val="clear" w:color="auto" w:fill="auto"/>
            <w:vAlign w:val="center"/>
          </w:tcPr>
          <w:p w14:paraId="0E63915A" w14:textId="77777777" w:rsidR="00E50BE4" w:rsidRPr="00DD47DF" w:rsidRDefault="00E50BE4" w:rsidP="00E50BE4">
            <w:pPr>
              <w:pStyle w:val="Tabulka"/>
              <w:jc w:val="right"/>
              <w:rPr>
                <w:rFonts w:cs="Calibri"/>
              </w:rPr>
            </w:pPr>
          </w:p>
        </w:tc>
      </w:tr>
      <w:tr w:rsidR="00E50BE4" w:rsidRPr="00DD47DF" w14:paraId="4071B0D4" w14:textId="77777777">
        <w:tc>
          <w:tcPr>
            <w:tcW w:w="624" w:type="dxa"/>
            <w:shd w:val="clear" w:color="auto" w:fill="auto"/>
            <w:vAlign w:val="center"/>
          </w:tcPr>
          <w:p w14:paraId="556678D9" w14:textId="77777777" w:rsidR="00E50BE4" w:rsidRPr="00DD47DF" w:rsidRDefault="00E50BE4" w:rsidP="00E50BE4">
            <w:pPr>
              <w:pStyle w:val="Tabulka"/>
              <w:rPr>
                <w:rFonts w:cs="Calibri"/>
              </w:rPr>
            </w:pPr>
            <w:r w:rsidRPr="00DD47DF">
              <w:rPr>
                <w:rFonts w:cs="Calibri"/>
              </w:rPr>
              <w:t>069</w:t>
            </w:r>
          </w:p>
        </w:tc>
        <w:tc>
          <w:tcPr>
            <w:tcW w:w="1707" w:type="dxa"/>
            <w:shd w:val="clear" w:color="auto" w:fill="auto"/>
            <w:vAlign w:val="center"/>
          </w:tcPr>
          <w:p w14:paraId="5736EE81" w14:textId="56E992FB" w:rsidR="00E50BE4" w:rsidRPr="00DD47DF" w:rsidRDefault="00321EB3" w:rsidP="00E50BE4">
            <w:pPr>
              <w:pStyle w:val="Tabulka"/>
              <w:jc w:val="right"/>
              <w:rPr>
                <w:rFonts w:cs="Calibri"/>
              </w:rPr>
            </w:pPr>
            <w:r w:rsidRPr="00700E39">
              <w:rPr>
                <w:color w:val="000000"/>
              </w:rPr>
              <w:t>50 539 796</w:t>
            </w:r>
          </w:p>
        </w:tc>
        <w:tc>
          <w:tcPr>
            <w:tcW w:w="561" w:type="dxa"/>
            <w:shd w:val="clear" w:color="auto" w:fill="auto"/>
            <w:vAlign w:val="center"/>
          </w:tcPr>
          <w:p w14:paraId="7168A440" w14:textId="77777777" w:rsidR="00E50BE4" w:rsidRPr="00DD47DF" w:rsidRDefault="00E50BE4" w:rsidP="00E50BE4">
            <w:pPr>
              <w:pStyle w:val="Tabulka"/>
              <w:rPr>
                <w:rFonts w:cs="Calibri"/>
              </w:rPr>
            </w:pPr>
          </w:p>
        </w:tc>
        <w:tc>
          <w:tcPr>
            <w:tcW w:w="1771" w:type="dxa"/>
            <w:shd w:val="clear" w:color="auto" w:fill="auto"/>
            <w:vAlign w:val="center"/>
          </w:tcPr>
          <w:p w14:paraId="56721FD6" w14:textId="77777777" w:rsidR="00E50BE4" w:rsidRPr="00DD47DF" w:rsidRDefault="00E50BE4" w:rsidP="00E50BE4">
            <w:pPr>
              <w:pStyle w:val="Tabulka"/>
              <w:jc w:val="right"/>
              <w:rPr>
                <w:rFonts w:cs="Calibri"/>
              </w:rPr>
            </w:pPr>
          </w:p>
        </w:tc>
        <w:tc>
          <w:tcPr>
            <w:tcW w:w="639" w:type="dxa"/>
            <w:shd w:val="clear" w:color="auto" w:fill="auto"/>
            <w:vAlign w:val="center"/>
          </w:tcPr>
          <w:p w14:paraId="733C46DB" w14:textId="77777777" w:rsidR="00E50BE4" w:rsidRPr="00DD47DF" w:rsidRDefault="00E50BE4" w:rsidP="00E50BE4">
            <w:pPr>
              <w:pStyle w:val="Tabulka"/>
              <w:rPr>
                <w:rFonts w:cs="Calibri"/>
              </w:rPr>
            </w:pPr>
          </w:p>
        </w:tc>
        <w:tc>
          <w:tcPr>
            <w:tcW w:w="1692" w:type="dxa"/>
            <w:shd w:val="clear" w:color="auto" w:fill="auto"/>
            <w:vAlign w:val="center"/>
          </w:tcPr>
          <w:p w14:paraId="6A7731E6" w14:textId="77777777" w:rsidR="00E50BE4" w:rsidRPr="00DD47DF" w:rsidRDefault="00E50BE4" w:rsidP="00E50BE4">
            <w:pPr>
              <w:pStyle w:val="Tabulka"/>
              <w:jc w:val="right"/>
              <w:rPr>
                <w:rFonts w:cs="Calibri"/>
              </w:rPr>
            </w:pPr>
          </w:p>
        </w:tc>
        <w:tc>
          <w:tcPr>
            <w:tcW w:w="576" w:type="dxa"/>
            <w:shd w:val="clear" w:color="auto" w:fill="auto"/>
            <w:vAlign w:val="center"/>
          </w:tcPr>
          <w:p w14:paraId="79C22595" w14:textId="77777777" w:rsidR="00E50BE4" w:rsidRPr="00DD47DF" w:rsidRDefault="00E50BE4" w:rsidP="00E50BE4">
            <w:pPr>
              <w:pStyle w:val="Tabulka"/>
              <w:rPr>
                <w:rFonts w:cs="Calibri"/>
              </w:rPr>
            </w:pPr>
          </w:p>
        </w:tc>
        <w:tc>
          <w:tcPr>
            <w:tcW w:w="1756" w:type="dxa"/>
            <w:shd w:val="clear" w:color="auto" w:fill="auto"/>
            <w:vAlign w:val="center"/>
          </w:tcPr>
          <w:p w14:paraId="2828CDF3" w14:textId="77777777" w:rsidR="00E50BE4" w:rsidRPr="00DD47DF" w:rsidRDefault="00E50BE4" w:rsidP="00E50BE4">
            <w:pPr>
              <w:pStyle w:val="Tabulka"/>
              <w:jc w:val="right"/>
              <w:rPr>
                <w:rFonts w:cs="Calibri"/>
              </w:rPr>
            </w:pPr>
          </w:p>
        </w:tc>
      </w:tr>
      <w:tr w:rsidR="00E50BE4" w:rsidRPr="00DD47DF" w14:paraId="59EC7E5B" w14:textId="77777777">
        <w:tc>
          <w:tcPr>
            <w:tcW w:w="624" w:type="dxa"/>
            <w:shd w:val="clear" w:color="auto" w:fill="auto"/>
            <w:vAlign w:val="center"/>
          </w:tcPr>
          <w:p w14:paraId="64998EC7" w14:textId="77777777" w:rsidR="00E50BE4" w:rsidRPr="00DD47DF" w:rsidRDefault="00E50BE4" w:rsidP="00E50BE4">
            <w:pPr>
              <w:pStyle w:val="Tabulka"/>
              <w:rPr>
                <w:rFonts w:cs="Calibri"/>
              </w:rPr>
            </w:pPr>
            <w:r w:rsidRPr="00DD47DF">
              <w:rPr>
                <w:rFonts w:cs="Calibri"/>
              </w:rPr>
              <w:t>070</w:t>
            </w:r>
          </w:p>
        </w:tc>
        <w:tc>
          <w:tcPr>
            <w:tcW w:w="1707" w:type="dxa"/>
            <w:shd w:val="clear" w:color="auto" w:fill="auto"/>
            <w:vAlign w:val="center"/>
          </w:tcPr>
          <w:p w14:paraId="7207595B" w14:textId="2855B0A5" w:rsidR="00E50BE4" w:rsidRPr="00DD47DF" w:rsidRDefault="00E50BE4" w:rsidP="00E50BE4">
            <w:pPr>
              <w:pStyle w:val="Tabulka"/>
              <w:jc w:val="right"/>
              <w:rPr>
                <w:rFonts w:cs="Calibri"/>
              </w:rPr>
            </w:pPr>
            <w:r w:rsidRPr="001A705B">
              <w:rPr>
                <w:rFonts w:cs="Calibri"/>
              </w:rPr>
              <w:t>447</w:t>
            </w:r>
            <w:r>
              <w:rPr>
                <w:rFonts w:cs="Calibri"/>
              </w:rPr>
              <w:t xml:space="preserve"> </w:t>
            </w:r>
            <w:r w:rsidRPr="001A705B">
              <w:rPr>
                <w:rFonts w:cs="Calibri"/>
              </w:rPr>
              <w:t>748</w:t>
            </w:r>
            <w:r>
              <w:rPr>
                <w:rFonts w:cs="Calibri"/>
              </w:rPr>
              <w:t xml:space="preserve"> </w:t>
            </w:r>
            <w:r w:rsidRPr="001A705B">
              <w:rPr>
                <w:rFonts w:cs="Calibri"/>
              </w:rPr>
              <w:t>335</w:t>
            </w:r>
          </w:p>
        </w:tc>
        <w:tc>
          <w:tcPr>
            <w:tcW w:w="561" w:type="dxa"/>
            <w:shd w:val="clear" w:color="auto" w:fill="auto"/>
            <w:vAlign w:val="center"/>
          </w:tcPr>
          <w:p w14:paraId="1EFBFBEF" w14:textId="77777777" w:rsidR="00E50BE4" w:rsidRPr="00DD47DF" w:rsidRDefault="00E50BE4" w:rsidP="00E50BE4">
            <w:pPr>
              <w:pStyle w:val="Tabulka"/>
              <w:rPr>
                <w:rFonts w:cs="Calibri"/>
              </w:rPr>
            </w:pPr>
          </w:p>
        </w:tc>
        <w:tc>
          <w:tcPr>
            <w:tcW w:w="1771" w:type="dxa"/>
            <w:shd w:val="clear" w:color="auto" w:fill="auto"/>
            <w:vAlign w:val="center"/>
          </w:tcPr>
          <w:p w14:paraId="43FCCDAD" w14:textId="77777777" w:rsidR="00E50BE4" w:rsidRPr="00DD47DF" w:rsidRDefault="00E50BE4" w:rsidP="00E50BE4">
            <w:pPr>
              <w:pStyle w:val="Tabulka"/>
              <w:jc w:val="right"/>
              <w:rPr>
                <w:rFonts w:cs="Calibri"/>
              </w:rPr>
            </w:pPr>
          </w:p>
        </w:tc>
        <w:tc>
          <w:tcPr>
            <w:tcW w:w="639" w:type="dxa"/>
            <w:shd w:val="clear" w:color="auto" w:fill="auto"/>
            <w:vAlign w:val="center"/>
          </w:tcPr>
          <w:p w14:paraId="546B351F" w14:textId="77777777" w:rsidR="00E50BE4" w:rsidRPr="00DD47DF" w:rsidRDefault="00E50BE4" w:rsidP="00E50BE4">
            <w:pPr>
              <w:pStyle w:val="Tabulka"/>
              <w:rPr>
                <w:rFonts w:cs="Calibri"/>
              </w:rPr>
            </w:pPr>
          </w:p>
        </w:tc>
        <w:tc>
          <w:tcPr>
            <w:tcW w:w="1692" w:type="dxa"/>
            <w:shd w:val="clear" w:color="auto" w:fill="auto"/>
            <w:vAlign w:val="center"/>
          </w:tcPr>
          <w:p w14:paraId="2FE1C6D8" w14:textId="77777777" w:rsidR="00E50BE4" w:rsidRPr="00DD47DF" w:rsidRDefault="00E50BE4" w:rsidP="00E50BE4">
            <w:pPr>
              <w:pStyle w:val="Tabulka"/>
              <w:jc w:val="right"/>
              <w:rPr>
                <w:rFonts w:cs="Calibri"/>
              </w:rPr>
            </w:pPr>
          </w:p>
        </w:tc>
        <w:tc>
          <w:tcPr>
            <w:tcW w:w="576" w:type="dxa"/>
            <w:shd w:val="clear" w:color="auto" w:fill="auto"/>
            <w:vAlign w:val="center"/>
          </w:tcPr>
          <w:p w14:paraId="03962B7B" w14:textId="77777777" w:rsidR="00E50BE4" w:rsidRPr="00DD47DF" w:rsidRDefault="00E50BE4" w:rsidP="00E50BE4">
            <w:pPr>
              <w:pStyle w:val="Tabulka"/>
              <w:rPr>
                <w:rFonts w:cs="Calibri"/>
              </w:rPr>
            </w:pPr>
          </w:p>
        </w:tc>
        <w:tc>
          <w:tcPr>
            <w:tcW w:w="1756" w:type="dxa"/>
            <w:shd w:val="clear" w:color="auto" w:fill="auto"/>
            <w:vAlign w:val="center"/>
          </w:tcPr>
          <w:p w14:paraId="330ECD73" w14:textId="77777777" w:rsidR="00E50BE4" w:rsidRPr="00DD47DF" w:rsidRDefault="00E50BE4" w:rsidP="00E50BE4">
            <w:pPr>
              <w:pStyle w:val="Tabulka"/>
              <w:jc w:val="right"/>
              <w:rPr>
                <w:rFonts w:cs="Calibri"/>
              </w:rPr>
            </w:pPr>
          </w:p>
        </w:tc>
      </w:tr>
    </w:tbl>
    <w:p w14:paraId="60B85122" w14:textId="77777777" w:rsidR="00B53995" w:rsidRPr="00DD47DF" w:rsidRDefault="00B53995" w:rsidP="00DA3512">
      <w:pPr>
        <w:pStyle w:val="kapitola2A0"/>
        <w:numPr>
          <w:ilvl w:val="2"/>
          <w:numId w:val="68"/>
        </w:numPr>
      </w:pPr>
      <w:bookmarkStart w:id="87" w:name="_Toc506885031"/>
      <w:bookmarkStart w:id="88" w:name="_Toc351464403"/>
      <w:r w:rsidRPr="00DD47DF">
        <w:t>Přehled plánovaného využití technické pomoci, je-li to nutné, včetně opatření na posílení správní kapacity orgánů zapojených do řízení a kontroly programů a příjemců (použije-li se)</w:t>
      </w:r>
      <w:bookmarkEnd w:id="87"/>
    </w:p>
    <w:p w14:paraId="1A0D6AA8" w14:textId="77777777" w:rsidR="000373F5" w:rsidRPr="00DD47DF" w:rsidRDefault="006F58B4" w:rsidP="000373F5">
      <w:pPr>
        <w:pStyle w:val="Standardntext"/>
        <w:rPr>
          <w:color w:val="FF0000"/>
        </w:rPr>
      </w:pPr>
      <w:r w:rsidRPr="00DD47DF">
        <w:t>Není relevantní pro OP PIK.</w:t>
      </w:r>
    </w:p>
    <w:p w14:paraId="0FC178B0" w14:textId="77777777" w:rsidR="001B7120" w:rsidRPr="00DD47DF" w:rsidRDefault="001B7120" w:rsidP="001B7120">
      <w:pPr>
        <w:pStyle w:val="Standardntext"/>
        <w:rPr>
          <w:color w:val="FF0000"/>
        </w:rPr>
      </w:pPr>
      <w:r w:rsidRPr="00DD47DF">
        <w:rPr>
          <w:color w:val="FF0000"/>
        </w:rPr>
        <w:br w:type="page"/>
      </w:r>
    </w:p>
    <w:p w14:paraId="0C3FC09F" w14:textId="77777777" w:rsidR="00B53995" w:rsidRPr="00DD47DF" w:rsidRDefault="00B53995" w:rsidP="005F43DF">
      <w:pPr>
        <w:pStyle w:val="kapitola2A0"/>
        <w:numPr>
          <w:ilvl w:val="2"/>
          <w:numId w:val="25"/>
        </w:numPr>
      </w:pPr>
      <w:bookmarkStart w:id="89" w:name="_Toc506885032"/>
      <w:bookmarkStart w:id="90" w:name="_Toc351464405"/>
      <w:bookmarkEnd w:id="88"/>
      <w:r w:rsidRPr="00DD47DF">
        <w:lastRenderedPageBreak/>
        <w:t>PRIORITNÍ OSA 4: Rozvoj vysokorychlostních přístupových sítí k internetu a informačních a komunikačních technologií</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B53995" w:rsidRPr="00DD47DF" w14:paraId="37110E0E" w14:textId="77777777">
        <w:tc>
          <w:tcPr>
            <w:tcW w:w="4736" w:type="pct"/>
            <w:shd w:val="clear" w:color="auto" w:fill="auto"/>
            <w:vAlign w:val="center"/>
          </w:tcPr>
          <w:p w14:paraId="04CD4E96" w14:textId="77777777" w:rsidR="00B53995" w:rsidRPr="00DD47DF" w:rsidRDefault="00B53995" w:rsidP="00B53995">
            <w:pPr>
              <w:pStyle w:val="Tabulka"/>
              <w:jc w:val="left"/>
              <w:rPr>
                <w:rFonts w:cs="Calibri"/>
              </w:rPr>
            </w:pPr>
            <w:r w:rsidRPr="00DD47DF">
              <w:rPr>
                <w:rFonts w:cs="Calibri"/>
              </w:rPr>
              <w:t>Celá prioritní osa bude realizována výhradně prostřednictvím finančních nástrojů</w:t>
            </w:r>
          </w:p>
        </w:tc>
        <w:tc>
          <w:tcPr>
            <w:tcW w:w="264" w:type="pct"/>
            <w:shd w:val="clear" w:color="auto" w:fill="auto"/>
            <w:vAlign w:val="center"/>
          </w:tcPr>
          <w:p w14:paraId="534C7428" w14:textId="77777777" w:rsidR="00B53995" w:rsidRPr="00DD47DF" w:rsidRDefault="002756E7" w:rsidP="00B53995">
            <w:pPr>
              <w:pStyle w:val="Tabulka"/>
              <w:rPr>
                <w:rFonts w:cs="Calibri"/>
              </w:rPr>
            </w:pPr>
            <w:r w:rsidRPr="00DD47DF">
              <w:rPr>
                <w:rFonts w:cs="Calibri"/>
              </w:rPr>
              <w:fldChar w:fldCharType="begin">
                <w:ffData>
                  <w:name w:val="Check1"/>
                  <w:enabled/>
                  <w:calcOnExit w:val="0"/>
                  <w:checkBox>
                    <w:sizeAuto/>
                    <w:default w:val="0"/>
                  </w:checkBox>
                </w:ffData>
              </w:fldChar>
            </w:r>
            <w:r w:rsidR="00B53995" w:rsidRPr="00DD47DF">
              <w:rPr>
                <w:rFonts w:cs="Calibri"/>
              </w:rPr>
              <w:instrText xml:space="preserve"> FORMCHECKBOX </w:instrText>
            </w:r>
            <w:r w:rsidR="00580034">
              <w:rPr>
                <w:rFonts w:cs="Calibri"/>
              </w:rPr>
            </w:r>
            <w:r w:rsidR="00580034">
              <w:rPr>
                <w:rFonts w:cs="Calibri"/>
              </w:rPr>
              <w:fldChar w:fldCharType="separate"/>
            </w:r>
            <w:r w:rsidRPr="00DD47DF">
              <w:rPr>
                <w:rFonts w:cs="Calibri"/>
              </w:rPr>
              <w:fldChar w:fldCharType="end"/>
            </w:r>
          </w:p>
        </w:tc>
      </w:tr>
      <w:tr w:rsidR="00B53995" w:rsidRPr="00DD47DF" w14:paraId="2F53514F" w14:textId="77777777">
        <w:tc>
          <w:tcPr>
            <w:tcW w:w="4736" w:type="pct"/>
            <w:shd w:val="clear" w:color="auto" w:fill="auto"/>
            <w:vAlign w:val="center"/>
          </w:tcPr>
          <w:p w14:paraId="2454FBAA" w14:textId="77777777" w:rsidR="00B53995" w:rsidRPr="00DD47DF" w:rsidRDefault="00B53995" w:rsidP="00B53995">
            <w:pPr>
              <w:pStyle w:val="Tabulka"/>
              <w:jc w:val="left"/>
              <w:rPr>
                <w:rFonts w:cs="Calibri"/>
              </w:rPr>
            </w:pPr>
            <w:r w:rsidRPr="00DD47DF">
              <w:rPr>
                <w:rFonts w:cs="Calibri"/>
              </w:rPr>
              <w:t>Celá prioritní osa bude realizována výhradně prostřednictvím finančních nástrojů zřízených na úrovni Unie</w:t>
            </w:r>
          </w:p>
        </w:tc>
        <w:tc>
          <w:tcPr>
            <w:tcW w:w="264" w:type="pct"/>
            <w:shd w:val="clear" w:color="auto" w:fill="auto"/>
            <w:vAlign w:val="center"/>
          </w:tcPr>
          <w:p w14:paraId="6B4774A8" w14:textId="77777777" w:rsidR="00B53995" w:rsidRPr="00DD47DF" w:rsidRDefault="002756E7" w:rsidP="00B53995">
            <w:pPr>
              <w:pStyle w:val="Tabulka"/>
              <w:rPr>
                <w:rFonts w:cs="Calibri"/>
              </w:rPr>
            </w:pPr>
            <w:r w:rsidRPr="00DD47DF">
              <w:rPr>
                <w:rFonts w:cs="Calibri"/>
              </w:rPr>
              <w:fldChar w:fldCharType="begin">
                <w:ffData>
                  <w:name w:val="Check1"/>
                  <w:enabled/>
                  <w:calcOnExit w:val="0"/>
                  <w:checkBox>
                    <w:sizeAuto/>
                    <w:default w:val="0"/>
                  </w:checkBox>
                </w:ffData>
              </w:fldChar>
            </w:r>
            <w:r w:rsidR="00B53995" w:rsidRPr="00DD47DF">
              <w:rPr>
                <w:rFonts w:cs="Calibri"/>
              </w:rPr>
              <w:instrText xml:space="preserve"> FORMCHECKBOX </w:instrText>
            </w:r>
            <w:r w:rsidR="00580034">
              <w:rPr>
                <w:rFonts w:cs="Calibri"/>
              </w:rPr>
            </w:r>
            <w:r w:rsidR="00580034">
              <w:rPr>
                <w:rFonts w:cs="Calibri"/>
              </w:rPr>
              <w:fldChar w:fldCharType="separate"/>
            </w:r>
            <w:r w:rsidRPr="00DD47DF">
              <w:rPr>
                <w:rFonts w:cs="Calibri"/>
              </w:rPr>
              <w:fldChar w:fldCharType="end"/>
            </w:r>
          </w:p>
        </w:tc>
      </w:tr>
      <w:tr w:rsidR="00B53995" w:rsidRPr="00DD47DF" w14:paraId="220501FA" w14:textId="77777777">
        <w:tc>
          <w:tcPr>
            <w:tcW w:w="4736" w:type="pct"/>
            <w:shd w:val="clear" w:color="auto" w:fill="auto"/>
            <w:vAlign w:val="center"/>
          </w:tcPr>
          <w:p w14:paraId="2A631C57" w14:textId="77777777" w:rsidR="00B53995" w:rsidRPr="00DD47DF" w:rsidRDefault="00B53995" w:rsidP="00B53995">
            <w:pPr>
              <w:pStyle w:val="Tabulka"/>
              <w:jc w:val="left"/>
              <w:rPr>
                <w:rFonts w:cs="Calibri"/>
              </w:rPr>
            </w:pPr>
            <w:r w:rsidRPr="00DD47DF">
              <w:rPr>
                <w:rFonts w:cs="Calibri"/>
              </w:rPr>
              <w:t>Celá prioritní osa bude realizována výhradně prostřednictvím komunitně vedeného místního rozvoje</w:t>
            </w:r>
          </w:p>
        </w:tc>
        <w:tc>
          <w:tcPr>
            <w:tcW w:w="264" w:type="pct"/>
            <w:shd w:val="clear" w:color="auto" w:fill="auto"/>
            <w:vAlign w:val="center"/>
          </w:tcPr>
          <w:p w14:paraId="37430AE0" w14:textId="77777777" w:rsidR="00B53995" w:rsidRPr="00DD47DF" w:rsidRDefault="002756E7" w:rsidP="00B53995">
            <w:pPr>
              <w:pStyle w:val="Tabulka"/>
              <w:rPr>
                <w:rFonts w:cs="Calibri"/>
              </w:rPr>
            </w:pPr>
            <w:r w:rsidRPr="00DD47DF">
              <w:rPr>
                <w:rFonts w:cs="Calibri"/>
              </w:rPr>
              <w:fldChar w:fldCharType="begin">
                <w:ffData>
                  <w:name w:val="Check1"/>
                  <w:enabled/>
                  <w:calcOnExit w:val="0"/>
                  <w:checkBox>
                    <w:sizeAuto/>
                    <w:default w:val="0"/>
                  </w:checkBox>
                </w:ffData>
              </w:fldChar>
            </w:r>
            <w:r w:rsidR="00B53995" w:rsidRPr="00DD47DF">
              <w:rPr>
                <w:rFonts w:cs="Calibri"/>
              </w:rPr>
              <w:instrText xml:space="preserve"> FORMCHECKBOX </w:instrText>
            </w:r>
            <w:r w:rsidR="00580034">
              <w:rPr>
                <w:rFonts w:cs="Calibri"/>
              </w:rPr>
            </w:r>
            <w:r w:rsidR="00580034">
              <w:rPr>
                <w:rFonts w:cs="Calibri"/>
              </w:rPr>
              <w:fldChar w:fldCharType="separate"/>
            </w:r>
            <w:r w:rsidRPr="00DD47DF">
              <w:rPr>
                <w:rFonts w:cs="Calibri"/>
              </w:rPr>
              <w:fldChar w:fldCharType="end"/>
            </w:r>
          </w:p>
        </w:tc>
      </w:tr>
    </w:tbl>
    <w:p w14:paraId="35299C0D" w14:textId="77777777" w:rsidR="00B53995" w:rsidRPr="00DD47DF" w:rsidRDefault="00B53995" w:rsidP="005F43DF">
      <w:pPr>
        <w:pStyle w:val="kapitola2A0"/>
        <w:numPr>
          <w:ilvl w:val="2"/>
          <w:numId w:val="25"/>
        </w:numPr>
      </w:pPr>
      <w:bookmarkStart w:id="91" w:name="_Toc506885033"/>
      <w:r w:rsidRPr="00DD47DF">
        <w:t>Odůvodnění pro vytvoření prioritní osy, která zahrnuje více než jednu kategorii regionů nebo více než jeden tematický cíl či fond (použije-li se)</w:t>
      </w:r>
      <w:bookmarkEnd w:id="91"/>
    </w:p>
    <w:p w14:paraId="18547C76" w14:textId="77777777" w:rsidR="00B53995" w:rsidRPr="00DD47DF" w:rsidRDefault="00B53995" w:rsidP="00B53995">
      <w:pPr>
        <w:pStyle w:val="Standardntext"/>
      </w:pPr>
      <w:r w:rsidRPr="00DD47DF">
        <w:t>Není relevantní pro OP PIK.</w:t>
      </w:r>
    </w:p>
    <w:p w14:paraId="7C377742" w14:textId="77777777" w:rsidR="00B53995" w:rsidRPr="00DD47DF" w:rsidRDefault="00B53995" w:rsidP="005F43DF">
      <w:pPr>
        <w:pStyle w:val="kapitola2A0"/>
        <w:numPr>
          <w:ilvl w:val="2"/>
          <w:numId w:val="25"/>
        </w:numPr>
      </w:pPr>
      <w:bookmarkStart w:id="92" w:name="_Toc506885034"/>
      <w:r w:rsidRPr="00DD47DF">
        <w:t>Fond, kategorie regionů a základ pro výpočet podpory Unie</w:t>
      </w:r>
      <w:bookmarkEnd w:id="92"/>
    </w:p>
    <w:p w14:paraId="76E7083F" w14:textId="77777777" w:rsidR="00B53995" w:rsidRPr="00DD47DF" w:rsidRDefault="00B53995" w:rsidP="00B53995">
      <w:pPr>
        <w:pStyle w:val="Standardntext"/>
      </w:pPr>
      <w:r w:rsidRPr="00DD47DF">
        <w:t>Fond: Evropský fond pro regionální rozvoj</w:t>
      </w:r>
    </w:p>
    <w:p w14:paraId="18346109" w14:textId="77777777" w:rsidR="00B53995" w:rsidRPr="00DD47DF" w:rsidRDefault="00B53995" w:rsidP="00B53995">
      <w:pPr>
        <w:pStyle w:val="Standardntext"/>
      </w:pPr>
      <w:r w:rsidRPr="00DD47DF">
        <w:t>Kategorie regionů: Méně rozvinuté regiony</w:t>
      </w:r>
    </w:p>
    <w:p w14:paraId="2C7B4B65" w14:textId="77777777" w:rsidR="00B53995" w:rsidRPr="00DD47DF" w:rsidRDefault="008668C8" w:rsidP="00B53995">
      <w:pPr>
        <w:pStyle w:val="Standardntext"/>
      </w:pPr>
      <w:r w:rsidRPr="00DD47DF">
        <w:t xml:space="preserve">Základ pro výpočet: </w:t>
      </w:r>
      <w:r w:rsidR="009B6147" w:rsidRPr="00DD47DF">
        <w:t>celkové způsobilé výdaje</w:t>
      </w:r>
    </w:p>
    <w:p w14:paraId="11083337" w14:textId="77777777" w:rsidR="00B53995" w:rsidRPr="00DD47DF" w:rsidRDefault="00B53995" w:rsidP="005F43DF">
      <w:pPr>
        <w:pStyle w:val="kapitola2A0"/>
        <w:numPr>
          <w:ilvl w:val="2"/>
          <w:numId w:val="25"/>
        </w:numPr>
      </w:pPr>
      <w:bookmarkStart w:id="93" w:name="_Toc506885035"/>
      <w:r w:rsidRPr="00DD47DF">
        <w:t>INVESTIČNÍ PRIORITA 1 prioritní osy 4: Rozšiřování širokopásmového připojení a zavádění vysokorychlostních sítí a podpora zavádění vznikajících technologií a sítí pro digitální hospodářství</w:t>
      </w:r>
      <w:bookmarkEnd w:id="93"/>
    </w:p>
    <w:p w14:paraId="02A19070" w14:textId="77777777" w:rsidR="00150199" w:rsidRPr="00DD47DF" w:rsidRDefault="008C7D72" w:rsidP="005F43DF">
      <w:pPr>
        <w:pStyle w:val="kapitola2A0"/>
        <w:numPr>
          <w:ilvl w:val="2"/>
          <w:numId w:val="25"/>
        </w:numPr>
      </w:pPr>
      <w:bookmarkStart w:id="94" w:name="_Toc506885036"/>
      <w:r w:rsidRPr="00DD47DF">
        <w:t>Specifické cíle odpovídající investiční prioritě a očekávané výsledky</w:t>
      </w:r>
      <w:bookmarkEnd w:id="94"/>
    </w:p>
    <w:p w14:paraId="0B2EC8CC" w14:textId="77777777" w:rsidR="00150199" w:rsidRPr="00DD47DF" w:rsidRDefault="00150199" w:rsidP="00396141">
      <w:pPr>
        <w:pStyle w:val="Modrnadpis"/>
      </w:pPr>
      <w:r w:rsidRPr="00DD47DF">
        <w:t xml:space="preserve">SPECIFICKÝ CÍL </w:t>
      </w:r>
      <w:r w:rsidR="00C71E6F" w:rsidRPr="00DD47DF">
        <w:t>4.</w:t>
      </w:r>
      <w:r w:rsidRPr="00DD47DF">
        <w:t>1: Zvětš</w:t>
      </w:r>
      <w:r w:rsidR="00771951" w:rsidRPr="00DD47DF">
        <w:t xml:space="preserve">it </w:t>
      </w:r>
      <w:r w:rsidRPr="00DD47DF">
        <w:t xml:space="preserve">pokrytí vysokorychlostním přístupem k internetu </w:t>
      </w:r>
    </w:p>
    <w:bookmarkEnd w:id="90"/>
    <w:p w14:paraId="1CD9DEC1" w14:textId="77777777" w:rsidR="00FF3BA2" w:rsidRPr="00DD47DF" w:rsidRDefault="00FF3BA2" w:rsidP="009836D4">
      <w:pPr>
        <w:pStyle w:val="Standardntext"/>
      </w:pPr>
      <w:r w:rsidRPr="00DD47DF">
        <w:t xml:space="preserve">Sítě pro vysokorychlostní přístup k internetu </w:t>
      </w:r>
      <w:r w:rsidR="003F0354" w:rsidRPr="00DD47DF">
        <w:t>umožňující přenosovou rychlost alespoň 30 Mbit/s</w:t>
      </w:r>
      <w:r w:rsidRPr="00DD47DF">
        <w:t xml:space="preserve"> patří mezi základní infrastrukturu státu a jsou významným komunikačním prostředkem moderního hospodářství, nepostradatelným nástrojem znalostní společnosti, v níž se uskutečňuje dělba práce a která se orientuje na produkci služeb s</w:t>
      </w:r>
      <w:r w:rsidR="007408D9" w:rsidRPr="00DD47DF">
        <w:t> </w:t>
      </w:r>
      <w:r w:rsidRPr="00DD47DF">
        <w:t>vysokou</w:t>
      </w:r>
      <w:r w:rsidR="007408D9" w:rsidRPr="00DD47DF">
        <w:t xml:space="preserve"> přidanou</w:t>
      </w:r>
      <w:r w:rsidRPr="00DD47DF">
        <w:t xml:space="preserve"> hodnotou. </w:t>
      </w:r>
      <w:r w:rsidR="00FF329A" w:rsidRPr="00DD47DF">
        <w:t>Hlavním cílem je růst konkurenceschopnosti ekonomiky založený</w:t>
      </w:r>
      <w:r w:rsidR="002449A8" w:rsidRPr="00DD47DF">
        <w:t xml:space="preserve"> na</w:t>
      </w:r>
      <w:r w:rsidR="00FF329A" w:rsidRPr="00DD47DF">
        <w:t xml:space="preserve"> moderních vysokorychlostních přístupových sítí k internetu.</w:t>
      </w:r>
    </w:p>
    <w:p w14:paraId="6D4355C3" w14:textId="77777777" w:rsidR="003F4488" w:rsidRPr="00DD47DF" w:rsidRDefault="003508A9" w:rsidP="00396141">
      <w:pPr>
        <w:pStyle w:val="Modrnadpis"/>
      </w:pPr>
      <w:r w:rsidRPr="00DD47DF">
        <w:t>Výsledky, kterých chce ČR dosáhnout s podporou Unie</w:t>
      </w:r>
    </w:p>
    <w:p w14:paraId="4B3E0B9E" w14:textId="77777777" w:rsidR="00B94C32" w:rsidRPr="00DD47DF" w:rsidRDefault="00DF1FBB" w:rsidP="00FB3387">
      <w:pPr>
        <w:pStyle w:val="Standardntext"/>
        <w:numPr>
          <w:ilvl w:val="0"/>
          <w:numId w:val="36"/>
        </w:numPr>
        <w:rPr>
          <w:sz w:val="20"/>
          <w:szCs w:val="20"/>
        </w:rPr>
      </w:pPr>
      <w:r w:rsidRPr="00DD47DF">
        <w:t>V</w:t>
      </w:r>
      <w:r w:rsidR="00B94C32" w:rsidRPr="00DD47DF">
        <w:t>ybudování dostatečně rozvinuté a dostupné technologické základny v ČR v podobě adekvátní infrastruktury umožňující vysokorychlostní přístup k internetu</w:t>
      </w:r>
      <w:r w:rsidR="00B94C32" w:rsidRPr="00DD47DF">
        <w:rPr>
          <w:color w:val="000000"/>
        </w:rPr>
        <w:t xml:space="preserve"> na území bez stávající možnosti přístupu k vysokorychlostnímu internetu nebo s možností </w:t>
      </w:r>
      <w:r w:rsidR="003F0354" w:rsidRPr="00DD47DF">
        <w:rPr>
          <w:color w:val="000000"/>
        </w:rPr>
        <w:t xml:space="preserve">vysokorychlostního </w:t>
      </w:r>
      <w:r w:rsidR="00B94C32" w:rsidRPr="00DD47DF">
        <w:rPr>
          <w:color w:val="000000"/>
        </w:rPr>
        <w:t>přístupu k internetu prostřednictvím pouze jednoho poskytovatele</w:t>
      </w:r>
      <w:r w:rsidRPr="00DD47DF">
        <w:rPr>
          <w:color w:val="000000"/>
        </w:rPr>
        <w:t>.</w:t>
      </w:r>
      <w:r w:rsidR="00CD5F80" w:rsidRPr="00DD47DF">
        <w:rPr>
          <w:rStyle w:val="Znakapoznpodarou"/>
          <w:color w:val="000000"/>
        </w:rPr>
        <w:footnoteReference w:id="70"/>
      </w:r>
    </w:p>
    <w:p w14:paraId="265092AD" w14:textId="77777777" w:rsidR="003F4488" w:rsidRPr="00DD47DF" w:rsidRDefault="00DF1FBB" w:rsidP="00FB3387">
      <w:pPr>
        <w:pStyle w:val="Standardntext"/>
        <w:numPr>
          <w:ilvl w:val="0"/>
          <w:numId w:val="36"/>
        </w:numPr>
        <w:rPr>
          <w:sz w:val="20"/>
          <w:szCs w:val="20"/>
        </w:rPr>
      </w:pPr>
      <w:r w:rsidRPr="00DD47DF">
        <w:rPr>
          <w:color w:val="000000"/>
        </w:rPr>
        <w:t>Z</w:t>
      </w:r>
      <w:r w:rsidR="00B94C32" w:rsidRPr="00DD47DF">
        <w:t>lepšení parametrů této infrastruktury jako jsou rychlost, kapacita a bezpečnost</w:t>
      </w:r>
      <w:r w:rsidR="00DC56C8" w:rsidRPr="00DD47DF">
        <w:t>.</w:t>
      </w:r>
    </w:p>
    <w:p w14:paraId="7C17CE5C" w14:textId="77777777" w:rsidR="005C4BA0" w:rsidRPr="00DD47DF" w:rsidRDefault="00847094" w:rsidP="00FB3387">
      <w:pPr>
        <w:pStyle w:val="Standardntext"/>
        <w:numPr>
          <w:ilvl w:val="0"/>
          <w:numId w:val="36"/>
        </w:numPr>
        <w:rPr>
          <w:color w:val="000000"/>
        </w:rPr>
      </w:pPr>
      <w:r w:rsidRPr="00DD47DF">
        <w:lastRenderedPageBreak/>
        <w:t>Usnadnění rozvoje podnikání a</w:t>
      </w:r>
      <w:r w:rsidR="005C4BA0" w:rsidRPr="00DD47DF">
        <w:t xml:space="preserve"> přístupu ke službám státu </w:t>
      </w:r>
      <w:r w:rsidR="00DC56C8" w:rsidRPr="00DD47DF">
        <w:t>jak pro obyvatelstvo, tak pro podnikatelský sektor. S tím souvisí</w:t>
      </w:r>
      <w:r w:rsidR="005C4BA0" w:rsidRPr="00DD47DF">
        <w:t xml:space="preserve"> </w:t>
      </w:r>
      <w:r w:rsidR="005C4BA0" w:rsidRPr="00DD47DF">
        <w:rPr>
          <w:color w:val="000000"/>
        </w:rPr>
        <w:t xml:space="preserve">růst </w:t>
      </w:r>
      <w:r w:rsidRPr="00DD47DF">
        <w:rPr>
          <w:color w:val="000000"/>
        </w:rPr>
        <w:t>hrubého domácího produktu</w:t>
      </w:r>
      <w:r w:rsidR="00DC56C8" w:rsidRPr="00DD47DF">
        <w:rPr>
          <w:rStyle w:val="Znakapoznpodarou"/>
          <w:color w:val="000000"/>
        </w:rPr>
        <w:footnoteReference w:id="71"/>
      </w:r>
      <w:r w:rsidR="005C4BA0" w:rsidRPr="00DD47DF">
        <w:rPr>
          <w:color w:val="000000"/>
        </w:rPr>
        <w:t xml:space="preserve"> a </w:t>
      </w:r>
      <w:r w:rsidRPr="00DD47DF">
        <w:rPr>
          <w:color w:val="000000"/>
        </w:rPr>
        <w:t xml:space="preserve">zvyšování </w:t>
      </w:r>
      <w:r w:rsidR="005C4BA0" w:rsidRPr="00DD47DF">
        <w:rPr>
          <w:color w:val="000000"/>
        </w:rPr>
        <w:t>zaměstnanosti</w:t>
      </w:r>
      <w:r w:rsidR="00DC56C8" w:rsidRPr="00DD47DF">
        <w:rPr>
          <w:rStyle w:val="Znakapoznpodarou"/>
          <w:color w:val="000000"/>
        </w:rPr>
        <w:footnoteReference w:id="72"/>
      </w:r>
      <w:r w:rsidR="005C4BA0" w:rsidRPr="00DD47DF">
        <w:rPr>
          <w:color w:val="000000"/>
        </w:rPr>
        <w:t xml:space="preserve"> v</w:t>
      </w:r>
      <w:r w:rsidRPr="00DD47DF">
        <w:rPr>
          <w:color w:val="000000"/>
        </w:rPr>
        <w:t> ekonomice jako celku</w:t>
      </w:r>
      <w:r w:rsidR="005C4BA0" w:rsidRPr="00DD47DF">
        <w:rPr>
          <w:color w:val="000000"/>
        </w:rPr>
        <w:t>.</w:t>
      </w:r>
    </w:p>
    <w:p w14:paraId="3854A59F" w14:textId="77777777" w:rsidR="00847094" w:rsidRPr="00DD47DF" w:rsidRDefault="00847094" w:rsidP="00FB3387">
      <w:pPr>
        <w:pStyle w:val="Standardntext"/>
        <w:numPr>
          <w:ilvl w:val="0"/>
          <w:numId w:val="36"/>
        </w:numPr>
        <w:rPr>
          <w:color w:val="000000"/>
        </w:rPr>
      </w:pPr>
      <w:r w:rsidRPr="00DD47DF">
        <w:t>Rozšíření nabídky</w:t>
      </w:r>
      <w:r w:rsidR="006C3009" w:rsidRPr="00DD47DF">
        <w:t xml:space="preserve"> moderních a pokrokových</w:t>
      </w:r>
      <w:r w:rsidRPr="00DD47DF">
        <w:t xml:space="preserve"> digitálních služeb </w:t>
      </w:r>
      <w:r w:rsidR="006C3009" w:rsidRPr="00DD47DF">
        <w:t xml:space="preserve">a aplikací </w:t>
      </w:r>
      <w:r w:rsidRPr="00DD47DF">
        <w:t xml:space="preserve">např. v oblasti komunikace, zábavy, obchodování, vzdělávání, zdravotnictví </w:t>
      </w:r>
      <w:r w:rsidR="006C3009" w:rsidRPr="00DD47DF">
        <w:t>nebo</w:t>
      </w:r>
      <w:r w:rsidRPr="00DD47DF">
        <w:t xml:space="preserve"> přístupu k zaměstnání.</w:t>
      </w:r>
    </w:p>
    <w:p w14:paraId="22628487" w14:textId="77777777" w:rsidR="00A6030D" w:rsidRPr="00DD47DF" w:rsidRDefault="00DF1FBB" w:rsidP="00FB3387">
      <w:pPr>
        <w:pStyle w:val="Standardntext"/>
        <w:numPr>
          <w:ilvl w:val="0"/>
          <w:numId w:val="36"/>
        </w:numPr>
        <w:rPr>
          <w:color w:val="000000"/>
        </w:rPr>
      </w:pPr>
      <w:r w:rsidRPr="00DD47DF">
        <w:rPr>
          <w:color w:val="000000"/>
        </w:rPr>
        <w:t>P</w:t>
      </w:r>
      <w:r w:rsidR="00B94C32" w:rsidRPr="00DD47DF">
        <w:rPr>
          <w:color w:val="000000"/>
        </w:rPr>
        <w:t>řekonání tzv. „digitální propasti“</w:t>
      </w:r>
      <w:r w:rsidR="008A5FCE" w:rsidRPr="00DD47DF">
        <w:rPr>
          <w:color w:val="000000"/>
        </w:rPr>
        <w:t xml:space="preserve"> </w:t>
      </w:r>
      <w:r w:rsidR="008A5FCE" w:rsidRPr="00DD47DF">
        <w:t>mezi městskými a venkovskými oblastmi</w:t>
      </w:r>
      <w:r w:rsidR="00B94C32" w:rsidRPr="00DD47DF">
        <w:rPr>
          <w:color w:val="000000"/>
        </w:rPr>
        <w:t xml:space="preserve"> z hledis</w:t>
      </w:r>
      <w:r w:rsidR="00127389" w:rsidRPr="00DD47DF">
        <w:rPr>
          <w:color w:val="000000"/>
        </w:rPr>
        <w:t>e</w:t>
      </w:r>
      <w:r w:rsidR="00B94C32" w:rsidRPr="00DD47DF">
        <w:rPr>
          <w:color w:val="000000"/>
        </w:rPr>
        <w:t>k</w:t>
      </w:r>
      <w:r w:rsidR="008A5FCE" w:rsidRPr="00DD47DF">
        <w:t>, ve kterých nelze soukromé investice na komerční bázi očekávat</w:t>
      </w:r>
      <w:r w:rsidR="00B94C32" w:rsidRPr="00DD47DF">
        <w:rPr>
          <w:color w:val="000000"/>
        </w:rPr>
        <w:t xml:space="preserve">. </w:t>
      </w:r>
      <w:r w:rsidR="008A5FCE" w:rsidRPr="00DD47DF">
        <w:rPr>
          <w:color w:val="000000"/>
        </w:rPr>
        <w:t>Výsledkem bude</w:t>
      </w:r>
      <w:r w:rsidR="00847094" w:rsidRPr="00DD47DF">
        <w:rPr>
          <w:color w:val="000000"/>
        </w:rPr>
        <w:t xml:space="preserve"> z</w:t>
      </w:r>
      <w:r w:rsidR="00A6030D" w:rsidRPr="00DD47DF">
        <w:t xml:space="preserve">výšení konkurenceschopnosti periferních regionů, které bude </w:t>
      </w:r>
      <w:r w:rsidR="008A5FCE" w:rsidRPr="00DD47DF">
        <w:t xml:space="preserve">současně </w:t>
      </w:r>
      <w:r w:rsidR="00A6030D" w:rsidRPr="00DD47DF">
        <w:t>působit jako prevence proti přemísťování hospodářské činnosti.</w:t>
      </w:r>
    </w:p>
    <w:p w14:paraId="3882F8A0" w14:textId="77777777" w:rsidR="00DF1FBB" w:rsidRPr="00DD47DF" w:rsidRDefault="001D7C5F" w:rsidP="00FB3387">
      <w:pPr>
        <w:pStyle w:val="Standardntext"/>
        <w:numPr>
          <w:ilvl w:val="0"/>
          <w:numId w:val="36"/>
        </w:numPr>
        <w:rPr>
          <w:color w:val="000000"/>
        </w:rPr>
      </w:pPr>
      <w:r w:rsidRPr="00DD47DF">
        <w:rPr>
          <w:color w:val="000000"/>
        </w:rPr>
        <w:t>Zvýšení dostupnosti ICT pro všechny bez ohledu na lokalitu, sociální postavení nebo zdravotní postižení a dále podpora celoživotního vzdělávání za účelem posílení digitální gramotnosti a snazší</w:t>
      </w:r>
      <w:r w:rsidR="00DF1FBB" w:rsidRPr="00DD47DF">
        <w:rPr>
          <w:color w:val="000000"/>
        </w:rPr>
        <w:t xml:space="preserve"> začlenění </w:t>
      </w:r>
      <w:r w:rsidR="008D79C2" w:rsidRPr="00DD47DF">
        <w:rPr>
          <w:color w:val="000000"/>
        </w:rPr>
        <w:t>se</w:t>
      </w:r>
      <w:r w:rsidR="00DF1FBB" w:rsidRPr="00DD47DF">
        <w:rPr>
          <w:color w:val="000000"/>
        </w:rPr>
        <w:t xml:space="preserve"> do informační společnosti.</w:t>
      </w:r>
    </w:p>
    <w:p w14:paraId="1388D3D7" w14:textId="77777777" w:rsidR="00150199" w:rsidRPr="00DD47DF" w:rsidRDefault="00150199" w:rsidP="00EA74FF">
      <w:pPr>
        <w:pStyle w:val="Titulek"/>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217"/>
        <w:gridCol w:w="973"/>
        <w:gridCol w:w="1171"/>
        <w:gridCol w:w="979"/>
        <w:gridCol w:w="912"/>
        <w:gridCol w:w="1021"/>
        <w:gridCol w:w="1263"/>
        <w:gridCol w:w="1126"/>
      </w:tblGrid>
      <w:tr w:rsidR="00E84B36" w:rsidRPr="00DD47DF" w14:paraId="49D0C3BD" w14:textId="77777777">
        <w:trPr>
          <w:trHeight w:hRule="exact" w:val="1467"/>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3339E0D" w14:textId="77777777" w:rsidR="00CF739D" w:rsidRPr="00DD47DF" w:rsidRDefault="00CF739D" w:rsidP="00EA74FF">
            <w:pPr>
              <w:pStyle w:val="Tabulka"/>
              <w:rPr>
                <w:rFonts w:cs="Calibri"/>
                <w:b/>
                <w:bCs/>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E42FC03" w14:textId="77777777" w:rsidR="00CF739D" w:rsidRPr="00DD47DF" w:rsidRDefault="00CF739D" w:rsidP="00EA74FF">
            <w:pPr>
              <w:pStyle w:val="Tabulka"/>
              <w:rPr>
                <w:rFonts w:cs="Calibri"/>
                <w:b/>
                <w:bCs/>
              </w:rPr>
            </w:pPr>
            <w:r w:rsidRPr="00DD47DF">
              <w:rPr>
                <w:rFonts w:cs="Calibri"/>
                <w:b/>
                <w:bCs/>
              </w:rPr>
              <w:t>Ukazatel</w:t>
            </w:r>
          </w:p>
        </w:tc>
        <w:tc>
          <w:tcPr>
            <w:tcW w:w="97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ACAEE23" w14:textId="77777777" w:rsidR="00CF739D" w:rsidRPr="00DD47DF" w:rsidRDefault="00CF739D" w:rsidP="00E84B36">
            <w:pPr>
              <w:pStyle w:val="Tabulka"/>
              <w:rPr>
                <w:rFonts w:cs="Calibri"/>
                <w:b/>
                <w:bCs/>
              </w:rPr>
            </w:pPr>
            <w:r w:rsidRPr="00DD47DF">
              <w:rPr>
                <w:rFonts w:cs="Calibri"/>
                <w:b/>
                <w:bCs/>
              </w:rPr>
              <w:t>Měrná</w:t>
            </w:r>
            <w:r w:rsidR="00E84B36" w:rsidRPr="00DD47DF">
              <w:rPr>
                <w:rFonts w:cs="Calibri"/>
                <w:b/>
                <w:bCs/>
              </w:rPr>
              <w:t xml:space="preserve"> </w:t>
            </w:r>
            <w:r w:rsidRPr="00DD47DF">
              <w:rPr>
                <w:rFonts w:cs="Calibri"/>
                <w:b/>
                <w:bCs/>
              </w:rPr>
              <w:t>jednotka</w:t>
            </w:r>
          </w:p>
        </w:tc>
        <w:tc>
          <w:tcPr>
            <w:tcW w:w="117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61E869C" w14:textId="77777777" w:rsidR="00CF739D" w:rsidRPr="00DD47DF" w:rsidRDefault="00CF739D" w:rsidP="00EA74FF">
            <w:pPr>
              <w:pStyle w:val="Tabulka"/>
              <w:rPr>
                <w:rFonts w:cs="Calibri"/>
                <w:b/>
                <w:bCs/>
              </w:rPr>
            </w:pPr>
            <w:r w:rsidRPr="00DD47DF">
              <w:rPr>
                <w:rFonts w:cs="Calibri"/>
                <w:b/>
                <w:bCs/>
              </w:rPr>
              <w:t>Kategorie regionů (je-li relevantní)</w:t>
            </w:r>
          </w:p>
        </w:tc>
        <w:tc>
          <w:tcPr>
            <w:tcW w:w="97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C1EFCF8" w14:textId="77777777" w:rsidR="00CF739D" w:rsidRPr="00DD47DF" w:rsidRDefault="004B0854" w:rsidP="00EA74FF">
            <w:pPr>
              <w:pStyle w:val="Tabulka"/>
              <w:rPr>
                <w:rFonts w:cs="Calibri"/>
                <w:b/>
                <w:bCs/>
              </w:rPr>
            </w:pPr>
            <w:r w:rsidRPr="00DD47DF">
              <w:rPr>
                <w:rFonts w:cs="Calibri"/>
                <w:b/>
                <w:bCs/>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BDB77F5" w14:textId="77777777" w:rsidR="00CF739D" w:rsidRPr="00DD47DF" w:rsidRDefault="004B0854" w:rsidP="004B0854">
            <w:pPr>
              <w:pStyle w:val="Tabulka"/>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D95BEE1" w14:textId="77777777" w:rsidR="00CF739D" w:rsidRPr="00DD47DF" w:rsidRDefault="00CF739D" w:rsidP="00EA74FF">
            <w:pPr>
              <w:pStyle w:val="Tabulka"/>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4C8A585" w14:textId="77777777" w:rsidR="00CF739D" w:rsidRPr="00DD47DF" w:rsidRDefault="00CF739D" w:rsidP="00EA74FF">
            <w:pPr>
              <w:pStyle w:val="Tabulka"/>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0828263" w14:textId="77777777" w:rsidR="00CF739D" w:rsidRPr="00DD47DF" w:rsidRDefault="00CF739D" w:rsidP="00EA74FF">
            <w:pPr>
              <w:pStyle w:val="Tabulka"/>
              <w:rPr>
                <w:rFonts w:cs="Calibri"/>
                <w:b/>
                <w:bCs/>
              </w:rPr>
            </w:pPr>
            <w:r w:rsidRPr="00DD47DF">
              <w:rPr>
                <w:rFonts w:cs="Calibri"/>
                <w:b/>
                <w:bCs/>
              </w:rPr>
              <w:t>Četnost podávání zpráv</w:t>
            </w:r>
          </w:p>
        </w:tc>
      </w:tr>
      <w:tr w:rsidR="00E84B36" w:rsidRPr="00DD47DF" w14:paraId="3F1F9382" w14:textId="77777777" w:rsidTr="002921B0">
        <w:trPr>
          <w:trHeight w:hRule="exact" w:val="1325"/>
        </w:trPr>
        <w:tc>
          <w:tcPr>
            <w:tcW w:w="0" w:type="auto"/>
            <w:tcBorders>
              <w:top w:val="single" w:sz="4" w:space="0" w:color="000000"/>
              <w:left w:val="single" w:sz="4" w:space="0" w:color="000000"/>
              <w:bottom w:val="single" w:sz="4" w:space="0" w:color="000000"/>
              <w:right w:val="single" w:sz="4" w:space="0" w:color="000000"/>
            </w:tcBorders>
            <w:vAlign w:val="center"/>
          </w:tcPr>
          <w:p w14:paraId="68F21734" w14:textId="77777777" w:rsidR="00D24A13" w:rsidRPr="00DD47DF" w:rsidRDefault="00686830" w:rsidP="00EA74FF">
            <w:pPr>
              <w:pStyle w:val="Tabulka"/>
              <w:rPr>
                <w:rFonts w:cs="Calibri"/>
              </w:rPr>
            </w:pPr>
            <w:r w:rsidRPr="00DD47DF">
              <w:rPr>
                <w:rFonts w:cs="Calibri"/>
              </w:rPr>
              <w:t>30200</w:t>
            </w:r>
          </w:p>
        </w:tc>
        <w:tc>
          <w:tcPr>
            <w:tcW w:w="0" w:type="auto"/>
            <w:tcBorders>
              <w:top w:val="single" w:sz="4" w:space="0" w:color="000000"/>
              <w:left w:val="single" w:sz="4" w:space="0" w:color="000000"/>
              <w:bottom w:val="single" w:sz="4" w:space="0" w:color="000000"/>
              <w:right w:val="single" w:sz="4" w:space="0" w:color="000000"/>
            </w:tcBorders>
            <w:vAlign w:val="center"/>
          </w:tcPr>
          <w:p w14:paraId="2A711529" w14:textId="77777777" w:rsidR="00D24A13" w:rsidRPr="00DD47DF" w:rsidRDefault="002921B0" w:rsidP="00EA74FF">
            <w:pPr>
              <w:pStyle w:val="Tabulka"/>
              <w:jc w:val="left"/>
              <w:rPr>
                <w:rFonts w:cs="Calibri"/>
              </w:rPr>
            </w:pPr>
            <w:r w:rsidRPr="002921B0">
              <w:rPr>
                <w:rFonts w:cs="Calibri"/>
              </w:rPr>
              <w:t>Míra pokrytí sítí nové generace (NGA)</w:t>
            </w:r>
          </w:p>
        </w:tc>
        <w:tc>
          <w:tcPr>
            <w:tcW w:w="973" w:type="dxa"/>
            <w:tcBorders>
              <w:top w:val="single" w:sz="4" w:space="0" w:color="000000"/>
              <w:left w:val="single" w:sz="4" w:space="0" w:color="000000"/>
              <w:bottom w:val="single" w:sz="4" w:space="0" w:color="000000"/>
              <w:right w:val="single" w:sz="4" w:space="0" w:color="000000"/>
            </w:tcBorders>
            <w:vAlign w:val="center"/>
          </w:tcPr>
          <w:p w14:paraId="4F45959E" w14:textId="77777777" w:rsidR="00D24A13" w:rsidRPr="00DD47DF" w:rsidRDefault="00B3144E" w:rsidP="00EA74FF">
            <w:pPr>
              <w:pStyle w:val="Tabulka"/>
              <w:rPr>
                <w:rFonts w:cs="Calibri"/>
              </w:rPr>
            </w:pPr>
            <w:r w:rsidRPr="00DD47DF">
              <w:rPr>
                <w:rFonts w:cs="Calibri"/>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3B89B26E" w14:textId="77777777" w:rsidR="00D24A13" w:rsidRPr="00DD47DF" w:rsidRDefault="002B3F69" w:rsidP="00EA74FF">
            <w:pPr>
              <w:pStyle w:val="Tabulka"/>
              <w:rPr>
                <w:rFonts w:cs="Calibri"/>
              </w:rPr>
            </w:pPr>
            <w:r w:rsidRPr="00DD47DF">
              <w:rPr>
                <w:rFonts w:cs="Calibri"/>
              </w:rPr>
              <w:t>Méně rozvinuté regiony</w:t>
            </w:r>
          </w:p>
        </w:tc>
        <w:tc>
          <w:tcPr>
            <w:tcW w:w="979" w:type="dxa"/>
            <w:tcBorders>
              <w:top w:val="single" w:sz="4" w:space="0" w:color="000000"/>
              <w:left w:val="single" w:sz="4" w:space="0" w:color="000000"/>
              <w:bottom w:val="single" w:sz="4" w:space="0" w:color="000000"/>
              <w:right w:val="single" w:sz="4" w:space="0" w:color="000000"/>
            </w:tcBorders>
            <w:vAlign w:val="center"/>
          </w:tcPr>
          <w:p w14:paraId="2C8EEC3F" w14:textId="77777777" w:rsidR="00D24A13" w:rsidRPr="00DD47DF" w:rsidRDefault="00740BF8" w:rsidP="00EA74FF">
            <w:pPr>
              <w:pStyle w:val="Tabulka"/>
              <w:rPr>
                <w:rFonts w:cs="Calibri"/>
              </w:rPr>
            </w:pPr>
            <w:r>
              <w:rPr>
                <w:rFonts w:cs="Calibri"/>
              </w:rPr>
              <w:t>64</w:t>
            </w:r>
          </w:p>
        </w:tc>
        <w:tc>
          <w:tcPr>
            <w:tcW w:w="0" w:type="auto"/>
            <w:tcBorders>
              <w:top w:val="single" w:sz="4" w:space="0" w:color="000000"/>
              <w:left w:val="single" w:sz="4" w:space="0" w:color="000000"/>
              <w:bottom w:val="single" w:sz="4" w:space="0" w:color="000000"/>
              <w:right w:val="single" w:sz="4" w:space="0" w:color="000000"/>
            </w:tcBorders>
            <w:vAlign w:val="center"/>
          </w:tcPr>
          <w:p w14:paraId="0209EEE7" w14:textId="77777777" w:rsidR="00D24A13" w:rsidRPr="00DD47DF" w:rsidRDefault="00740BF8" w:rsidP="00EA74FF">
            <w:pPr>
              <w:pStyle w:val="Tabulka"/>
              <w:rPr>
                <w:rFonts w:cs="Calibri"/>
              </w:rPr>
            </w:pPr>
            <w:r>
              <w:rPr>
                <w:rFonts w:cs="Calibri"/>
              </w:rPr>
              <w:t>2013</w:t>
            </w:r>
          </w:p>
        </w:tc>
        <w:tc>
          <w:tcPr>
            <w:tcW w:w="0" w:type="auto"/>
            <w:tcBorders>
              <w:top w:val="single" w:sz="4" w:space="0" w:color="000000"/>
              <w:left w:val="single" w:sz="4" w:space="0" w:color="000000"/>
              <w:bottom w:val="single" w:sz="4" w:space="0" w:color="000000"/>
              <w:right w:val="single" w:sz="4" w:space="0" w:color="000000"/>
            </w:tcBorders>
            <w:vAlign w:val="center"/>
          </w:tcPr>
          <w:p w14:paraId="521EC85E" w14:textId="77777777" w:rsidR="00D24A13" w:rsidRPr="00DD47DF" w:rsidRDefault="00235E7F" w:rsidP="00947572">
            <w:pPr>
              <w:pStyle w:val="Tabulka"/>
              <w:rPr>
                <w:rFonts w:cs="Calibri"/>
              </w:rPr>
            </w:pPr>
            <w:r w:rsidRPr="00DD47DF">
              <w:rPr>
                <w:rFonts w:cs="Calibri"/>
              </w:rPr>
              <w:t>77</w:t>
            </w:r>
          </w:p>
        </w:tc>
        <w:tc>
          <w:tcPr>
            <w:tcW w:w="0" w:type="auto"/>
            <w:tcBorders>
              <w:top w:val="single" w:sz="4" w:space="0" w:color="000000"/>
              <w:left w:val="single" w:sz="4" w:space="0" w:color="000000"/>
              <w:bottom w:val="single" w:sz="4" w:space="0" w:color="000000"/>
              <w:right w:val="single" w:sz="4" w:space="0" w:color="000000"/>
            </w:tcBorders>
            <w:vAlign w:val="center"/>
          </w:tcPr>
          <w:p w14:paraId="01F99DB0" w14:textId="77777777" w:rsidR="00D24A13" w:rsidRPr="00DD47DF" w:rsidRDefault="00B3144E" w:rsidP="00EA74FF">
            <w:pPr>
              <w:pStyle w:val="Tabulka"/>
              <w:rPr>
                <w:rFonts w:cs="Calibri"/>
              </w:rPr>
            </w:pPr>
            <w:r w:rsidRPr="00DD47DF">
              <w:rPr>
                <w:rFonts w:cs="Calibri"/>
              </w:rPr>
              <w:t>Digital Agenda Scoreboard</w:t>
            </w:r>
          </w:p>
        </w:tc>
        <w:tc>
          <w:tcPr>
            <w:tcW w:w="0" w:type="auto"/>
            <w:tcBorders>
              <w:top w:val="single" w:sz="4" w:space="0" w:color="000000"/>
              <w:left w:val="single" w:sz="4" w:space="0" w:color="000000"/>
              <w:bottom w:val="single" w:sz="4" w:space="0" w:color="000000"/>
              <w:right w:val="single" w:sz="4" w:space="0" w:color="000000"/>
            </w:tcBorders>
            <w:vAlign w:val="center"/>
          </w:tcPr>
          <w:p w14:paraId="602323C1" w14:textId="77777777" w:rsidR="00D24A13" w:rsidRPr="00DD47DF" w:rsidRDefault="00B3144E" w:rsidP="00EA74FF">
            <w:pPr>
              <w:pStyle w:val="Tabulka"/>
              <w:rPr>
                <w:rFonts w:cs="Calibri"/>
              </w:rPr>
            </w:pPr>
            <w:r w:rsidRPr="00DD47DF">
              <w:rPr>
                <w:rFonts w:cs="Calibri"/>
              </w:rPr>
              <w:t>ročně</w:t>
            </w:r>
          </w:p>
        </w:tc>
      </w:tr>
    </w:tbl>
    <w:p w14:paraId="396ABE64" w14:textId="77777777" w:rsidR="00150199" w:rsidRPr="00DD47DF" w:rsidRDefault="001B2E5C" w:rsidP="005F43DF">
      <w:pPr>
        <w:pStyle w:val="kapitola2A0"/>
        <w:numPr>
          <w:ilvl w:val="2"/>
          <w:numId w:val="25"/>
        </w:numPr>
      </w:pPr>
      <w:bookmarkStart w:id="95" w:name="_Toc506885037"/>
      <w:r w:rsidRPr="00DD47DF">
        <w:t>Opatření, jež má být podpořeno v rámci investiční priority</w:t>
      </w:r>
      <w:bookmarkEnd w:id="95"/>
    </w:p>
    <w:p w14:paraId="4F16C5D7" w14:textId="77777777" w:rsidR="00150199" w:rsidRPr="00DD47DF" w:rsidRDefault="00D479AF" w:rsidP="005F43DF">
      <w:pPr>
        <w:pStyle w:val="Nadpis5"/>
        <w:numPr>
          <w:ilvl w:val="4"/>
          <w:numId w:val="26"/>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37B095D5" w14:textId="77777777" w:rsidR="00150199" w:rsidRPr="00DD47DF" w:rsidRDefault="000A2EB4" w:rsidP="00FF329A">
      <w:pPr>
        <w:pStyle w:val="Standardntext"/>
        <w:rPr>
          <w:b/>
        </w:rPr>
      </w:pPr>
      <w:r w:rsidRPr="00DD47DF">
        <w:rPr>
          <w:b/>
        </w:rPr>
        <w:t>Aktivity pro tento specifický cíl:</w:t>
      </w:r>
    </w:p>
    <w:p w14:paraId="0C70E639" w14:textId="77777777" w:rsidR="00150199" w:rsidRPr="00DD47DF" w:rsidRDefault="001E5FB8" w:rsidP="005F43DF">
      <w:pPr>
        <w:pStyle w:val="Standardntext"/>
        <w:numPr>
          <w:ilvl w:val="0"/>
          <w:numId w:val="28"/>
        </w:numPr>
        <w:ind w:left="714" w:hanging="357"/>
      </w:pPr>
      <w:r w:rsidRPr="00DD47DF">
        <w:t>M</w:t>
      </w:r>
      <w:r w:rsidR="00150199" w:rsidRPr="00DD47DF">
        <w:t xml:space="preserve">odernizace resp. rozšiřování stávající infrastruktury pro vysokorychlostní přístup k internetu využitím optických prvků s cílem umožnit vysokorychlostní přístup k internetu přenosovou rychlostí </w:t>
      </w:r>
      <w:r w:rsidR="003F0354" w:rsidRPr="00DD47DF">
        <w:t xml:space="preserve">alespoň </w:t>
      </w:r>
      <w:r w:rsidR="00150199" w:rsidRPr="00DD47DF">
        <w:t>30 Mbit/s,</w:t>
      </w:r>
    </w:p>
    <w:p w14:paraId="623CC404" w14:textId="77777777" w:rsidR="00150199" w:rsidRPr="00DD47DF" w:rsidRDefault="00450475" w:rsidP="005F43DF">
      <w:pPr>
        <w:pStyle w:val="Standardntext"/>
        <w:numPr>
          <w:ilvl w:val="0"/>
          <w:numId w:val="28"/>
        </w:numPr>
        <w:ind w:left="714" w:hanging="357"/>
      </w:pPr>
      <w:r w:rsidRPr="00DD47DF">
        <w:t xml:space="preserve">zřizování nových sítí sestávajících z části nebo plně z optických vedení pro vysokorychlostní přístup k internetu umožňující přenosovou rychlost alespoň 30 Mbit/s; </w:t>
      </w:r>
      <w:r w:rsidRPr="00DD47DF">
        <w:lastRenderedPageBreak/>
        <w:t>v případě zřizování nových sítí s pevným připojením do jednotlivých domácností musí tato síť umožnit přenosovou rychlost až 100 Mbit/s,</w:t>
      </w:r>
    </w:p>
    <w:p w14:paraId="5038A6D8" w14:textId="77777777" w:rsidR="00150199" w:rsidRPr="00DD47DF" w:rsidRDefault="00450475" w:rsidP="005F43DF">
      <w:pPr>
        <w:pStyle w:val="Standardntext"/>
        <w:numPr>
          <w:ilvl w:val="0"/>
          <w:numId w:val="28"/>
        </w:numPr>
      </w:pPr>
      <w:r w:rsidRPr="00DD47DF">
        <w:t>vytváření pasivní infrastruktury pro vysokorychlostní přístup k internetu zejména v lokalitách předpokládaného budoucího stavebního rozvoje, přičemž tato aktivita může být podpořena pouze v kombinaci s jednou z předchozích dvou aktivit.</w:t>
      </w:r>
    </w:p>
    <w:p w14:paraId="28657AB2" w14:textId="77777777" w:rsidR="00BA1C22" w:rsidRPr="00DD47DF" w:rsidRDefault="00EE6BCB" w:rsidP="00BA1C22">
      <w:pPr>
        <w:pStyle w:val="Standardntext"/>
        <w:rPr>
          <w:bCs/>
        </w:rPr>
      </w:pPr>
      <w:r w:rsidRPr="00DD47DF">
        <w:rPr>
          <w:bCs/>
        </w:rPr>
        <w:t>Výstupem tohoto specifického cíle</w:t>
      </w:r>
      <w:r w:rsidR="004F2EB2" w:rsidRPr="00DD47DF">
        <w:rPr>
          <w:bCs/>
        </w:rPr>
        <w:t xml:space="preserve"> </w:t>
      </w:r>
      <w:r w:rsidRPr="00DD47DF">
        <w:rPr>
          <w:bCs/>
        </w:rPr>
        <w:t>budou</w:t>
      </w:r>
      <w:r w:rsidR="004F2EB2" w:rsidRPr="00DD47DF">
        <w:rPr>
          <w:bCs/>
        </w:rPr>
        <w:t xml:space="preserve"> projekty, jejichž účelem bude zavedení internetové konektivity do oblastí bez vysokorychlostní internetové infrastruktury (tzv. bílých míst) z nejbližšího, resp. nejvhodnějšího, přístupového bodu o relevantní kapacitě.</w:t>
      </w:r>
      <w:r w:rsidR="003F0354" w:rsidRPr="00DD47DF">
        <w:rPr>
          <w:bCs/>
        </w:rPr>
        <w:t xml:space="preserve"> Při rozhodování o podpoře jednotlivých projektů zajišťujících vybudování infrastruktury splňující požadavky na kvalitu služby přístupu k internetu bude vždy respektován</w:t>
      </w:r>
      <w:r w:rsidR="00450475" w:rsidRPr="00DD47DF">
        <w:rPr>
          <w:bCs/>
        </w:rPr>
        <w:t xml:space="preserve"> princip technologické neutrality</w:t>
      </w:r>
      <w:r w:rsidR="00B832D3" w:rsidRPr="00DD47DF">
        <w:rPr>
          <w:bCs/>
        </w:rPr>
        <w:t xml:space="preserve">. </w:t>
      </w:r>
      <w:r w:rsidR="003F0354" w:rsidRPr="00DD47DF">
        <w:rPr>
          <w:bCs/>
        </w:rPr>
        <w:t xml:space="preserve">Tento princip zajistí nediskriminační výběr nejefektivnějších projektů zejména u tzv. poslední míle vysokorychlostních sítí elektronických komunikací bez ohledu na využitý druh infrastruktury nebo technologie v případě, že zajistí poskytování služby v dostatečné kvalitě. </w:t>
      </w:r>
      <w:r w:rsidR="004F2EB2" w:rsidRPr="00DD47DF">
        <w:rPr>
          <w:bCs/>
        </w:rPr>
        <w:t xml:space="preserve">V konečném důsledku se </w:t>
      </w:r>
      <w:r w:rsidR="00B832D3" w:rsidRPr="00DD47DF">
        <w:rPr>
          <w:bCs/>
        </w:rPr>
        <w:t xml:space="preserve">však </w:t>
      </w:r>
      <w:r w:rsidR="004F2EB2" w:rsidRPr="00DD47DF">
        <w:rPr>
          <w:bCs/>
        </w:rPr>
        <w:t xml:space="preserve">musí v předmětné oblasti zvýšit počet domácností, které budou mít možnost vysokorychlostního přístupu k internetu o rychlosti </w:t>
      </w:r>
      <w:r w:rsidR="003F0354" w:rsidRPr="00DD47DF">
        <w:rPr>
          <w:bCs/>
        </w:rPr>
        <w:t xml:space="preserve">alespoň </w:t>
      </w:r>
      <w:r w:rsidR="004F2EB2" w:rsidRPr="00DD47DF">
        <w:rPr>
          <w:bCs/>
        </w:rPr>
        <w:t>30 Mbit/s.</w:t>
      </w:r>
    </w:p>
    <w:p w14:paraId="5820CA6A" w14:textId="77777777" w:rsidR="0034716C" w:rsidRPr="00DD47DF" w:rsidRDefault="0034716C" w:rsidP="0023153A">
      <w:pPr>
        <w:pStyle w:val="Standardntext"/>
        <w:rPr>
          <w:bCs/>
        </w:rPr>
      </w:pPr>
      <w:r w:rsidRPr="00DD47DF">
        <w:rPr>
          <w:bCs/>
        </w:rPr>
        <w:t xml:space="preserve">Z důvodu vysoké nákladnosti stavebních prací se bude podporovat budování i tzv. pasivní infrastruktury, která </w:t>
      </w:r>
      <w:r w:rsidR="003F0354" w:rsidRPr="00DD47DF">
        <w:rPr>
          <w:bCs/>
        </w:rPr>
        <w:t xml:space="preserve">sama o sobě </w:t>
      </w:r>
      <w:r w:rsidRPr="00DD47DF">
        <w:rPr>
          <w:bCs/>
        </w:rPr>
        <w:t xml:space="preserve">bezprostředně neumožní poskytovat službu vysokorychlostního přístupu k internetu, </w:t>
      </w:r>
      <w:r w:rsidR="003F0354" w:rsidRPr="00DD47DF">
        <w:rPr>
          <w:bCs/>
        </w:rPr>
        <w:t>ale je nezbytným předpokladem budování vlastní síťové infrastruktury zejména v případě sítě sestávajících zčásti nebo zcela z optických vedení</w:t>
      </w:r>
      <w:r w:rsidRPr="00DD47DF">
        <w:rPr>
          <w:bCs/>
        </w:rPr>
        <w:t>.</w:t>
      </w:r>
      <w:r w:rsidR="003F0354" w:rsidRPr="00DD47DF">
        <w:t xml:space="preserve"> </w:t>
      </w:r>
      <w:r w:rsidR="003F0354" w:rsidRPr="00DD47DF">
        <w:rPr>
          <w:bCs/>
        </w:rPr>
        <w:t>Nezbytnou podmínkou pro rozhodnutí o podpoře je v takovém případě následné zajištění dostupnosti služby vysokorychlostního přístupu k internetu požadované kvality. Povinné sdílené pasivní infrastruktury současně umožní snížení nákladů na budování sítí dalšími subjekty a podpoří rozvoj konkurence v oblasti poskytování služeb</w:t>
      </w:r>
      <w:r w:rsidRPr="00DD47DF">
        <w:rPr>
          <w:bCs/>
        </w:rPr>
        <w:t>.</w:t>
      </w:r>
    </w:p>
    <w:p w14:paraId="7D0236D8" w14:textId="77777777" w:rsidR="00AF178F" w:rsidRPr="00DD47DF" w:rsidRDefault="00AF178F" w:rsidP="00BA1C22">
      <w:pPr>
        <w:pStyle w:val="Standardntext"/>
        <w:rPr>
          <w:bCs/>
        </w:rPr>
      </w:pPr>
      <w:r w:rsidRPr="00DD47DF">
        <w:rPr>
          <w:bCs/>
        </w:rPr>
        <w:t xml:space="preserve">Aktivity SC 4.1 </w:t>
      </w:r>
      <w:r w:rsidR="00E46D4E" w:rsidRPr="00DD47DF">
        <w:rPr>
          <w:bCs/>
        </w:rPr>
        <w:t xml:space="preserve">vycházejí z potřeb zohledněných v Národní RIS3 strategii a </w:t>
      </w:r>
      <w:r w:rsidRPr="00DD47DF">
        <w:rPr>
          <w:bCs/>
        </w:rPr>
        <w:t xml:space="preserve">mají přímou vazbu na tento strategický cíl Národní </w:t>
      </w:r>
      <w:r w:rsidR="002B0AB0" w:rsidRPr="00DD47DF">
        <w:rPr>
          <w:bCs/>
        </w:rPr>
        <w:t>RI</w:t>
      </w:r>
      <w:r w:rsidRPr="00DD47DF">
        <w:rPr>
          <w:bCs/>
        </w:rPr>
        <w:t>S3 strategie: „</w:t>
      </w:r>
      <w:r w:rsidR="00B600B5" w:rsidRPr="00DD47DF">
        <w:rPr>
          <w:bCs/>
        </w:rPr>
        <w:t>Rozvoj Infrastruktury v ICT</w:t>
      </w:r>
      <w:r w:rsidRPr="00DD47DF">
        <w:rPr>
          <w:bCs/>
        </w:rPr>
        <w:t>“.</w:t>
      </w:r>
      <w:r w:rsidR="00CA3052" w:rsidRPr="00DD47DF">
        <w:rPr>
          <w:bCs/>
        </w:rPr>
        <w:t xml:space="preserve"> Jde především o vzájemnou provázanost s typovými aktivitami</w:t>
      </w:r>
      <w:r w:rsidR="00752DD2" w:rsidRPr="00DD47DF">
        <w:rPr>
          <w:bCs/>
        </w:rPr>
        <w:t>/projekty/operacemi specifického cíle E3.3</w:t>
      </w:r>
      <w:r w:rsidR="00CA3052" w:rsidRPr="00DD47DF">
        <w:rPr>
          <w:bCs/>
        </w:rPr>
        <w:t xml:space="preserve"> „</w:t>
      </w:r>
      <w:r w:rsidR="00752DD2" w:rsidRPr="00DD47DF">
        <w:rPr>
          <w:bCs/>
        </w:rPr>
        <w:t>Zvýšení dostupnosti infrastruktury</w:t>
      </w:r>
      <w:r w:rsidR="00CA3052" w:rsidRPr="00DD47DF">
        <w:rPr>
          <w:bCs/>
        </w:rPr>
        <w:t xml:space="preserve">“ Národní </w:t>
      </w:r>
      <w:r w:rsidR="002B0AB0" w:rsidRPr="00DD47DF">
        <w:rPr>
          <w:bCs/>
        </w:rPr>
        <w:t>RI</w:t>
      </w:r>
      <w:r w:rsidR="00CA3052" w:rsidRPr="00DD47DF">
        <w:rPr>
          <w:bCs/>
        </w:rPr>
        <w:t>S3 strategie.</w:t>
      </w:r>
    </w:p>
    <w:p w14:paraId="58FF03B7" w14:textId="77777777" w:rsidR="00150199" w:rsidRPr="00DD47DF" w:rsidRDefault="00150199" w:rsidP="006155A8">
      <w:pPr>
        <w:pStyle w:val="Standardntext"/>
      </w:pPr>
      <w:r w:rsidRPr="00DD47DF">
        <w:rPr>
          <w:b/>
          <w:bCs/>
        </w:rPr>
        <w:t>Hlavní cílová skupina:</w:t>
      </w:r>
      <w:r w:rsidRPr="00DD47DF">
        <w:rPr>
          <w:bCs/>
        </w:rPr>
        <w:t xml:space="preserve"> </w:t>
      </w:r>
      <w:r w:rsidRPr="00DD47DF">
        <w:t>Obyvatelé</w:t>
      </w:r>
      <w:r w:rsidR="0068667C" w:rsidRPr="00DD47DF">
        <w:t xml:space="preserve"> a podnikatelé</w:t>
      </w:r>
      <w:r w:rsidRPr="00DD47DF">
        <w:t xml:space="preserve">, kteří nemají možnost využívat vysokorychlostní přístup k internetu o rychlosti </w:t>
      </w:r>
      <w:r w:rsidR="0023153A" w:rsidRPr="00DD47DF">
        <w:t xml:space="preserve">alespoň </w:t>
      </w:r>
      <w:r w:rsidRPr="00DD47DF">
        <w:t>30 Mbit/s.</w:t>
      </w:r>
    </w:p>
    <w:p w14:paraId="4A3E5813" w14:textId="77777777" w:rsidR="00150199" w:rsidRPr="00DD47DF" w:rsidRDefault="00150199" w:rsidP="006155A8">
      <w:pPr>
        <w:pStyle w:val="Standardntext"/>
      </w:pPr>
      <w:r w:rsidRPr="00DD47DF">
        <w:rPr>
          <w:b/>
          <w:bCs/>
        </w:rPr>
        <w:t xml:space="preserve">Cílové území: </w:t>
      </w:r>
      <w:r w:rsidR="00EA72D6" w:rsidRPr="00DD47DF">
        <w:rPr>
          <w:bCs/>
        </w:rPr>
        <w:t>Prioritně</w:t>
      </w:r>
      <w:r w:rsidR="00EA72D6" w:rsidRPr="00DD47DF">
        <w:rPr>
          <w:b/>
          <w:bCs/>
        </w:rPr>
        <w:t xml:space="preserve"> </w:t>
      </w:r>
      <w:r w:rsidR="00792328" w:rsidRPr="00DD47DF">
        <w:t>oblasti, ve</w:t>
      </w:r>
      <w:r w:rsidRPr="00DD47DF">
        <w:t xml:space="preserve"> kter</w:t>
      </w:r>
      <w:r w:rsidR="00792328" w:rsidRPr="00DD47DF">
        <w:t>ých</w:t>
      </w:r>
      <w:r w:rsidRPr="00DD47DF">
        <w:t xml:space="preserve"> neexistuje žádný provozovatel sítě pro vysokorychlostní přístup k internetu umožňující zajišťování služ</w:t>
      </w:r>
      <w:r w:rsidR="00792328" w:rsidRPr="00DD47DF">
        <w:t>by reálnou rychlostí alespoň 30 </w:t>
      </w:r>
      <w:r w:rsidRPr="00DD47DF">
        <w:t xml:space="preserve">Mbit/s a není pravděpodobné, že by v ní do tří let nějaký poskytovatel vybudoval infrastrukturu pro poskytování této služby. </w:t>
      </w:r>
      <w:r w:rsidR="004F2EB2" w:rsidRPr="00DD47DF">
        <w:t>Výjimečně</w:t>
      </w:r>
      <w:r w:rsidR="004F2EB2" w:rsidRPr="00DD47DF">
        <w:rPr>
          <w:rStyle w:val="Znakapoznpodarou"/>
        </w:rPr>
        <w:footnoteReference w:id="73"/>
      </w:r>
      <w:r w:rsidR="004F2EB2" w:rsidRPr="00DD47DF">
        <w:t xml:space="preserve"> a pouze v odůvodněných případech na základě předem stanovených kritériích bude možné poskytnout podporu i v</w:t>
      </w:r>
      <w:r w:rsidR="00792328" w:rsidRPr="00DD47DF">
        <w:t> </w:t>
      </w:r>
      <w:r w:rsidR="004F2EB2" w:rsidRPr="00DD47DF">
        <w:t>oblastech</w:t>
      </w:r>
      <w:r w:rsidR="00792328" w:rsidRPr="00DD47DF">
        <w:t>, ve kterých</w:t>
      </w:r>
      <w:r w:rsidRPr="00DD47DF">
        <w:t xml:space="preserve"> existuje jeden provozovatel sítě vysokorychlostního přístupu k internetu zajišťující poskytování služby reálnou rychlostí alespoň 30 Mbit/s a není pravděpodobné, že by v ní do tří let jiný podnikatel vybudoval infrastrukturu pro poskytování této služby.</w:t>
      </w:r>
    </w:p>
    <w:p w14:paraId="54C5AD83" w14:textId="24CBD7F3" w:rsidR="00150199" w:rsidRPr="00DD47DF" w:rsidRDefault="00150199" w:rsidP="006155A8">
      <w:pPr>
        <w:pStyle w:val="Standardntext"/>
        <w:rPr>
          <w:bCs/>
        </w:rPr>
      </w:pPr>
      <w:r w:rsidRPr="00DD47DF">
        <w:rPr>
          <w:b/>
          <w:bCs/>
        </w:rPr>
        <w:t>Typy příjemců:</w:t>
      </w:r>
      <w:r w:rsidR="00300004" w:rsidRPr="00DD47DF">
        <w:t xml:space="preserve"> </w:t>
      </w:r>
      <w:r w:rsidR="00AC26AB" w:rsidRPr="00DD47DF">
        <w:t>Podnikatelé v elektronických komunikacích</w:t>
      </w:r>
      <w:r w:rsidR="000704E9" w:rsidRPr="00DD47DF">
        <w:t xml:space="preserve"> </w:t>
      </w:r>
      <w:r w:rsidR="004F2EB2" w:rsidRPr="00DD47DF">
        <w:rPr>
          <w:bCs/>
        </w:rPr>
        <w:t xml:space="preserve">bez ohledu na velikost. </w:t>
      </w:r>
      <w:r w:rsidR="006B6624" w:rsidRPr="00700E39">
        <w:rPr>
          <w:bCs/>
        </w:rPr>
        <w:t>Obce, kraje a jim podřízené či jimi zřízené organizace.</w:t>
      </w:r>
      <w:r w:rsidR="003E3234">
        <w:rPr>
          <w:bCs/>
        </w:rPr>
        <w:t xml:space="preserve"> </w:t>
      </w:r>
      <w:r w:rsidR="004F2EB2" w:rsidRPr="00DD47DF">
        <w:rPr>
          <w:bCs/>
        </w:rPr>
        <w:t>Podporovány budou tudíž i velké podniky</w:t>
      </w:r>
      <w:r w:rsidR="00093576" w:rsidRPr="00DD47DF">
        <w:rPr>
          <w:bCs/>
        </w:rPr>
        <w:t xml:space="preserve"> </w:t>
      </w:r>
      <w:r w:rsidR="00093576" w:rsidRPr="00DD47DF">
        <w:lastRenderedPageBreak/>
        <w:t>(</w:t>
      </w:r>
      <w:r w:rsidR="00450475" w:rsidRPr="00DD47DF">
        <w:t>po</w:t>
      </w:r>
      <w:r w:rsidR="00093576" w:rsidRPr="00DD47DF">
        <w:t>dle čl. 3 odst. 1 nařízení o EFRR)</w:t>
      </w:r>
      <w:r w:rsidR="004F2EB2" w:rsidRPr="00DD47DF">
        <w:rPr>
          <w:bCs/>
        </w:rPr>
        <w:t xml:space="preserve">, neboť celospolečenské přínosy a související pozitivní multiplikační efekty v rámci podpory rozšiřování všeobecné dostupnosti vysokorychlostního přístupu k internetu </w:t>
      </w:r>
      <w:r w:rsidR="0023153A" w:rsidRPr="00DD47DF">
        <w:rPr>
          <w:bCs/>
        </w:rPr>
        <w:t>jednoznač</w:t>
      </w:r>
      <w:r w:rsidR="004F2EB2" w:rsidRPr="00DD47DF">
        <w:rPr>
          <w:bCs/>
        </w:rPr>
        <w:t>ně převažují nad případnými negativními důsledky, které by mohly vzniknout podporováním velkých podniků.</w:t>
      </w:r>
      <w:r w:rsidR="00792328" w:rsidRPr="00DD47DF">
        <w:rPr>
          <w:bCs/>
        </w:rPr>
        <w:t xml:space="preserve"> </w:t>
      </w:r>
      <w:r w:rsidR="00B26853" w:rsidRPr="00DD47DF">
        <w:rPr>
          <w:bCs/>
        </w:rPr>
        <w:t>Tyto aktivity musí zároveň být v souladu i s politikou vlády ČR vztahující se k zavádění vysokorychlostního</w:t>
      </w:r>
      <w:r w:rsidR="002702C1" w:rsidRPr="00DD47DF">
        <w:rPr>
          <w:bCs/>
        </w:rPr>
        <w:t xml:space="preserve"> přístupu k</w:t>
      </w:r>
      <w:r w:rsidR="00B26853" w:rsidRPr="00DD47DF">
        <w:rPr>
          <w:bCs/>
        </w:rPr>
        <w:t xml:space="preserve"> internetu a jejím formám (kdy vláda preferuje především budování přístupových sítí nové generace – NGA, při současném respektování zásady technologické neutrality), tudíž ze soutěže projektů nelze vylučovat ani příslušné státní podniky prosazující tyto vládní priority. </w:t>
      </w:r>
      <w:r w:rsidR="00D42274" w:rsidRPr="00DD47DF">
        <w:rPr>
          <w:bCs/>
        </w:rPr>
        <w:t xml:space="preserve">Rozumí se rovněž, že </w:t>
      </w:r>
      <w:r w:rsidR="00450475" w:rsidRPr="00DD47DF">
        <w:rPr>
          <w:bCs/>
        </w:rPr>
        <w:t xml:space="preserve">s ohledem na </w:t>
      </w:r>
      <w:r w:rsidR="00D42274" w:rsidRPr="00DD47DF">
        <w:rPr>
          <w:bCs/>
        </w:rPr>
        <w:t>vysoké investiční nároky na výstavbu sítí a</w:t>
      </w:r>
      <w:r w:rsidR="0023153A" w:rsidRPr="00DD47DF">
        <w:rPr>
          <w:bCs/>
        </w:rPr>
        <w:t xml:space="preserve"> na</w:t>
      </w:r>
      <w:r w:rsidR="00D42274" w:rsidRPr="00DD47DF">
        <w:rPr>
          <w:bCs/>
        </w:rPr>
        <w:t xml:space="preserve"> nutnost tyto náklady předfinancovat, a dále s ohlede</w:t>
      </w:r>
      <w:r w:rsidR="00450475" w:rsidRPr="00DD47DF">
        <w:rPr>
          <w:bCs/>
        </w:rPr>
        <w:t xml:space="preserve">m na značnou technologickou a </w:t>
      </w:r>
      <w:r w:rsidR="00D42274" w:rsidRPr="00DD47DF">
        <w:rPr>
          <w:bCs/>
        </w:rPr>
        <w:t>procesní náročnost zajištění provozu podpořených sítí a v neposlední řadě i s ohledem na zajištění udržitelnosti projektu</w:t>
      </w:r>
      <w:r w:rsidR="00450475" w:rsidRPr="00DD47DF">
        <w:rPr>
          <w:bCs/>
        </w:rPr>
        <w:t>,</w:t>
      </w:r>
      <w:r w:rsidR="00D42274" w:rsidRPr="00DD47DF">
        <w:rPr>
          <w:bCs/>
        </w:rPr>
        <w:t xml:space="preserve"> nebude možné </w:t>
      </w:r>
      <w:r w:rsidR="00450475" w:rsidRPr="00DD47DF">
        <w:rPr>
          <w:bCs/>
        </w:rPr>
        <w:t xml:space="preserve">takové investice </w:t>
      </w:r>
      <w:r w:rsidR="00D42274" w:rsidRPr="00DD47DF">
        <w:rPr>
          <w:bCs/>
        </w:rPr>
        <w:t xml:space="preserve">vygenerovat bez významné participace velkých podniků. </w:t>
      </w:r>
      <w:r w:rsidR="0023153A" w:rsidRPr="00DD47DF">
        <w:rPr>
          <w:bCs/>
        </w:rPr>
        <w:t xml:space="preserve">Budování finančně náročných vysokorychlostních sítí velkými podniky v kombinaci s povinným umožněním přístupu do těchto sítí ostatním zájemcům o poskytování služeb přístupu k internetu o požadovaných rychlostech zakládá předpoklad následného vstupu nových subjektů na trh a budoucího rozvoje konkurenčního prostředí při maximálním využití realizovaných investic. </w:t>
      </w:r>
      <w:r w:rsidR="00D42274" w:rsidRPr="00DD47DF">
        <w:rPr>
          <w:bCs/>
        </w:rPr>
        <w:t xml:space="preserve">S ohledem na současnou praxi budování sítí lze však předpokládat výrazné zapojení malých a středních </w:t>
      </w:r>
      <w:r w:rsidR="00333BB8" w:rsidRPr="00DD47DF">
        <w:rPr>
          <w:bCs/>
        </w:rPr>
        <w:t xml:space="preserve">podniků </w:t>
      </w:r>
      <w:r w:rsidR="00D42274" w:rsidRPr="00DD47DF">
        <w:rPr>
          <w:bCs/>
        </w:rPr>
        <w:t>na straně zhotovitelů přípravn</w:t>
      </w:r>
      <w:r w:rsidR="00450475" w:rsidRPr="00DD47DF">
        <w:rPr>
          <w:bCs/>
        </w:rPr>
        <w:t>ých, výkopových a stavebních pra</w:t>
      </w:r>
      <w:r w:rsidR="00D42274" w:rsidRPr="00DD47DF">
        <w:rPr>
          <w:bCs/>
        </w:rPr>
        <w:t xml:space="preserve">cí, které </w:t>
      </w:r>
      <w:r w:rsidR="00450475" w:rsidRPr="00DD47DF">
        <w:rPr>
          <w:bCs/>
        </w:rPr>
        <w:t xml:space="preserve">budou </w:t>
      </w:r>
      <w:r w:rsidR="00D42274" w:rsidRPr="00DD47DF">
        <w:rPr>
          <w:bCs/>
        </w:rPr>
        <w:t>tvořit výraznou položku v nákladech podpořených projektů. Vybudovaná infrastruktura pro vysokorychlostní přístup k internetu rovněž významně podpoří poptávku po produktech a službách malých a středních podniků.</w:t>
      </w:r>
    </w:p>
    <w:p w14:paraId="3E9E67E9" w14:textId="77777777" w:rsidR="00150199" w:rsidRPr="00DD47DF" w:rsidRDefault="00BA6461" w:rsidP="005F43DF">
      <w:pPr>
        <w:pStyle w:val="Nadpis5"/>
        <w:numPr>
          <w:ilvl w:val="4"/>
          <w:numId w:val="26"/>
        </w:numPr>
      </w:pPr>
      <w:r w:rsidRPr="00DD47DF">
        <w:t>Hlavní zásady pro výběr operací</w:t>
      </w:r>
    </w:p>
    <w:p w14:paraId="5E053002" w14:textId="77777777" w:rsidR="00B45C7F" w:rsidRPr="00DD47DF" w:rsidRDefault="00FE3385" w:rsidP="00963119">
      <w:pPr>
        <w:pStyle w:val="Standardntext"/>
      </w:pPr>
      <w:r w:rsidRPr="00DD47DF">
        <w:t>Společné obecné zásady pro výběr operací pro všechny investiční priority celého OP PIK jsou uvedeny v prioritní ose 1 v oddíle 2.A.6.2.</w:t>
      </w:r>
    </w:p>
    <w:p w14:paraId="080F98D1" w14:textId="77777777" w:rsidR="00D42004" w:rsidRPr="00DD47DF" w:rsidRDefault="00D42004" w:rsidP="00D42004">
      <w:pPr>
        <w:pStyle w:val="Standardntext"/>
      </w:pPr>
      <w:r w:rsidRPr="00DD47DF">
        <w:t>V rámci výběru a hodnocení projektů budou posuzována především následující kritéria:</w:t>
      </w:r>
    </w:p>
    <w:p w14:paraId="59664677" w14:textId="77777777" w:rsidR="00D42004" w:rsidRPr="00DD47DF" w:rsidRDefault="00D42004" w:rsidP="00FB3387">
      <w:pPr>
        <w:pStyle w:val="Standardntext"/>
        <w:numPr>
          <w:ilvl w:val="0"/>
          <w:numId w:val="43"/>
        </w:numPr>
      </w:pPr>
      <w:r w:rsidRPr="00DD47DF">
        <w:t xml:space="preserve">Kvalita a potřebnost </w:t>
      </w:r>
      <w:r w:rsidR="00B45C7F" w:rsidRPr="00DD47DF">
        <w:t xml:space="preserve">projektu s ohledem na </w:t>
      </w:r>
      <w:r w:rsidR="0023153A" w:rsidRPr="00DD47DF">
        <w:t>jeho</w:t>
      </w:r>
      <w:r w:rsidR="00B45C7F" w:rsidRPr="00DD47DF">
        <w:t xml:space="preserve"> potenciál ve specifických územích (tzn. z hlediska identifikace bílých míst)</w:t>
      </w:r>
      <w:r w:rsidRPr="00DD47DF">
        <w:t>.</w:t>
      </w:r>
    </w:p>
    <w:p w14:paraId="43AA3A71" w14:textId="77777777" w:rsidR="00F00EF8" w:rsidRPr="00DD47DF" w:rsidRDefault="00F00EF8" w:rsidP="00FB3387">
      <w:pPr>
        <w:pStyle w:val="Standardntext"/>
        <w:numPr>
          <w:ilvl w:val="0"/>
          <w:numId w:val="43"/>
        </w:numPr>
      </w:pPr>
      <w:r w:rsidRPr="00DD47DF">
        <w:rPr>
          <w:bCs/>
        </w:rPr>
        <w:t>Žadatel o podporu předloží podnikatelský záměr, který bude obsahovat základní informace o lokalitě, kapitálovou náročnost investiční pří</w:t>
      </w:r>
      <w:r w:rsidR="00712D59" w:rsidRPr="00DD47DF">
        <w:rPr>
          <w:bCs/>
        </w:rPr>
        <w:t>ležitosti, technicko-organizační</w:t>
      </w:r>
      <w:r w:rsidRPr="00DD47DF">
        <w:rPr>
          <w:bCs/>
        </w:rPr>
        <w:t>, obchodní a finanční zajištění realizace.</w:t>
      </w:r>
      <w:r w:rsidR="00712D59" w:rsidRPr="00DD47DF">
        <w:rPr>
          <w:bCs/>
        </w:rPr>
        <w:t xml:space="preserve"> V projektu musí být </w:t>
      </w:r>
      <w:r w:rsidR="0030164D" w:rsidRPr="00DD47DF">
        <w:rPr>
          <w:bCs/>
        </w:rPr>
        <w:t xml:space="preserve">rovněž </w:t>
      </w:r>
      <w:r w:rsidR="00712D59" w:rsidRPr="00DD47DF">
        <w:rPr>
          <w:bCs/>
        </w:rPr>
        <w:t>popsán přístup</w:t>
      </w:r>
      <w:r w:rsidR="0030164D" w:rsidRPr="00DD47DF">
        <w:rPr>
          <w:bCs/>
        </w:rPr>
        <w:t xml:space="preserve"> k síti na velkoobchodní úrovni.</w:t>
      </w:r>
    </w:p>
    <w:p w14:paraId="7490DA83" w14:textId="77777777" w:rsidR="00D42004" w:rsidRPr="00DD47DF" w:rsidRDefault="00D42004" w:rsidP="00FB3387">
      <w:pPr>
        <w:pStyle w:val="Standardntext"/>
        <w:numPr>
          <w:ilvl w:val="0"/>
          <w:numId w:val="43"/>
        </w:numPr>
      </w:pPr>
      <w:r w:rsidRPr="00DD47DF">
        <w:t>Soulad projektu s</w:t>
      </w:r>
      <w:r w:rsidR="00BA4E72" w:rsidRPr="00DD47DF">
        <w:t xml:space="preserve"> </w:t>
      </w:r>
      <w:r w:rsidRPr="00DD47DF">
        <w:t>územní dimenzí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 </w:t>
      </w:r>
    </w:p>
    <w:p w14:paraId="741BCF25" w14:textId="77777777" w:rsidR="00AC3FC6" w:rsidRPr="00DD47DF" w:rsidRDefault="00AC3FC6" w:rsidP="00FB3387">
      <w:pPr>
        <w:pStyle w:val="Standardntext"/>
        <w:numPr>
          <w:ilvl w:val="0"/>
          <w:numId w:val="43"/>
        </w:numPr>
      </w:pPr>
      <w:r w:rsidRPr="00DD47DF">
        <w:t>Soulad projektu s prioritami RIS3.</w:t>
      </w:r>
    </w:p>
    <w:p w14:paraId="69E6AC82" w14:textId="77777777" w:rsidR="00D42004" w:rsidRPr="00DD47DF" w:rsidRDefault="00D42004" w:rsidP="00FB3387">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5174F0FC" w14:textId="77777777" w:rsidR="00192F36" w:rsidRPr="00DD47DF" w:rsidRDefault="00192F36" w:rsidP="00FB3387">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0E4DD3C2" w14:textId="77777777" w:rsidR="00150199" w:rsidRPr="00DD47DF" w:rsidRDefault="00BA6461" w:rsidP="005F43DF">
      <w:pPr>
        <w:pStyle w:val="Nadpis5"/>
        <w:numPr>
          <w:ilvl w:val="4"/>
          <w:numId w:val="26"/>
        </w:numPr>
        <w:rPr>
          <w:rFonts w:cs="Calibri"/>
        </w:rPr>
      </w:pPr>
      <w:r w:rsidRPr="00DD47DF">
        <w:lastRenderedPageBreak/>
        <w:t>Plánované využití finančních nástrojů (použije-li se)</w:t>
      </w:r>
    </w:p>
    <w:p w14:paraId="5AC175A5" w14:textId="77777777" w:rsidR="00150199" w:rsidRPr="00DD47DF" w:rsidRDefault="000373F5" w:rsidP="002A4D1D">
      <w:pPr>
        <w:pStyle w:val="Standardntext"/>
      </w:pPr>
      <w:r w:rsidRPr="00DD47DF">
        <w:t xml:space="preserve">Řídící orgán </w:t>
      </w:r>
      <w:r w:rsidR="00EC6418" w:rsidRPr="00DD47DF">
        <w:t xml:space="preserve">posoudí možnosti </w:t>
      </w:r>
      <w:r w:rsidRPr="00DD47DF">
        <w:t>využití finančních nástrojů v této investiční prioritě</w:t>
      </w:r>
      <w:r w:rsidR="00EC6418" w:rsidRPr="00DD47DF">
        <w:t xml:space="preserve"> OP PIK na základě výsledků </w:t>
      </w:r>
      <w:r w:rsidRPr="00DD47DF">
        <w:t xml:space="preserve">předběžného </w:t>
      </w:r>
      <w:r w:rsidR="00EC6418" w:rsidRPr="00DD47DF">
        <w:t xml:space="preserve">vyhodnocení provedeného </w:t>
      </w:r>
      <w:r w:rsidRPr="00DD47DF">
        <w:t>dle čl. 37 odst. 2 obecného nařízení, případně jeho revize podle čl. 37 odst. 2 písm. g) obecného nařízení.</w:t>
      </w:r>
    </w:p>
    <w:p w14:paraId="4ACB0F4F" w14:textId="77777777" w:rsidR="00150199" w:rsidRPr="00DD47DF" w:rsidRDefault="00BA6461" w:rsidP="005F43DF">
      <w:pPr>
        <w:pStyle w:val="Nadpis5"/>
        <w:numPr>
          <w:ilvl w:val="4"/>
          <w:numId w:val="26"/>
        </w:numPr>
      </w:pPr>
      <w:r w:rsidRPr="00DD47DF">
        <w:t>Plánované využití velkých projektů (použije-li se)</w:t>
      </w:r>
    </w:p>
    <w:p w14:paraId="6B1737C4" w14:textId="77777777" w:rsidR="002A4D1D" w:rsidRPr="00DD47DF" w:rsidRDefault="002A4D1D" w:rsidP="002A4D1D">
      <w:pPr>
        <w:pStyle w:val="Standardntext"/>
      </w:pPr>
      <w:r w:rsidRPr="00DD47DF">
        <w:t xml:space="preserve">Velké projekty ve smyslu čl. </w:t>
      </w:r>
      <w:r w:rsidR="008F52F8" w:rsidRPr="00DD47DF">
        <w:t>10</w:t>
      </w:r>
      <w:r w:rsidRPr="00DD47DF">
        <w:t>0 obecného nařízení nejsou plánovány.</w:t>
      </w:r>
    </w:p>
    <w:p w14:paraId="74C353E2" w14:textId="77777777" w:rsidR="00150199" w:rsidRPr="00DD47DF" w:rsidRDefault="00BA6461" w:rsidP="005F43DF">
      <w:pPr>
        <w:pStyle w:val="Nadpis5"/>
        <w:numPr>
          <w:ilvl w:val="4"/>
          <w:numId w:val="26"/>
        </w:numPr>
      </w:pPr>
      <w:r w:rsidRPr="00DD47DF">
        <w:t>Ukazatele výstupů podle investiční priority a případně podle kategorie regionů</w:t>
      </w:r>
    </w:p>
    <w:p w14:paraId="047604B5" w14:textId="77777777" w:rsidR="00150199" w:rsidRPr="00DD47DF" w:rsidRDefault="00150199" w:rsidP="004126CC">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57"/>
        <w:gridCol w:w="2635"/>
        <w:gridCol w:w="1196"/>
        <w:gridCol w:w="665"/>
        <w:gridCol w:w="1201"/>
        <w:gridCol w:w="974"/>
        <w:gridCol w:w="1033"/>
        <w:gridCol w:w="1165"/>
      </w:tblGrid>
      <w:tr w:rsidR="001B2E5C" w:rsidRPr="00DD47DF" w14:paraId="1829C5DA" w14:textId="77777777">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E9F541E" w14:textId="77777777" w:rsidR="001B2E5C" w:rsidRPr="00DD47DF" w:rsidRDefault="001B2E5C" w:rsidP="004126CC">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16ADDDE" w14:textId="77777777" w:rsidR="001B2E5C" w:rsidRPr="00DD47DF" w:rsidRDefault="001B2E5C" w:rsidP="004126CC">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BCE2E64" w14:textId="77777777" w:rsidR="001B2E5C" w:rsidRPr="00DD47DF" w:rsidRDefault="001B2E5C" w:rsidP="004126CC">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FD69AA1" w14:textId="77777777" w:rsidR="001B2E5C" w:rsidRPr="00DD47DF" w:rsidRDefault="001B2E5C" w:rsidP="004126CC">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6F6F1DF" w14:textId="77777777" w:rsidR="001B2E5C" w:rsidRPr="00DD47DF" w:rsidRDefault="001B2E5C" w:rsidP="004126CC">
            <w:pPr>
              <w:pStyle w:val="Tabulka"/>
              <w:keepNext/>
              <w:keepLines/>
              <w:rPr>
                <w:rFonts w:cs="Calibri"/>
                <w:b/>
              </w:rPr>
            </w:pPr>
            <w:r w:rsidRPr="00DD47DF">
              <w:rPr>
                <w:rFonts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AA9DA9E" w14:textId="77777777" w:rsidR="001B2E5C" w:rsidRPr="00DD47DF" w:rsidRDefault="001B2E5C" w:rsidP="004126CC">
            <w:pPr>
              <w:pStyle w:val="Tabulka"/>
              <w:keepNext/>
              <w:keepLines/>
              <w:rPr>
                <w:rFonts w:cs="Calibri"/>
                <w:b/>
              </w:rPr>
            </w:pPr>
            <w:r w:rsidRPr="00DD47DF">
              <w:rPr>
                <w:rFonts w:cs="Calibri"/>
                <w:b/>
              </w:rPr>
              <w:t>Cílová hodnota</w:t>
            </w:r>
          </w:p>
          <w:p w14:paraId="4134BABC" w14:textId="77777777" w:rsidR="001B2E5C" w:rsidRPr="00DD47DF" w:rsidRDefault="001B2E5C" w:rsidP="004126CC">
            <w:pPr>
              <w:pStyle w:val="Tabulka"/>
              <w:keepNext/>
              <w:keepLines/>
              <w:rPr>
                <w:rFonts w:cs="Calibri"/>
                <w:b/>
              </w:rPr>
            </w:pP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EECA83F" w14:textId="77777777" w:rsidR="001B2E5C" w:rsidRPr="00DD47DF" w:rsidRDefault="001B2E5C" w:rsidP="004126CC">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FF4C94" w14:textId="77777777" w:rsidR="001B2E5C" w:rsidRPr="00DD47DF" w:rsidRDefault="001B2E5C" w:rsidP="004126CC">
            <w:pPr>
              <w:pStyle w:val="Tabulka"/>
              <w:keepNext/>
              <w:keepLines/>
              <w:rPr>
                <w:rFonts w:cs="Calibri"/>
                <w:b/>
              </w:rPr>
            </w:pPr>
            <w:r w:rsidRPr="00DD47DF">
              <w:rPr>
                <w:rFonts w:cs="Calibri"/>
                <w:b/>
              </w:rPr>
              <w:t>Četnost podávání zpráv</w:t>
            </w:r>
          </w:p>
        </w:tc>
      </w:tr>
      <w:tr w:rsidR="002B3F69" w:rsidRPr="00DD47DF" w14:paraId="3E468787"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1597E7E2" w14:textId="4AE58173" w:rsidR="002B3F69" w:rsidRPr="00DD47DF" w:rsidRDefault="00C75691" w:rsidP="004126CC">
            <w:pPr>
              <w:pStyle w:val="Tabulka"/>
              <w:keepNext/>
              <w:keepLines/>
              <w:rPr>
                <w:rFonts w:cs="Calibri"/>
              </w:rPr>
            </w:pPr>
            <w:r w:rsidRPr="00DD47DF">
              <w:rPr>
                <w:rFonts w:cs="Calibri"/>
              </w:rPr>
              <w:t xml:space="preserve">CO </w:t>
            </w:r>
            <w:r w:rsidR="00981056" w:rsidRPr="00DD47DF">
              <w:rPr>
                <w:rFonts w:cs="Calibri"/>
              </w:rPr>
              <w:t>0</w:t>
            </w:r>
            <w:r w:rsidR="002B3F69"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7FA7789A" w14:textId="77777777" w:rsidR="002B3F69" w:rsidRPr="00DD47DF" w:rsidRDefault="007D6298" w:rsidP="004126CC">
            <w:pPr>
              <w:pStyle w:val="Tabulka"/>
              <w:keepNext/>
              <w:keepLines/>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56CAB24A" w14:textId="77777777" w:rsidR="002B3F69" w:rsidRPr="00DD47DF" w:rsidRDefault="002B3F69" w:rsidP="004126CC">
            <w:pPr>
              <w:pStyle w:val="Tabulka"/>
              <w:keepNext/>
              <w:keepLines/>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3926B4F3" w14:textId="77777777" w:rsidR="002B3F69" w:rsidRPr="00DD47DF" w:rsidRDefault="002B3F69" w:rsidP="004126CC">
            <w:pPr>
              <w:pStyle w:val="Tabulka"/>
              <w:keepNext/>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CF88F9E" w14:textId="77777777" w:rsidR="002B3F69" w:rsidRPr="00DD47DF" w:rsidRDefault="002B3F69" w:rsidP="004126CC">
            <w:pPr>
              <w:pStyle w:val="Tabulka"/>
              <w:keepNext/>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06AA62DD" w14:textId="77777777" w:rsidR="002B3F69" w:rsidRPr="00DD47DF" w:rsidRDefault="00A06496" w:rsidP="00333BB8">
            <w:pPr>
              <w:pStyle w:val="Tabulka"/>
              <w:keepNext/>
              <w:keepLines/>
              <w:rPr>
                <w:rFonts w:cs="Calibri"/>
              </w:rPr>
            </w:pPr>
            <w:r w:rsidRPr="00DD47DF">
              <w:rPr>
                <w:rFonts w:cs="Calibri"/>
              </w:rPr>
              <w:t>170</w:t>
            </w:r>
          </w:p>
        </w:tc>
        <w:tc>
          <w:tcPr>
            <w:tcW w:w="0" w:type="auto"/>
            <w:tcBorders>
              <w:top w:val="single" w:sz="4" w:space="0" w:color="000000"/>
              <w:left w:val="single" w:sz="4" w:space="0" w:color="000000"/>
              <w:bottom w:val="single" w:sz="4" w:space="0" w:color="000000"/>
              <w:right w:val="single" w:sz="4" w:space="0" w:color="000000"/>
            </w:tcBorders>
            <w:vAlign w:val="center"/>
          </w:tcPr>
          <w:p w14:paraId="519F702E" w14:textId="77777777" w:rsidR="002B3F69" w:rsidRPr="00DD47DF" w:rsidRDefault="00FC7054" w:rsidP="004126CC">
            <w:pPr>
              <w:pStyle w:val="Tabulka"/>
              <w:keepNext/>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C9F81E1" w14:textId="77777777" w:rsidR="002B3F69" w:rsidRPr="00DD47DF" w:rsidRDefault="00FC7054" w:rsidP="004126CC">
            <w:pPr>
              <w:pStyle w:val="Tabulka"/>
              <w:keepNext/>
              <w:keepLines/>
              <w:rPr>
                <w:rFonts w:cs="Calibri"/>
              </w:rPr>
            </w:pPr>
            <w:r>
              <w:rPr>
                <w:rFonts w:cs="Calibri"/>
              </w:rPr>
              <w:t>průběžně</w:t>
            </w:r>
          </w:p>
        </w:tc>
      </w:tr>
      <w:tr w:rsidR="002B3F69" w:rsidRPr="00DD47DF" w14:paraId="30720D20"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2CA2A60" w14:textId="61A403D9" w:rsidR="002B3F69" w:rsidRPr="00DD47DF" w:rsidRDefault="00C75691" w:rsidP="00F00D3E">
            <w:pPr>
              <w:pStyle w:val="Tabulka"/>
              <w:rPr>
                <w:rFonts w:cs="Calibri"/>
              </w:rPr>
            </w:pPr>
            <w:r w:rsidRPr="00DD47DF">
              <w:rPr>
                <w:rFonts w:cs="Calibri"/>
              </w:rPr>
              <w:t xml:space="preserve">CO </w:t>
            </w:r>
            <w:r w:rsidR="00981056" w:rsidRPr="00DD47DF">
              <w:rPr>
                <w:rFonts w:cs="Calibri"/>
              </w:rPr>
              <w:t>0</w:t>
            </w:r>
            <w:r w:rsidR="002B3F69"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10C860AC" w14:textId="77777777" w:rsidR="002B3F69" w:rsidRPr="00DD47DF" w:rsidRDefault="002B3F69" w:rsidP="00F00D3E">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72315802" w14:textId="77777777" w:rsidR="002B3F69" w:rsidRPr="00DD47DF" w:rsidRDefault="002B3F69" w:rsidP="00F00D3E">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6A0A4766" w14:textId="77777777" w:rsidR="002B3F69" w:rsidRPr="00DD47DF" w:rsidRDefault="002B3F69" w:rsidP="00F00D3E">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7620BDE" w14:textId="77777777" w:rsidR="002B3F69" w:rsidRPr="00DD47DF" w:rsidRDefault="002B3F69" w:rsidP="00F00D3E">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776E0821" w14:textId="77777777" w:rsidR="002B3F69" w:rsidRPr="00DD47DF" w:rsidRDefault="00A06496" w:rsidP="00F00D3E">
            <w:pPr>
              <w:pStyle w:val="Tabulka"/>
              <w:rPr>
                <w:rFonts w:cs="Calibri"/>
              </w:rPr>
            </w:pPr>
            <w:r w:rsidRPr="00DD47DF">
              <w:rPr>
                <w:rFonts w:cs="Calibri"/>
              </w:rPr>
              <w:t>170</w:t>
            </w:r>
          </w:p>
        </w:tc>
        <w:tc>
          <w:tcPr>
            <w:tcW w:w="0" w:type="auto"/>
            <w:tcBorders>
              <w:top w:val="single" w:sz="4" w:space="0" w:color="000000"/>
              <w:left w:val="single" w:sz="4" w:space="0" w:color="000000"/>
              <w:bottom w:val="single" w:sz="4" w:space="0" w:color="000000"/>
              <w:right w:val="single" w:sz="4" w:space="0" w:color="000000"/>
            </w:tcBorders>
            <w:vAlign w:val="center"/>
          </w:tcPr>
          <w:p w14:paraId="533ADAF0" w14:textId="77777777" w:rsidR="002B3F69" w:rsidRPr="00DD47DF" w:rsidRDefault="00934A97" w:rsidP="00F00D3E">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13EE1A42" w14:textId="77777777" w:rsidR="002B3F69" w:rsidRPr="00DD47DF" w:rsidRDefault="00934A97" w:rsidP="00F00D3E">
            <w:pPr>
              <w:pStyle w:val="Tabulka"/>
              <w:rPr>
                <w:rFonts w:cs="Calibri"/>
              </w:rPr>
            </w:pPr>
            <w:r>
              <w:rPr>
                <w:rFonts w:cs="Calibri"/>
              </w:rPr>
              <w:t>průběžně</w:t>
            </w:r>
          </w:p>
        </w:tc>
      </w:tr>
      <w:tr w:rsidR="00B75479" w:rsidRPr="00DD47DF" w14:paraId="03DE3886"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26E527A" w14:textId="6C348B53" w:rsidR="00B75479" w:rsidRPr="00DD47DF" w:rsidRDefault="00C75691" w:rsidP="008F41A1">
            <w:pPr>
              <w:pStyle w:val="Tabulka"/>
              <w:rPr>
                <w:rFonts w:cs="Calibri"/>
              </w:rPr>
            </w:pPr>
            <w:r w:rsidRPr="00DD47DF">
              <w:rPr>
                <w:rFonts w:cs="Calibri"/>
              </w:rPr>
              <w:t xml:space="preserve">CO </w:t>
            </w:r>
            <w:r w:rsidR="00B75479" w:rsidRPr="00DD47DF">
              <w:rPr>
                <w:rFonts w:cs="Calibri"/>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7D5EE197" w14:textId="77777777" w:rsidR="00B75479" w:rsidRPr="00DD47DF" w:rsidRDefault="00B75479" w:rsidP="008F41A1">
            <w:pPr>
              <w:pStyle w:val="Tabulka"/>
              <w:jc w:val="left"/>
              <w:rPr>
                <w:rFonts w:cs="Calibri"/>
              </w:rPr>
            </w:pPr>
            <w:r w:rsidRPr="00DD47DF">
              <w:rPr>
                <w:rFonts w:cs="Calibri"/>
              </w:rPr>
              <w:t>Domácnosti, které mají nově přístup k širokopásmovým sítím s přenosovou rychlostí nejméně 30 Mb/s</w:t>
            </w:r>
          </w:p>
        </w:tc>
        <w:tc>
          <w:tcPr>
            <w:tcW w:w="0" w:type="auto"/>
            <w:tcBorders>
              <w:top w:val="single" w:sz="4" w:space="0" w:color="000000"/>
              <w:left w:val="single" w:sz="4" w:space="0" w:color="000000"/>
              <w:bottom w:val="single" w:sz="4" w:space="0" w:color="000000"/>
              <w:right w:val="single" w:sz="4" w:space="0" w:color="000000"/>
            </w:tcBorders>
            <w:vAlign w:val="center"/>
          </w:tcPr>
          <w:p w14:paraId="3C0164CD" w14:textId="77777777" w:rsidR="00B75479" w:rsidRPr="00DD47DF" w:rsidRDefault="00B75479" w:rsidP="008F41A1">
            <w:pPr>
              <w:pStyle w:val="Tabulka"/>
              <w:rPr>
                <w:rFonts w:cs="Calibri"/>
              </w:rPr>
            </w:pPr>
            <w:r w:rsidRPr="00DD47DF">
              <w:rPr>
                <w:rFonts w:cs="Calibri"/>
              </w:rPr>
              <w:t>domácnosti</w:t>
            </w:r>
          </w:p>
        </w:tc>
        <w:tc>
          <w:tcPr>
            <w:tcW w:w="0" w:type="auto"/>
            <w:tcBorders>
              <w:top w:val="single" w:sz="4" w:space="0" w:color="000000"/>
              <w:left w:val="single" w:sz="4" w:space="0" w:color="000000"/>
              <w:bottom w:val="single" w:sz="4" w:space="0" w:color="000000"/>
              <w:right w:val="single" w:sz="4" w:space="0" w:color="000000"/>
            </w:tcBorders>
            <w:vAlign w:val="center"/>
          </w:tcPr>
          <w:p w14:paraId="1C84EB8F" w14:textId="77777777" w:rsidR="00B75479" w:rsidRPr="00DD47DF" w:rsidRDefault="00B75479" w:rsidP="00F00D3E">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24D93AF" w14:textId="77777777" w:rsidR="00B75479" w:rsidRPr="00DD47DF" w:rsidRDefault="00B75479" w:rsidP="00F00D3E">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65276608" w14:textId="77777777" w:rsidR="00B75479" w:rsidRPr="00DD47DF" w:rsidRDefault="007034D8" w:rsidP="00BD0A09">
            <w:pPr>
              <w:pStyle w:val="Tabulka"/>
              <w:rPr>
                <w:rFonts w:cs="Calibri"/>
              </w:rPr>
            </w:pPr>
            <w:r w:rsidRPr="00DD47DF">
              <w:rPr>
                <w:rFonts w:cs="Calibri"/>
              </w:rPr>
              <w:t>500 000</w:t>
            </w:r>
          </w:p>
        </w:tc>
        <w:tc>
          <w:tcPr>
            <w:tcW w:w="0" w:type="auto"/>
            <w:tcBorders>
              <w:top w:val="single" w:sz="4" w:space="0" w:color="000000"/>
              <w:left w:val="single" w:sz="4" w:space="0" w:color="000000"/>
              <w:bottom w:val="single" w:sz="4" w:space="0" w:color="000000"/>
              <w:right w:val="single" w:sz="4" w:space="0" w:color="000000"/>
            </w:tcBorders>
            <w:vAlign w:val="center"/>
          </w:tcPr>
          <w:p w14:paraId="3382295B" w14:textId="77777777" w:rsidR="00B75479" w:rsidRPr="00DD47DF" w:rsidRDefault="00B75479" w:rsidP="00D33A09">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37969D8" w14:textId="77777777" w:rsidR="00B75479" w:rsidRPr="00DD47DF" w:rsidRDefault="00743EBF" w:rsidP="008F41A1">
            <w:pPr>
              <w:pStyle w:val="Tabulka"/>
              <w:rPr>
                <w:rFonts w:cs="Calibri"/>
              </w:rPr>
            </w:pPr>
            <w:r>
              <w:rPr>
                <w:rFonts w:cs="Calibri"/>
              </w:rPr>
              <w:t>průběžně</w:t>
            </w:r>
          </w:p>
        </w:tc>
      </w:tr>
    </w:tbl>
    <w:p w14:paraId="7F2B10DE" w14:textId="77777777" w:rsidR="00B53995" w:rsidRPr="00DD47DF" w:rsidRDefault="00B53995" w:rsidP="00DA3512">
      <w:pPr>
        <w:pStyle w:val="kapitola2A0"/>
        <w:numPr>
          <w:ilvl w:val="2"/>
          <w:numId w:val="69"/>
        </w:numPr>
      </w:pPr>
      <w:bookmarkStart w:id="96" w:name="_Toc506885038"/>
      <w:r w:rsidRPr="00DD47DF">
        <w:t>INVESTIČNÍ PRIORITA 2 prioritní osy 4: Vyvíjení produktů a služeb v oblasti IKT, elektronický obchod a zvyšování poptávky po IKT</w:t>
      </w:r>
      <w:bookmarkEnd w:id="96"/>
    </w:p>
    <w:p w14:paraId="32330A96" w14:textId="77777777" w:rsidR="002E1C78" w:rsidRPr="00DD47DF" w:rsidRDefault="008C7D72" w:rsidP="00DA3512">
      <w:pPr>
        <w:pStyle w:val="kapitola2A0"/>
        <w:numPr>
          <w:ilvl w:val="2"/>
          <w:numId w:val="69"/>
        </w:numPr>
      </w:pPr>
      <w:bookmarkStart w:id="97" w:name="_Toc506885039"/>
      <w:r w:rsidRPr="00DD47DF">
        <w:t>Specifické cíle odpovídající investiční prioritě a očekávané výsledky</w:t>
      </w:r>
      <w:bookmarkEnd w:id="97"/>
    </w:p>
    <w:p w14:paraId="6B29F2BB" w14:textId="77777777" w:rsidR="00BA3276" w:rsidRPr="00DD47DF" w:rsidRDefault="002E1C78" w:rsidP="00BA3276">
      <w:pPr>
        <w:pStyle w:val="Modrnadpis"/>
      </w:pPr>
      <w:r w:rsidRPr="00DD47DF">
        <w:t xml:space="preserve">SPECIFICKÝ CÍL </w:t>
      </w:r>
      <w:r w:rsidR="006F258E" w:rsidRPr="00DD47DF">
        <w:t>4.</w:t>
      </w:r>
      <w:r w:rsidRPr="00DD47DF">
        <w:t xml:space="preserve">2: </w:t>
      </w:r>
      <w:r w:rsidR="00CE3F25" w:rsidRPr="00DD47DF">
        <w:t>Zvýšit využití potenciálu ICT sektoru pro konkurenceschopnost ekonomiky</w:t>
      </w:r>
    </w:p>
    <w:p w14:paraId="4351F2C2" w14:textId="77777777" w:rsidR="00396DB9" w:rsidRPr="00DD47DF" w:rsidRDefault="00396DB9" w:rsidP="00116A3E">
      <w:pPr>
        <w:pStyle w:val="Standardntext"/>
      </w:pPr>
      <w:r w:rsidRPr="00DD47DF">
        <w:t>Sofistikované produkty v oblasti ICT a související služby jsou prvky základního významu, které horizontálně prostupují všechny obory lidské činnosti</w:t>
      </w:r>
      <w:r w:rsidR="00320CEA" w:rsidRPr="00DD47DF">
        <w:t>,</w:t>
      </w:r>
      <w:r w:rsidRPr="00DD47DF">
        <w:t xml:space="preserve"> a bez nich</w:t>
      </w:r>
      <w:r w:rsidR="00320CEA" w:rsidRPr="00DD47DF">
        <w:t>ž</w:t>
      </w:r>
      <w:r w:rsidRPr="00DD47DF">
        <w:t xml:space="preserve"> nelze efektivně realizovat podnikatelské záměry</w:t>
      </w:r>
      <w:r w:rsidR="00320CEA" w:rsidRPr="00DD47DF">
        <w:t>,</w:t>
      </w:r>
      <w:r w:rsidRPr="00DD47DF">
        <w:t xml:space="preserve"> ani zvyšovat kvalitu života společnosti. Český I</w:t>
      </w:r>
      <w:r w:rsidR="00320CEA" w:rsidRPr="00DD47DF">
        <w:t>C</w:t>
      </w:r>
      <w:r w:rsidRPr="00DD47DF">
        <w:t xml:space="preserve">T sektor má velký, dosud ne zcela využitý potenciál, který bude za pomoci tohoto specifického cíle přeměněn ve hmatatelné výsledky. Hlavním cílem je růst konkurenceschopnosti založený na vyvíjení a využívání vysoce inovativních </w:t>
      </w:r>
      <w:r w:rsidR="00320CEA" w:rsidRPr="00DD47DF">
        <w:t>ICT</w:t>
      </w:r>
      <w:r w:rsidRPr="00DD47DF">
        <w:t>.</w:t>
      </w:r>
    </w:p>
    <w:p w14:paraId="39DADC03" w14:textId="77777777" w:rsidR="003F4488" w:rsidRPr="00DD47DF" w:rsidRDefault="003508A9" w:rsidP="00396141">
      <w:pPr>
        <w:pStyle w:val="Modrnadpis"/>
      </w:pPr>
      <w:r w:rsidRPr="00DD47DF">
        <w:t>Výsledky, kterých chce ČR dosáhnout s podporou Unie</w:t>
      </w:r>
    </w:p>
    <w:p w14:paraId="1C372945" w14:textId="77777777" w:rsidR="0025663C" w:rsidRPr="00DD47DF" w:rsidRDefault="0006102D" w:rsidP="00FB3387">
      <w:pPr>
        <w:pStyle w:val="Standardntext"/>
        <w:numPr>
          <w:ilvl w:val="0"/>
          <w:numId w:val="37"/>
        </w:numPr>
      </w:pPr>
      <w:r w:rsidRPr="00DD47DF">
        <w:t xml:space="preserve">Rozšíření a zvýšení nabídky nových informačních systémů, ICT řešení a vysoce sofistikovaných ICT nástrojů, cloudových řešení a služeb a nových softwarových produktů a služeb, moderních a pokrokových digitálních služeb a aplikací např. v </w:t>
      </w:r>
      <w:r w:rsidRPr="00DD47DF">
        <w:lastRenderedPageBreak/>
        <w:t>oblasti komunikace, zábavy, obchodování, vzdělávání, zdravotnictví nebo přístupu k zaměstnání</w:t>
      </w:r>
      <w:r w:rsidR="00333BB8" w:rsidRPr="00DD47DF">
        <w:t>, a tím naplnění potenciálu, kterým ČR v tomto sektoru disponuje</w:t>
      </w:r>
      <w:r w:rsidRPr="00DD47DF">
        <w:t>.</w:t>
      </w:r>
      <w:r w:rsidR="0025663C" w:rsidRPr="00DD47DF">
        <w:t xml:space="preserve"> Očekávanou změnou je zvýšení nabídky ICT řešení, sdílených služeb a služeb datových center</w:t>
      </w:r>
      <w:r w:rsidR="00002278" w:rsidRPr="00DD47DF">
        <w:t xml:space="preserve">. Podpora </w:t>
      </w:r>
      <w:r w:rsidR="00936B63" w:rsidRPr="00DD47DF">
        <w:t xml:space="preserve">je </w:t>
      </w:r>
      <w:r w:rsidR="00002278" w:rsidRPr="00DD47DF">
        <w:t xml:space="preserve">tedy </w:t>
      </w:r>
      <w:r w:rsidR="00936B63" w:rsidRPr="00DD47DF">
        <w:t>orientována</w:t>
      </w:r>
      <w:r w:rsidR="00002278" w:rsidRPr="00DD47DF">
        <w:t xml:space="preserve"> na nabídkovou stranu</w:t>
      </w:r>
      <w:r w:rsidR="00936B63" w:rsidRPr="00DD47DF">
        <w:t xml:space="preserve"> tzn. na ICT firmy, které vytvářejí vlastní ICT řešení. Smyslem tohoto </w:t>
      </w:r>
      <w:r w:rsidR="0023153A" w:rsidRPr="00DD47DF">
        <w:t>specifického cíle</w:t>
      </w:r>
      <w:r w:rsidR="00936B63" w:rsidRPr="00DD47DF">
        <w:t xml:space="preserve"> není prosté vybavení podniků hardwarem či softwarem.</w:t>
      </w:r>
      <w:r w:rsidR="00002278" w:rsidRPr="00DD47DF">
        <w:t xml:space="preserve"> Zákazníci, tj. podnikatelské subjekty a obyvatelé využívající IT, budou tato řešení a služby poptávat, což v konečném důsledku povede ke snížení jejich nákladů a zvýšení konkurenceschopnosti.</w:t>
      </w:r>
    </w:p>
    <w:p w14:paraId="0B370F2A" w14:textId="77777777" w:rsidR="00396141" w:rsidRPr="00DD47DF" w:rsidRDefault="00396141" w:rsidP="00FB3387">
      <w:pPr>
        <w:pStyle w:val="Standardntext"/>
        <w:numPr>
          <w:ilvl w:val="0"/>
          <w:numId w:val="37"/>
        </w:numPr>
      </w:pPr>
      <w:r w:rsidRPr="00DD47DF">
        <w:t xml:space="preserve">Lepší uplatnění produktů českých IT </w:t>
      </w:r>
      <w:r w:rsidR="00594BD9" w:rsidRPr="00DD47DF">
        <w:t>podniků</w:t>
      </w:r>
      <w:r w:rsidRPr="00DD47DF">
        <w:t xml:space="preserve"> na globálním trhu. Specifický cíl pomůže českým </w:t>
      </w:r>
      <w:r w:rsidR="00594BD9" w:rsidRPr="00DD47DF">
        <w:t>podnikům</w:t>
      </w:r>
      <w:r w:rsidRPr="00DD47DF">
        <w:t xml:space="preserve"> dostat se do povědomí zahraničních zákazníků jako dodavatelé kvalitních ICT řešení</w:t>
      </w:r>
      <w:r w:rsidR="003F2CA2" w:rsidRPr="00DD47DF">
        <w:t xml:space="preserve"> například v oblastech vývoje aplikací pro mobilní zařízení, bezpečnosti dat, sociálních sítí a dalších</w:t>
      </w:r>
      <w:r w:rsidRPr="00DD47DF">
        <w:t>.</w:t>
      </w:r>
    </w:p>
    <w:p w14:paraId="5A4D8297" w14:textId="77777777" w:rsidR="00396141" w:rsidRPr="00DD47DF" w:rsidRDefault="001F7140" w:rsidP="00FB3387">
      <w:pPr>
        <w:pStyle w:val="Standardntext"/>
        <w:numPr>
          <w:ilvl w:val="0"/>
          <w:numId w:val="37"/>
        </w:numPr>
      </w:pPr>
      <w:r w:rsidRPr="00DD47DF">
        <w:t>Vývojem nových ICT řešení dojde sekundárně k r</w:t>
      </w:r>
      <w:r w:rsidR="00396141" w:rsidRPr="00DD47DF">
        <w:t>ozvoj</w:t>
      </w:r>
      <w:r w:rsidRPr="00DD47DF">
        <w:t>i</w:t>
      </w:r>
      <w:r w:rsidR="00396141" w:rsidRPr="00DD47DF">
        <w:t xml:space="preserve"> znalostí a dovedností IT odborníků</w:t>
      </w:r>
      <w:r w:rsidRPr="00DD47DF">
        <w:t>, kteří tak budou schopni pružně reagovat na velmi dynamicky se vyvíjející trendy v tomto odvětví</w:t>
      </w:r>
      <w:r w:rsidR="00396141" w:rsidRPr="00DD47DF">
        <w:t>.</w:t>
      </w:r>
      <w:r w:rsidR="00F719E9" w:rsidRPr="00DD47DF">
        <w:t xml:space="preserve"> Obecně potom </w:t>
      </w:r>
      <w:r w:rsidRPr="00DD47DF">
        <w:t xml:space="preserve">dojde k </w:t>
      </w:r>
      <w:r w:rsidR="00396DB9" w:rsidRPr="00DD47DF">
        <w:t>rozvoj</w:t>
      </w:r>
      <w:r w:rsidRPr="00DD47DF">
        <w:t>i</w:t>
      </w:r>
      <w:r w:rsidR="00396DB9" w:rsidRPr="00DD47DF">
        <w:t xml:space="preserve"> lidských zdrojů, zejména </w:t>
      </w:r>
      <w:r w:rsidRPr="00DD47DF">
        <w:t>s ohledem na jejich mobilitu, což přispěje ke</w:t>
      </w:r>
      <w:r w:rsidR="00F719E9" w:rsidRPr="00DD47DF">
        <w:t xml:space="preserve"> tvorb</w:t>
      </w:r>
      <w:r w:rsidRPr="00DD47DF">
        <w:t>ě</w:t>
      </w:r>
      <w:r w:rsidR="00F719E9" w:rsidRPr="00DD47DF">
        <w:t xml:space="preserve"> vysoce kvalifikovaných pracovních míst v sektoru služeb.</w:t>
      </w:r>
    </w:p>
    <w:p w14:paraId="6A97CDDE" w14:textId="77777777" w:rsidR="00F719E9" w:rsidRPr="00DD47DF" w:rsidRDefault="00F95834" w:rsidP="00FB3387">
      <w:pPr>
        <w:pStyle w:val="Standardntext"/>
        <w:numPr>
          <w:ilvl w:val="0"/>
          <w:numId w:val="37"/>
        </w:numPr>
      </w:pPr>
      <w:r w:rsidRPr="00DD47DF">
        <w:t>Prostřednictvím sdílených služeb přispět</w:t>
      </w:r>
      <w:r w:rsidR="00F719E9" w:rsidRPr="00DD47DF">
        <w:t xml:space="preserve"> ke snižování </w:t>
      </w:r>
      <w:r w:rsidR="00396DB9" w:rsidRPr="00DD47DF">
        <w:t xml:space="preserve">investičních nákladů a </w:t>
      </w:r>
      <w:r w:rsidR="00F719E9" w:rsidRPr="00DD47DF">
        <w:t>nákladovosti procesů a zvyšování efektivity činností v podnicích, a tím ke zvyšování jejich konkurenceschopnosti.</w:t>
      </w:r>
      <w:r w:rsidR="00396DB9" w:rsidRPr="00DD47DF">
        <w:t xml:space="preserve"> Dojde k úsporám z rozsahu, kdy sdílené služby mohou být nabízeny a poskytovány více uživatelům současně.</w:t>
      </w:r>
    </w:p>
    <w:p w14:paraId="5CC1B6E2" w14:textId="77777777" w:rsidR="00396141" w:rsidRPr="00DD47DF" w:rsidRDefault="00396141" w:rsidP="00FB3387">
      <w:pPr>
        <w:pStyle w:val="Standardntext"/>
        <w:numPr>
          <w:ilvl w:val="0"/>
          <w:numId w:val="37"/>
        </w:numPr>
      </w:pPr>
      <w:r w:rsidRPr="00DD47DF">
        <w:t xml:space="preserve">V oblasti sdílených služeb specifický cíl </w:t>
      </w:r>
      <w:r w:rsidR="00F719E9" w:rsidRPr="00DD47DF">
        <w:t xml:space="preserve">rovněž </w:t>
      </w:r>
      <w:r w:rsidRPr="00DD47DF">
        <w:t>přispěje k potvrzení pozice Č</w:t>
      </w:r>
      <w:r w:rsidR="0023153A" w:rsidRPr="00DD47DF">
        <w:t>R</w:t>
      </w:r>
      <w:r w:rsidRPr="00DD47DF">
        <w:t xml:space="preserve"> jako ideální lokace pro umístění velkých center sdílených služeb a budování datových center.</w:t>
      </w:r>
    </w:p>
    <w:p w14:paraId="0E91D1E6" w14:textId="77777777" w:rsidR="00116A3E" w:rsidRPr="00DD47DF" w:rsidRDefault="00116A3E" w:rsidP="00FB3387">
      <w:pPr>
        <w:pStyle w:val="Standardntext"/>
        <w:numPr>
          <w:ilvl w:val="0"/>
          <w:numId w:val="37"/>
        </w:numPr>
      </w:pPr>
      <w:r w:rsidRPr="00DD47DF">
        <w:t>Rozvoj informační a znalostní společnosti.</w:t>
      </w:r>
    </w:p>
    <w:p w14:paraId="0B2E1736" w14:textId="77777777" w:rsidR="002E1C78" w:rsidRPr="00DD47DF" w:rsidRDefault="002E1C78" w:rsidP="00B22DB8">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257"/>
        <w:gridCol w:w="993"/>
        <w:gridCol w:w="1194"/>
        <w:gridCol w:w="1053"/>
        <w:gridCol w:w="952"/>
        <w:gridCol w:w="1156"/>
        <w:gridCol w:w="790"/>
        <w:gridCol w:w="1267"/>
      </w:tblGrid>
      <w:tr w:rsidR="00CF739D" w:rsidRPr="00DD47DF" w14:paraId="1343856A" w14:textId="77777777">
        <w:trPr>
          <w:trHeight w:hRule="exact" w:val="148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23D1E01" w14:textId="77777777" w:rsidR="00CF739D" w:rsidRPr="00DD47DF" w:rsidRDefault="00CF739D" w:rsidP="00B22DB8">
            <w:pPr>
              <w:pStyle w:val="Tabulka"/>
              <w:keepNext/>
              <w:keepLines/>
              <w:rPr>
                <w:rFonts w:cs="Calibri"/>
                <w:b/>
                <w:bCs/>
              </w:rPr>
            </w:pPr>
            <w:r w:rsidRPr="00DD47DF">
              <w:rPr>
                <w:rFonts w:cs="Calibri"/>
                <w:b/>
                <w:bCs/>
              </w:rPr>
              <w:t>ID</w:t>
            </w:r>
          </w:p>
        </w:tc>
        <w:tc>
          <w:tcPr>
            <w:tcW w:w="125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DB4C65B" w14:textId="77777777" w:rsidR="00CF739D" w:rsidRPr="00DD47DF" w:rsidRDefault="00CF739D" w:rsidP="00B22DB8">
            <w:pPr>
              <w:pStyle w:val="Tabulka"/>
              <w:keepNext/>
              <w:keepLines/>
              <w:rPr>
                <w:rFonts w:cs="Calibri"/>
                <w:b/>
                <w:bCs/>
              </w:rPr>
            </w:pPr>
            <w:r w:rsidRPr="00DD47DF">
              <w:rPr>
                <w:rFonts w:cs="Calibri"/>
                <w:b/>
                <w:bCs/>
              </w:rPr>
              <w:t>Ukazatel</w:t>
            </w:r>
          </w:p>
        </w:tc>
        <w:tc>
          <w:tcPr>
            <w:tcW w:w="99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B2A8188" w14:textId="77777777" w:rsidR="00CF739D" w:rsidRPr="00DD47DF" w:rsidRDefault="00CF739D" w:rsidP="00B22DB8">
            <w:pPr>
              <w:pStyle w:val="Tabulka"/>
              <w:keepNext/>
              <w:keepLines/>
              <w:rPr>
                <w:rFonts w:cs="Calibri"/>
                <w:b/>
                <w:bCs/>
              </w:rPr>
            </w:pPr>
            <w:r w:rsidRPr="00DD47DF">
              <w:rPr>
                <w:rFonts w:cs="Calibri"/>
                <w:b/>
                <w:bCs/>
              </w:rPr>
              <w:t>Měrná</w:t>
            </w:r>
          </w:p>
          <w:p w14:paraId="48B7FB2C" w14:textId="77777777" w:rsidR="00CF739D" w:rsidRPr="00DD47DF" w:rsidRDefault="00CF739D" w:rsidP="00B22DB8">
            <w:pPr>
              <w:pStyle w:val="Tabulka"/>
              <w:keepNext/>
              <w:keepLines/>
              <w:rPr>
                <w:rFonts w:cs="Calibri"/>
                <w:b/>
                <w:bCs/>
              </w:rPr>
            </w:pPr>
            <w:r w:rsidRPr="00DD47DF">
              <w:rPr>
                <w:rFonts w:cs="Calibri"/>
                <w:b/>
                <w:bCs/>
              </w:rPr>
              <w:t>jednotka</w:t>
            </w:r>
          </w:p>
        </w:tc>
        <w:tc>
          <w:tcPr>
            <w:tcW w:w="119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52BACBC" w14:textId="77777777" w:rsidR="00CF739D" w:rsidRPr="00DD47DF" w:rsidRDefault="00CF739D" w:rsidP="00B22DB8">
            <w:pPr>
              <w:pStyle w:val="Tabulka"/>
              <w:keepNext/>
              <w:keepLines/>
              <w:rPr>
                <w:rFonts w:cs="Calibri"/>
                <w:b/>
                <w:bCs/>
              </w:rPr>
            </w:pPr>
            <w:r w:rsidRPr="00DD47DF">
              <w:rPr>
                <w:rFonts w:cs="Calibri"/>
                <w:b/>
                <w:bCs/>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78E9BC4" w14:textId="77777777" w:rsidR="00CF739D" w:rsidRPr="00DD47DF" w:rsidRDefault="004B0854" w:rsidP="00B22DB8">
            <w:pPr>
              <w:pStyle w:val="Tabulka"/>
              <w:keepNext/>
              <w:keepLines/>
              <w:rPr>
                <w:rFonts w:cs="Calibri"/>
                <w:b/>
                <w:bCs/>
              </w:rPr>
            </w:pPr>
            <w:r w:rsidRPr="00DD47DF">
              <w:rPr>
                <w:rFonts w:cs="Calibri"/>
                <w:b/>
                <w:bCs/>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4FA5E29" w14:textId="77777777" w:rsidR="00CF739D" w:rsidRPr="00DD47DF" w:rsidRDefault="004B0854" w:rsidP="004B0854">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3FB07F7" w14:textId="77777777" w:rsidR="00CF739D" w:rsidRPr="00DD47DF" w:rsidRDefault="00CF739D" w:rsidP="00B22DB8">
            <w:pPr>
              <w:pStyle w:val="Tabulka"/>
              <w:keepNext/>
              <w:keepLines/>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06D43A2" w14:textId="77777777" w:rsidR="00CF739D" w:rsidRPr="00DD47DF" w:rsidRDefault="00CF739D" w:rsidP="00B22DB8">
            <w:pPr>
              <w:pStyle w:val="Tabulka"/>
              <w:keepNext/>
              <w:keepLines/>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AC85A79" w14:textId="77777777" w:rsidR="00CF739D" w:rsidRPr="00DD47DF" w:rsidRDefault="00CF739D" w:rsidP="00B22DB8">
            <w:pPr>
              <w:pStyle w:val="Tabulka"/>
              <w:keepNext/>
              <w:keepLines/>
              <w:rPr>
                <w:rFonts w:cs="Calibri"/>
                <w:b/>
                <w:bCs/>
              </w:rPr>
            </w:pPr>
            <w:r w:rsidRPr="00DD47DF">
              <w:rPr>
                <w:rFonts w:cs="Calibri"/>
                <w:b/>
                <w:bCs/>
              </w:rPr>
              <w:t>Četnost podávání zpráv</w:t>
            </w:r>
          </w:p>
        </w:tc>
      </w:tr>
      <w:tr w:rsidR="002E1C78" w:rsidRPr="00DD47DF" w14:paraId="7D61D145" w14:textId="77777777" w:rsidTr="00A556B6">
        <w:trPr>
          <w:trHeight w:hRule="exact" w:val="1400"/>
        </w:trPr>
        <w:tc>
          <w:tcPr>
            <w:tcW w:w="0" w:type="auto"/>
            <w:tcBorders>
              <w:top w:val="single" w:sz="4" w:space="0" w:color="000000"/>
              <w:left w:val="single" w:sz="4" w:space="0" w:color="000000"/>
              <w:bottom w:val="single" w:sz="4" w:space="0" w:color="000000"/>
              <w:right w:val="single" w:sz="4" w:space="0" w:color="000000"/>
            </w:tcBorders>
            <w:vAlign w:val="center"/>
          </w:tcPr>
          <w:p w14:paraId="2061E27D" w14:textId="77777777" w:rsidR="002E1C78" w:rsidRPr="00DD47DF" w:rsidRDefault="00FA2A8A" w:rsidP="006F258E">
            <w:pPr>
              <w:pStyle w:val="Tabulka"/>
              <w:keepLines/>
              <w:rPr>
                <w:rFonts w:cs="Calibri"/>
              </w:rPr>
            </w:pPr>
            <w:r w:rsidRPr="00DD47DF">
              <w:rPr>
                <w:rFonts w:cs="Calibri"/>
              </w:rPr>
              <w:t>30002</w:t>
            </w:r>
          </w:p>
        </w:tc>
        <w:tc>
          <w:tcPr>
            <w:tcW w:w="1257" w:type="dxa"/>
            <w:tcBorders>
              <w:top w:val="single" w:sz="4" w:space="0" w:color="000000"/>
              <w:left w:val="single" w:sz="4" w:space="0" w:color="000000"/>
              <w:bottom w:val="single" w:sz="4" w:space="0" w:color="000000"/>
              <w:right w:val="single" w:sz="4" w:space="0" w:color="000000"/>
            </w:tcBorders>
            <w:vAlign w:val="center"/>
          </w:tcPr>
          <w:p w14:paraId="663AAAFA" w14:textId="77777777" w:rsidR="002E1C78" w:rsidRPr="00DD47DF" w:rsidRDefault="001B36DC" w:rsidP="006F258E">
            <w:pPr>
              <w:pStyle w:val="Tabulka"/>
              <w:keepLines/>
              <w:jc w:val="left"/>
              <w:rPr>
                <w:rFonts w:cs="Calibri"/>
              </w:rPr>
            </w:pPr>
            <w:r w:rsidRPr="00DD47DF">
              <w:rPr>
                <w:rFonts w:cs="Calibri"/>
              </w:rPr>
              <w:t>Přidaná hodnota IT služeb jako podíl na HDP</w:t>
            </w:r>
          </w:p>
        </w:tc>
        <w:tc>
          <w:tcPr>
            <w:tcW w:w="993" w:type="dxa"/>
            <w:tcBorders>
              <w:top w:val="single" w:sz="4" w:space="0" w:color="000000"/>
              <w:left w:val="single" w:sz="4" w:space="0" w:color="000000"/>
              <w:bottom w:val="single" w:sz="4" w:space="0" w:color="000000"/>
              <w:right w:val="single" w:sz="4" w:space="0" w:color="000000"/>
            </w:tcBorders>
            <w:vAlign w:val="center"/>
          </w:tcPr>
          <w:p w14:paraId="73BE234A" w14:textId="77777777" w:rsidR="002E1C78" w:rsidRPr="00DD47DF" w:rsidRDefault="001B36DC" w:rsidP="006F258E">
            <w:pPr>
              <w:pStyle w:val="Tabulka"/>
              <w:keepLines/>
              <w:rPr>
                <w:rFonts w:cs="Calibri"/>
                <w:vertAlign w:val="superscript"/>
              </w:rPr>
            </w:pPr>
            <w:r w:rsidRPr="00DD47DF">
              <w:rPr>
                <w:rFonts w:cs="Calibri"/>
                <w:vertAlign w:val="superscript"/>
              </w:rPr>
              <w:t>%</w:t>
            </w:r>
          </w:p>
        </w:tc>
        <w:tc>
          <w:tcPr>
            <w:tcW w:w="1194" w:type="dxa"/>
            <w:tcBorders>
              <w:top w:val="single" w:sz="4" w:space="0" w:color="000000"/>
              <w:left w:val="single" w:sz="4" w:space="0" w:color="000000"/>
              <w:bottom w:val="single" w:sz="4" w:space="0" w:color="000000"/>
              <w:right w:val="single" w:sz="4" w:space="0" w:color="000000"/>
            </w:tcBorders>
            <w:vAlign w:val="center"/>
          </w:tcPr>
          <w:p w14:paraId="605CD25B" w14:textId="77777777" w:rsidR="002E1C78" w:rsidRPr="00DD47DF" w:rsidRDefault="002B3F69" w:rsidP="006F258E">
            <w:pPr>
              <w:pStyle w:val="Tabulka"/>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63FECC4A" w14:textId="77777777" w:rsidR="002E1C78" w:rsidRPr="00DD47DF" w:rsidRDefault="001B36DC" w:rsidP="006F258E">
            <w:pPr>
              <w:pStyle w:val="Tabulka"/>
              <w:keepLines/>
              <w:rPr>
                <w:rFonts w:cs="Calibri"/>
              </w:rPr>
            </w:pPr>
            <w:r w:rsidRPr="00DD47DF">
              <w:rPr>
                <w:rFonts w:cs="Calibri"/>
              </w:rPr>
              <w:t>2,09</w:t>
            </w:r>
          </w:p>
        </w:tc>
        <w:tc>
          <w:tcPr>
            <w:tcW w:w="0" w:type="auto"/>
            <w:tcBorders>
              <w:top w:val="single" w:sz="4" w:space="0" w:color="000000"/>
              <w:left w:val="single" w:sz="4" w:space="0" w:color="000000"/>
              <w:bottom w:val="single" w:sz="4" w:space="0" w:color="000000"/>
              <w:right w:val="single" w:sz="4" w:space="0" w:color="000000"/>
            </w:tcBorders>
            <w:vAlign w:val="center"/>
          </w:tcPr>
          <w:p w14:paraId="40F02DEA" w14:textId="77777777" w:rsidR="002E1C78" w:rsidRPr="00DD47DF" w:rsidRDefault="001B36DC" w:rsidP="006F258E">
            <w:pPr>
              <w:pStyle w:val="Tabulka"/>
              <w:keepLines/>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591E4D96" w14:textId="77777777" w:rsidR="002E1C78" w:rsidRPr="00DD47DF" w:rsidRDefault="004E3102" w:rsidP="006F258E">
            <w:pPr>
              <w:pStyle w:val="Tabulka"/>
              <w:keepLines/>
              <w:rPr>
                <w:rFonts w:cs="Calibri"/>
              </w:rPr>
            </w:pPr>
            <w:r w:rsidRPr="00DD47DF">
              <w:rPr>
                <w:rFonts w:cs="Calibri"/>
              </w:rPr>
              <w:t>2,3 – 2,5</w:t>
            </w:r>
            <w:r w:rsidR="00247F68" w:rsidRPr="00DD47DF">
              <w:rPr>
                <w:rStyle w:val="Znakapoznpodarou"/>
                <w:rFonts w:cs="Calibri"/>
              </w:rPr>
              <w:footnoteReference w:id="74"/>
            </w:r>
          </w:p>
        </w:tc>
        <w:tc>
          <w:tcPr>
            <w:tcW w:w="0" w:type="auto"/>
            <w:tcBorders>
              <w:top w:val="single" w:sz="4" w:space="0" w:color="000000"/>
              <w:left w:val="single" w:sz="4" w:space="0" w:color="000000"/>
              <w:bottom w:val="single" w:sz="4" w:space="0" w:color="000000"/>
              <w:right w:val="single" w:sz="4" w:space="0" w:color="000000"/>
            </w:tcBorders>
            <w:vAlign w:val="center"/>
          </w:tcPr>
          <w:p w14:paraId="7A935CB0" w14:textId="77777777" w:rsidR="002E1C78" w:rsidRPr="00DD47DF" w:rsidRDefault="001B36DC" w:rsidP="002B3F69">
            <w:pPr>
              <w:pStyle w:val="Tabulka"/>
              <w:keepLines/>
              <w:rPr>
                <w:rFonts w:cs="Calibri"/>
              </w:rPr>
            </w:pPr>
            <w:r w:rsidRPr="00DD47DF">
              <w:rPr>
                <w:rFonts w:cs="Calibri"/>
              </w:rPr>
              <w:t>ČSÚ</w:t>
            </w:r>
          </w:p>
        </w:tc>
        <w:tc>
          <w:tcPr>
            <w:tcW w:w="0" w:type="auto"/>
            <w:tcBorders>
              <w:top w:val="single" w:sz="4" w:space="0" w:color="000000"/>
              <w:left w:val="single" w:sz="4" w:space="0" w:color="000000"/>
              <w:bottom w:val="single" w:sz="4" w:space="0" w:color="000000"/>
              <w:right w:val="single" w:sz="4" w:space="0" w:color="000000"/>
            </w:tcBorders>
            <w:vAlign w:val="center"/>
          </w:tcPr>
          <w:p w14:paraId="0257CD0B" w14:textId="77777777" w:rsidR="002E1C78" w:rsidRPr="00DD47DF" w:rsidRDefault="001B36DC" w:rsidP="006F258E">
            <w:pPr>
              <w:pStyle w:val="Tabulka"/>
              <w:keepLines/>
              <w:rPr>
                <w:rFonts w:cs="Calibri"/>
              </w:rPr>
            </w:pPr>
            <w:r w:rsidRPr="00DD47DF">
              <w:rPr>
                <w:rFonts w:cs="Calibri"/>
              </w:rPr>
              <w:t>ročně</w:t>
            </w:r>
          </w:p>
        </w:tc>
      </w:tr>
    </w:tbl>
    <w:p w14:paraId="2CA63FB4" w14:textId="77777777" w:rsidR="002E1C78" w:rsidRPr="00DD47DF" w:rsidRDefault="001B2E5C" w:rsidP="00DA3512">
      <w:pPr>
        <w:pStyle w:val="kapitola2A0"/>
        <w:numPr>
          <w:ilvl w:val="2"/>
          <w:numId w:val="69"/>
        </w:numPr>
      </w:pPr>
      <w:bookmarkStart w:id="98" w:name="_Toc506885040"/>
      <w:r w:rsidRPr="00DD47DF">
        <w:lastRenderedPageBreak/>
        <w:t>Opatření, jež má být podpořeno v rámci investiční priority</w:t>
      </w:r>
      <w:bookmarkEnd w:id="98"/>
    </w:p>
    <w:p w14:paraId="00E69BB6" w14:textId="77777777" w:rsidR="002E1C78" w:rsidRPr="00DD47DF" w:rsidRDefault="00D479AF" w:rsidP="005F43DF">
      <w:pPr>
        <w:pStyle w:val="Nadpis5"/>
        <w:numPr>
          <w:ilvl w:val="4"/>
          <w:numId w:val="27"/>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29F034E3" w14:textId="77777777" w:rsidR="002E1C78" w:rsidRPr="00DD47DF" w:rsidRDefault="000A2EB4" w:rsidP="00DF4F92">
      <w:pPr>
        <w:pStyle w:val="Standardntext"/>
        <w:rPr>
          <w:b/>
        </w:rPr>
      </w:pPr>
      <w:r w:rsidRPr="00DD47DF">
        <w:rPr>
          <w:b/>
        </w:rPr>
        <w:t>Aktivity pro tento specifický cíl:</w:t>
      </w:r>
    </w:p>
    <w:p w14:paraId="7F29C2E7" w14:textId="77777777" w:rsidR="002E1C78" w:rsidRPr="00DD47DF" w:rsidRDefault="001E5FB8" w:rsidP="00FB3387">
      <w:pPr>
        <w:pStyle w:val="Standardntext"/>
        <w:numPr>
          <w:ilvl w:val="0"/>
          <w:numId w:val="42"/>
        </w:numPr>
      </w:pPr>
      <w:r w:rsidRPr="00DD47DF">
        <w:t>T</w:t>
      </w:r>
      <w:r w:rsidR="002E1C78" w:rsidRPr="00DD47DF">
        <w:t>vorba nových</w:t>
      </w:r>
      <w:r w:rsidR="005644D4" w:rsidRPr="00DD47DF">
        <w:t xml:space="preserve"> sofistikovaných</w:t>
      </w:r>
      <w:r w:rsidR="002E1C78" w:rsidRPr="00DD47DF">
        <w:t xml:space="preserve"> ICT řešení</w:t>
      </w:r>
      <w:r w:rsidR="0048615E" w:rsidRPr="00DD47DF">
        <w:t xml:space="preserve"> </w:t>
      </w:r>
      <w:r w:rsidR="0048615E" w:rsidRPr="00DD47DF">
        <w:rPr>
          <w:lang w:eastAsia="en-US"/>
        </w:rPr>
        <w:t>(zejména ERP systémy, CRM systémy, platební a karetní systémy, bezpečnost dat, personální systémy, B2B systémy, B2C systémy, IS pro neziskový a státní sektor, power management, procesně orientované webové aplikace, řešení pro mobilní zařízení, Business Intelligence řešení, softwarové simulace, cloud computing)</w:t>
      </w:r>
      <w:r w:rsidR="002E1C78" w:rsidRPr="00DD47DF">
        <w:t>,</w:t>
      </w:r>
      <w:r w:rsidR="0092409F" w:rsidRPr="00DD47DF">
        <w:t xml:space="preserve"> tzn. tvorba moderních a pokrokových digitálních služeb a aplikací např. v oblasti komunikace, zábavy, obchodování, vzdělávání, </w:t>
      </w:r>
      <w:r w:rsidR="0023153A" w:rsidRPr="00DD47DF">
        <w:t>zdravotnictví, přístupu k zaměstnání nebo i v oblasti kulturních a kreativních průmyslů</w:t>
      </w:r>
      <w:r w:rsidR="0092409F" w:rsidRPr="00DD47DF">
        <w:t>,</w:t>
      </w:r>
    </w:p>
    <w:p w14:paraId="0027067B" w14:textId="59B87EC6" w:rsidR="002E1C78" w:rsidRDefault="002E1C78" w:rsidP="00FB3387">
      <w:pPr>
        <w:pStyle w:val="Standardntext"/>
        <w:numPr>
          <w:ilvl w:val="0"/>
          <w:numId w:val="42"/>
        </w:numPr>
      </w:pPr>
      <w:r w:rsidRPr="00DD47DF">
        <w:t>poskytování sofistikovaných sdíle</w:t>
      </w:r>
      <w:r w:rsidR="00320CEA" w:rsidRPr="00DD47DF">
        <w:t>ných služeb</w:t>
      </w:r>
      <w:r w:rsidR="003F2CA2" w:rsidRPr="00DD47DF">
        <w:t xml:space="preserve"> (služeb s vysokou přidanou hodnotou)</w:t>
      </w:r>
      <w:r w:rsidR="00320CEA" w:rsidRPr="00DD47DF">
        <w:t xml:space="preserve">, včetně </w:t>
      </w:r>
      <w:r w:rsidRPr="00DD47DF">
        <w:t>budování a modernizace Datových center splňujících kritéria energetické účinnosti</w:t>
      </w:r>
      <w:r w:rsidR="00983FA3">
        <w:t>,</w:t>
      </w:r>
    </w:p>
    <w:p w14:paraId="2ECC0212" w14:textId="417B3BBC" w:rsidR="00983FA3" w:rsidRPr="00DD47DF" w:rsidRDefault="00983FA3" w:rsidP="00FB3387">
      <w:pPr>
        <w:pStyle w:val="Standardntext"/>
        <w:numPr>
          <w:ilvl w:val="0"/>
          <w:numId w:val="42"/>
        </w:numPr>
      </w:pPr>
      <w:r w:rsidRPr="00700E39">
        <w:t>Pořízení ICT produktů a služeb (např. investice do SW, HW a ostatních strojů a zařízení s ICT přímo souvisejících, anebo využívání ICT řešení poskytovaných formou služeb včetně služeb expertního poradenství pro návrh, implementaci a řízení ICT v organizaci včetně provázaných procesů)</w:t>
      </w:r>
      <w:r>
        <w:t>.</w:t>
      </w:r>
    </w:p>
    <w:p w14:paraId="74303D6D" w14:textId="77777777" w:rsidR="001648B3" w:rsidRPr="00DD47DF" w:rsidRDefault="001648B3" w:rsidP="00FA0BCA">
      <w:pPr>
        <w:pStyle w:val="Standardntext"/>
        <w:rPr>
          <w:bCs/>
        </w:rPr>
      </w:pPr>
      <w:r w:rsidRPr="00DD47DF">
        <w:rPr>
          <w:bCs/>
        </w:rPr>
        <w:t xml:space="preserve">Podporou těchto aktivit bude zachována kontinuita s programem podpory </w:t>
      </w:r>
      <w:r w:rsidR="00084401" w:rsidRPr="00DD47DF">
        <w:rPr>
          <w:bCs/>
        </w:rPr>
        <w:t xml:space="preserve">OPPI </w:t>
      </w:r>
      <w:r w:rsidRPr="00DD47DF">
        <w:rPr>
          <w:bCs/>
          <w:i/>
        </w:rPr>
        <w:t>ICT a strategické služby</w:t>
      </w:r>
      <w:r w:rsidRPr="00DD47DF">
        <w:rPr>
          <w:bCs/>
        </w:rPr>
        <w:t xml:space="preserve"> realizovaném v programovacím období 2007</w:t>
      </w:r>
      <w:r w:rsidR="00EF4894" w:rsidRPr="00DD47DF">
        <w:rPr>
          <w:bCs/>
        </w:rPr>
        <w:t xml:space="preserve"> </w:t>
      </w:r>
      <w:r w:rsidRPr="00DD47DF">
        <w:rPr>
          <w:bCs/>
        </w:rPr>
        <w:t>-</w:t>
      </w:r>
      <w:r w:rsidR="00EF4894" w:rsidRPr="00DD47DF">
        <w:rPr>
          <w:bCs/>
        </w:rPr>
        <w:t xml:space="preserve"> 20</w:t>
      </w:r>
      <w:r w:rsidRPr="00DD47DF">
        <w:rPr>
          <w:bCs/>
        </w:rPr>
        <w:t xml:space="preserve">13, ve kterém byla podporována jak tvorba ICT řešení, tak centra sdílených služeb. Byly realizovány projekty, které přinesly unikátní řešení a vytvořily velký počet vysoce kvalifikovaných pracovních míst. </w:t>
      </w:r>
      <w:r w:rsidR="00BA3276" w:rsidRPr="00DD47DF">
        <w:rPr>
          <w:bCs/>
        </w:rPr>
        <w:t>V návaznosti na zkušenosti z realizace OPPI</w:t>
      </w:r>
      <w:r w:rsidR="00084401" w:rsidRPr="00DD47DF">
        <w:rPr>
          <w:bCs/>
        </w:rPr>
        <w:t xml:space="preserve"> </w:t>
      </w:r>
      <w:r w:rsidRPr="00DD47DF">
        <w:rPr>
          <w:bCs/>
        </w:rPr>
        <w:t xml:space="preserve">bude právě tento specifický cíl </w:t>
      </w:r>
      <w:r w:rsidR="00084401" w:rsidRPr="00DD47DF">
        <w:rPr>
          <w:bCs/>
        </w:rPr>
        <w:t xml:space="preserve">OP PIK </w:t>
      </w:r>
      <w:r w:rsidRPr="00DD47DF">
        <w:rPr>
          <w:bCs/>
        </w:rPr>
        <w:t xml:space="preserve">zaměřen </w:t>
      </w:r>
      <w:r w:rsidR="00084401" w:rsidRPr="00DD47DF">
        <w:rPr>
          <w:bCs/>
        </w:rPr>
        <w:t xml:space="preserve">na </w:t>
      </w:r>
      <w:r w:rsidRPr="00DD47DF">
        <w:rPr>
          <w:bCs/>
        </w:rPr>
        <w:t xml:space="preserve">tvorbu ICT řešení a </w:t>
      </w:r>
      <w:r w:rsidR="003F2CA2" w:rsidRPr="00DD47DF">
        <w:rPr>
          <w:bCs/>
        </w:rPr>
        <w:t xml:space="preserve">center </w:t>
      </w:r>
      <w:r w:rsidRPr="00DD47DF">
        <w:rPr>
          <w:bCs/>
        </w:rPr>
        <w:t>sdílených služeb s velkým důrazem na současné trendy, mezi které patří mimo jiné cloudová řešení, prostřednictvím kterých bude rovněž stimulována poptávka po cloudových službách, jejichž využívání v</w:t>
      </w:r>
      <w:r w:rsidR="00BA4E72" w:rsidRPr="00DD47DF">
        <w:rPr>
          <w:bCs/>
        </w:rPr>
        <w:t xml:space="preserve"> </w:t>
      </w:r>
      <w:r w:rsidRPr="00DD47DF">
        <w:rPr>
          <w:bCs/>
        </w:rPr>
        <w:t>důsledku povede ke snižování nákladů konečných uživatelů.</w:t>
      </w:r>
    </w:p>
    <w:p w14:paraId="79B166E5" w14:textId="77777777" w:rsidR="009E6C87" w:rsidRPr="00DD47DF" w:rsidRDefault="00F975FD" w:rsidP="00FA0BCA">
      <w:pPr>
        <w:pStyle w:val="Standardntext"/>
      </w:pPr>
      <w:r w:rsidRPr="00DD47DF">
        <w:rPr>
          <w:bCs/>
        </w:rPr>
        <w:t>V případě tvorby</w:t>
      </w:r>
      <w:r w:rsidR="00504D07" w:rsidRPr="00DD47DF">
        <w:t xml:space="preserve"> nových sofistikovaných ICT ř</w:t>
      </w:r>
      <w:r w:rsidRPr="00DD47DF">
        <w:t>ešení jde</w:t>
      </w:r>
      <w:r w:rsidRPr="00DD47DF">
        <w:rPr>
          <w:szCs w:val="22"/>
        </w:rPr>
        <w:t xml:space="preserve"> o taková ICT řešení, která jsou svým zaměřením jedinečná a vyplňují mezeru na trhu, případně pokrývají určitou potřebu. Podporována budou taková řešení, která mají vysokou přidanou hodnotu. Například lze uvést typově zavádění </w:t>
      </w:r>
      <w:r w:rsidR="0076364D" w:rsidRPr="00DD47DF">
        <w:rPr>
          <w:szCs w:val="22"/>
        </w:rPr>
        <w:t xml:space="preserve">nových </w:t>
      </w:r>
      <w:r w:rsidRPr="00DD47DF">
        <w:rPr>
          <w:szCs w:val="22"/>
        </w:rPr>
        <w:t>ICT nástrojů</w:t>
      </w:r>
      <w:r w:rsidR="0076364D" w:rsidRPr="00DD47DF">
        <w:rPr>
          <w:szCs w:val="22"/>
        </w:rPr>
        <w:t xml:space="preserve"> či</w:t>
      </w:r>
      <w:r w:rsidRPr="00DD47DF">
        <w:rPr>
          <w:szCs w:val="22"/>
        </w:rPr>
        <w:t xml:space="preserve"> trendů zejména v návaznosti na sociální sítě, podpora bezpečnosti dat, vývoj pro mobilní zařízení, zavádění open standardů, podpora interoperability apod.</w:t>
      </w:r>
      <w:r w:rsidR="00411D73" w:rsidRPr="00DD47DF">
        <w:rPr>
          <w:szCs w:val="22"/>
        </w:rPr>
        <w:t xml:space="preserve"> </w:t>
      </w:r>
      <w:r w:rsidR="009E6C87" w:rsidRPr="00DD47DF">
        <w:rPr>
          <w:szCs w:val="22"/>
        </w:rPr>
        <w:t>Výstupe</w:t>
      </w:r>
      <w:r w:rsidR="009E6C87" w:rsidRPr="00DD47DF">
        <w:t>m projektu bude sofistikované ICT řešení definované v projektové žádosti, což přispěje k naplnění výsledku tohot</w:t>
      </w:r>
      <w:r w:rsidR="001F59E8" w:rsidRPr="00DD47DF">
        <w:t>o specifického cíle spočívající</w:t>
      </w:r>
      <w:r w:rsidR="009E6C87" w:rsidRPr="00DD47DF">
        <w:t xml:space="preserve">ho </w:t>
      </w:r>
      <w:r w:rsidR="005F74B6" w:rsidRPr="00DD47DF">
        <w:t>v</w:t>
      </w:r>
      <w:r w:rsidR="00FD3F3A" w:rsidRPr="00DD47DF">
        <w:t> růstu přidané hodnoty IT služeb</w:t>
      </w:r>
      <w:r w:rsidR="005F74B6" w:rsidRPr="00DD47DF">
        <w:t xml:space="preserve"> </w:t>
      </w:r>
      <w:r w:rsidR="00FD3F3A" w:rsidRPr="00DD47DF">
        <w:t xml:space="preserve">na HDP, což může dále ovlivňovat </w:t>
      </w:r>
      <w:r w:rsidR="009E6C87" w:rsidRPr="00DD47DF">
        <w:t>nabídk</w:t>
      </w:r>
      <w:r w:rsidR="00FD3F3A" w:rsidRPr="00DD47DF">
        <w:t>u</w:t>
      </w:r>
      <w:r w:rsidR="009E6C87" w:rsidRPr="00DD47DF">
        <w:t xml:space="preserve"> nových informačních systémů, ICT řešení a vysoce sofistikovaných ICT nástrojů, nových softwarových produktů a služeb.</w:t>
      </w:r>
      <w:r w:rsidR="00586901" w:rsidRPr="00DD47DF">
        <w:t xml:space="preserve"> V rámci tohoto specifického cíle budou podporovány i projekty na vývoj ICT řešení a softwaru pro zemědělské podniky </w:t>
      </w:r>
      <w:r w:rsidR="008A2746" w:rsidRPr="00DD47DF">
        <w:t xml:space="preserve">specializující se na výrobu položek obsažených </w:t>
      </w:r>
      <w:r w:rsidR="00DE2376" w:rsidRPr="00DD47DF">
        <w:t>(v</w:t>
      </w:r>
      <w:r w:rsidR="004038F0" w:rsidRPr="00DD47DF">
        <w:t xml:space="preserve"> dodatku Smlouvy (o EU)</w:t>
      </w:r>
      <w:r w:rsidR="00586901" w:rsidRPr="00DD47DF">
        <w:t>).</w:t>
      </w:r>
    </w:p>
    <w:p w14:paraId="25C567CA" w14:textId="77777777" w:rsidR="006F7785" w:rsidRPr="00DD47DF" w:rsidRDefault="00411D73" w:rsidP="00FA0BCA">
      <w:pPr>
        <w:pStyle w:val="Standardntext"/>
      </w:pPr>
      <w:r w:rsidRPr="00DD47DF">
        <w:t xml:space="preserve">Pokud jde o poskytování sofistikovaných sdílených služeb, jedná se o podporu center sdílených služeb poskytujících služby v oblasti IT, účetnictví, financí atp. Tyto činnosti centra sdílených služeb přebírají buď od mateřské společnosti, nebo od zákazníků. Za sdílenou službu je považováno i poskytování služeb datového centra. </w:t>
      </w:r>
      <w:r w:rsidR="009E6C87" w:rsidRPr="00DD47DF">
        <w:rPr>
          <w:bCs/>
        </w:rPr>
        <w:t>Oblast</w:t>
      </w:r>
      <w:r w:rsidR="004F45C9" w:rsidRPr="00DD47DF">
        <w:rPr>
          <w:bCs/>
        </w:rPr>
        <w:t xml:space="preserve"> poskytování sofistikovaných </w:t>
      </w:r>
      <w:r w:rsidR="00961FFB" w:rsidRPr="00DD47DF">
        <w:rPr>
          <w:bCs/>
        </w:rPr>
        <w:lastRenderedPageBreak/>
        <w:t xml:space="preserve">sdílených služeb </w:t>
      </w:r>
      <w:r w:rsidR="009E6C87" w:rsidRPr="00DD47DF">
        <w:rPr>
          <w:bCs/>
        </w:rPr>
        <w:t>bude pro účely implementace ro</w:t>
      </w:r>
      <w:r w:rsidR="001F59E8" w:rsidRPr="00DD47DF">
        <w:rPr>
          <w:bCs/>
        </w:rPr>
        <w:t>z</w:t>
      </w:r>
      <w:r w:rsidR="009E6C87" w:rsidRPr="00DD47DF">
        <w:rPr>
          <w:bCs/>
        </w:rPr>
        <w:t>členěna</w:t>
      </w:r>
      <w:r w:rsidR="00961FFB" w:rsidRPr="00DD47DF">
        <w:rPr>
          <w:bCs/>
        </w:rPr>
        <w:t xml:space="preserve"> na aktivity mířící do oblasti poskytování sdílených služeb a do obl</w:t>
      </w:r>
      <w:r w:rsidR="009E6C87" w:rsidRPr="00DD47DF">
        <w:rPr>
          <w:bCs/>
        </w:rPr>
        <w:t xml:space="preserve">asti budování datových center. </w:t>
      </w:r>
      <w:r w:rsidR="007954D2" w:rsidRPr="00DD47DF">
        <w:t>Výstupem projektu bude fungující centrum sdílených služeb</w:t>
      </w:r>
      <w:r w:rsidR="005F74B6" w:rsidRPr="00DD47DF">
        <w:t>, jehož výsledky se promítnou ve střednědobém horizontu ekonomickými přínosy a nově vytvořenými pracovními místy.</w:t>
      </w:r>
      <w:r w:rsidR="00F95834" w:rsidRPr="00DD47DF">
        <w:t xml:space="preserve"> Převážně budou podporována centra sdílených služeb s přeshraničním přesahem.</w:t>
      </w:r>
    </w:p>
    <w:p w14:paraId="212B68F5" w14:textId="77777777" w:rsidR="007F002C" w:rsidRPr="00DD47DF" w:rsidRDefault="007F002C" w:rsidP="00FA0BCA">
      <w:pPr>
        <w:pStyle w:val="Standardntext"/>
      </w:pPr>
      <w:r w:rsidRPr="00DD47DF">
        <w:t xml:space="preserve">V případě výstavby a rozšíření datových center </w:t>
      </w:r>
      <w:r w:rsidR="00AC4311" w:rsidRPr="00DD47DF">
        <w:t>bude v</w:t>
      </w:r>
      <w:r w:rsidRPr="00DD47DF">
        <w:t xml:space="preserve">ýstupem projektu datové centrum připravené poskytovat služby, což přispěje k naplňování výše </w:t>
      </w:r>
      <w:r w:rsidR="005F74B6" w:rsidRPr="00DD47DF">
        <w:t>stanoven</w:t>
      </w:r>
      <w:r w:rsidRPr="00DD47DF">
        <w:t>ých výsledků specifického cíle.</w:t>
      </w:r>
    </w:p>
    <w:p w14:paraId="196637CD" w14:textId="77777777" w:rsidR="00AF178F" w:rsidRPr="00DD47DF" w:rsidRDefault="00AF178F" w:rsidP="00FA0BCA">
      <w:pPr>
        <w:pStyle w:val="Standardntext"/>
      </w:pPr>
      <w:r w:rsidRPr="00DD47DF">
        <w:t xml:space="preserve">Aktivity SC 4.2 </w:t>
      </w:r>
      <w:r w:rsidR="00E46D4E" w:rsidRPr="00DD47DF">
        <w:t xml:space="preserve">vycházejí z potřeb zohledněných v Národní RIS3 strategii a </w:t>
      </w:r>
      <w:r w:rsidRPr="00DD47DF">
        <w:t xml:space="preserve">mají přímou vazbu na tento strategický cíl Národní </w:t>
      </w:r>
      <w:r w:rsidR="002B0AB0" w:rsidRPr="00DD47DF">
        <w:t>RI</w:t>
      </w:r>
      <w:r w:rsidRPr="00DD47DF">
        <w:t>S3 strategie: „</w:t>
      </w:r>
      <w:r w:rsidR="003D640D" w:rsidRPr="00DD47DF">
        <w:t>Rozvoj eBusinessu a ICT v podnikání</w:t>
      </w:r>
      <w:r w:rsidRPr="00DD47DF">
        <w:t>“.</w:t>
      </w:r>
      <w:r w:rsidR="004C7346" w:rsidRPr="00DD47DF">
        <w:t xml:space="preserve"> Jde především o vzájemnou provázanost s typovými aktivitami/projekty/operacemi specifického cíle E2.1 „Vyšší využívání ICT v podnikání“ Národní </w:t>
      </w:r>
      <w:r w:rsidR="002B0AB0" w:rsidRPr="00DD47DF">
        <w:t>RI</w:t>
      </w:r>
      <w:r w:rsidR="004C7346" w:rsidRPr="00DD47DF">
        <w:t>S3 strategie.</w:t>
      </w:r>
    </w:p>
    <w:p w14:paraId="0177812D" w14:textId="77777777" w:rsidR="002E1C78" w:rsidRPr="00DD47DF" w:rsidRDefault="002E1C78" w:rsidP="00FA0BCA">
      <w:pPr>
        <w:pStyle w:val="Standardntext"/>
      </w:pPr>
      <w:r w:rsidRPr="00DD47DF">
        <w:rPr>
          <w:b/>
          <w:bCs/>
        </w:rPr>
        <w:t xml:space="preserve">Hlavní cílová skupina: </w:t>
      </w:r>
      <w:r w:rsidRPr="00DD47DF">
        <w:t>Podnikatelské subjekty a obyvatelé využívající IT.</w:t>
      </w:r>
    </w:p>
    <w:p w14:paraId="60A35CAF" w14:textId="77777777" w:rsidR="002E1C78" w:rsidRPr="00DD47DF" w:rsidRDefault="002E1C78" w:rsidP="00FA0BCA">
      <w:pPr>
        <w:pStyle w:val="Standardntext"/>
      </w:pPr>
      <w:r w:rsidRPr="00DD47DF">
        <w:rPr>
          <w:b/>
          <w:bCs/>
        </w:rPr>
        <w:t xml:space="preserve">Cílové území: </w:t>
      </w:r>
      <w:r w:rsidRPr="00DD47DF">
        <w:t>Území České republiky, mimo území hl. m. Prahy.</w:t>
      </w:r>
      <w:r w:rsidR="00015039" w:rsidRPr="00DD47DF">
        <w:t xml:space="preserve"> Z hlediska územní dimenze </w:t>
      </w:r>
      <w:r w:rsidR="00A46CD6" w:rsidRPr="00DD47DF">
        <w:t>bude tento specifický cíl zaměřen na rozvojová území</w:t>
      </w:r>
      <w:r w:rsidR="00015039" w:rsidRPr="00DD47DF">
        <w:t>.</w:t>
      </w:r>
    </w:p>
    <w:p w14:paraId="76278E66" w14:textId="77777777" w:rsidR="002E1C78" w:rsidRPr="00DD47DF" w:rsidRDefault="002E1C78" w:rsidP="00FA0BCA">
      <w:pPr>
        <w:pStyle w:val="Standardntext"/>
        <w:rPr>
          <w:bCs/>
        </w:rPr>
      </w:pPr>
      <w:r w:rsidRPr="00DD47DF">
        <w:rPr>
          <w:b/>
          <w:bCs/>
        </w:rPr>
        <w:t xml:space="preserve">Typy příjemců: </w:t>
      </w:r>
      <w:r w:rsidRPr="00DD47DF">
        <w:t>Podnikatelské subjekty (malé, střední a velké podniky)</w:t>
      </w:r>
      <w:r w:rsidR="007B1F50" w:rsidRPr="00DD47DF">
        <w:t xml:space="preserve">, zemědělští podnikatelé s výstupem projektu mimo seznam uvedený v Příloze I. Smlouvy (o EU) v oblasti ICT. </w:t>
      </w:r>
      <w:r w:rsidR="00124401" w:rsidRPr="00DD47DF">
        <w:t>V případě velkých podniků budou podporovány projekty, jejichž realizace v konečném důsledku povede ke snižování nákladů MSP</w:t>
      </w:r>
      <w:r w:rsidR="00093576" w:rsidRPr="00DD47DF">
        <w:t xml:space="preserve"> (dle čl. 3 odst. 1 písm. b</w:t>
      </w:r>
      <w:r w:rsidR="0044254C" w:rsidRPr="00DD47DF">
        <w:t>)</w:t>
      </w:r>
      <w:r w:rsidR="00093576" w:rsidRPr="00DD47DF">
        <w:t xml:space="preserve"> nařízení o EFRR)</w:t>
      </w:r>
      <w:r w:rsidR="00124401" w:rsidRPr="00DD47DF">
        <w:t>. Realizace takovýchto projektů je společensky účelná bez ohledu na velikost příjemce dotace. Tyto projekty však budou tvořit minoritní část tohoto specifického cíle.</w:t>
      </w:r>
    </w:p>
    <w:p w14:paraId="668EC8C7" w14:textId="77777777" w:rsidR="002E1C78" w:rsidRPr="00DD47DF" w:rsidRDefault="00BA6461" w:rsidP="005F43DF">
      <w:pPr>
        <w:pStyle w:val="Nadpis5"/>
        <w:numPr>
          <w:ilvl w:val="4"/>
          <w:numId w:val="27"/>
        </w:numPr>
      </w:pPr>
      <w:r w:rsidRPr="00DD47DF">
        <w:t>Hlavní zásady pro výběr operací</w:t>
      </w:r>
    </w:p>
    <w:p w14:paraId="0EB95F86" w14:textId="77777777" w:rsidR="00B45C7F" w:rsidRPr="00DD47DF" w:rsidRDefault="00FE3385" w:rsidP="00963119">
      <w:pPr>
        <w:pStyle w:val="Standardntext"/>
      </w:pPr>
      <w:r w:rsidRPr="00DD47DF">
        <w:t>Společné obecné zásady pro výběr operací pro všechny investiční priority celého OP PIK jsou uvedeny v prioritní ose 1 v oddíle 2.A.6.2.</w:t>
      </w:r>
    </w:p>
    <w:p w14:paraId="78925A5D" w14:textId="77777777" w:rsidR="00D42004" w:rsidRPr="00DD47DF" w:rsidRDefault="00D42004" w:rsidP="00D42004">
      <w:pPr>
        <w:pStyle w:val="Standardntext"/>
      </w:pPr>
      <w:r w:rsidRPr="00DD47DF">
        <w:t>V rámci výběru a hodnocení projektů budou posuzována především následující kritéria:</w:t>
      </w:r>
    </w:p>
    <w:p w14:paraId="21A194F4" w14:textId="77777777" w:rsidR="00D42004" w:rsidRPr="00DD47DF" w:rsidRDefault="00D42004" w:rsidP="00FB3387">
      <w:pPr>
        <w:pStyle w:val="Standardntext"/>
        <w:numPr>
          <w:ilvl w:val="0"/>
          <w:numId w:val="43"/>
        </w:numPr>
      </w:pPr>
      <w:r w:rsidRPr="00DD47DF">
        <w:t xml:space="preserve">Kvalita a potřebnost projektu s ohledem </w:t>
      </w:r>
      <w:r w:rsidR="00B45C7F" w:rsidRPr="00DD47DF">
        <w:t>na rozvoj lidského kapitálu v této oblasti</w:t>
      </w:r>
      <w:r w:rsidRPr="00DD47DF">
        <w:t>.</w:t>
      </w:r>
    </w:p>
    <w:p w14:paraId="4EDC0F29" w14:textId="77777777" w:rsidR="00D42004" w:rsidRPr="00DD47DF" w:rsidRDefault="00D42004" w:rsidP="00FB3387">
      <w:pPr>
        <w:pStyle w:val="Standardntext"/>
        <w:numPr>
          <w:ilvl w:val="0"/>
          <w:numId w:val="43"/>
        </w:numPr>
      </w:pPr>
      <w:r w:rsidRPr="00DD47DF">
        <w:t>Soulad projektu s</w:t>
      </w:r>
      <w:r w:rsidR="00BA4E72" w:rsidRPr="00DD47DF">
        <w:t xml:space="preserve"> </w:t>
      </w:r>
      <w:r w:rsidRPr="00DD47DF">
        <w:t>územní dimenzí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w:t>
      </w:r>
    </w:p>
    <w:p w14:paraId="6B3E6C69" w14:textId="77777777" w:rsidR="00AC3FC6" w:rsidRPr="00DD47DF" w:rsidRDefault="00AC3FC6" w:rsidP="00FB3387">
      <w:pPr>
        <w:pStyle w:val="Standardntext"/>
        <w:numPr>
          <w:ilvl w:val="0"/>
          <w:numId w:val="43"/>
        </w:numPr>
      </w:pPr>
      <w:r w:rsidRPr="00DD47DF">
        <w:t>Soulad projektu s prioritami RIS3.</w:t>
      </w:r>
    </w:p>
    <w:p w14:paraId="54D1F426" w14:textId="77777777" w:rsidR="00D42004" w:rsidRPr="00DD47DF" w:rsidRDefault="00D42004" w:rsidP="00FB3387">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15904753" w14:textId="77777777" w:rsidR="00192F36" w:rsidRPr="00DD47DF" w:rsidRDefault="00192F36" w:rsidP="00FB3387">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5B0CF5BF" w14:textId="77777777" w:rsidR="002E1C78" w:rsidRPr="00DD47DF" w:rsidRDefault="00BA6461" w:rsidP="005F43DF">
      <w:pPr>
        <w:pStyle w:val="Nadpis5"/>
        <w:numPr>
          <w:ilvl w:val="4"/>
          <w:numId w:val="27"/>
        </w:numPr>
        <w:rPr>
          <w:rFonts w:cs="Calibri"/>
        </w:rPr>
      </w:pPr>
      <w:r w:rsidRPr="00DD47DF">
        <w:lastRenderedPageBreak/>
        <w:t>Plánované využití finančních nástrojů (použije-li se)</w:t>
      </w:r>
    </w:p>
    <w:p w14:paraId="1B3C7BE0" w14:textId="77777777" w:rsidR="00896EDF" w:rsidRPr="00DD47DF" w:rsidRDefault="00C15D3F" w:rsidP="00896EDF">
      <w:pPr>
        <w:pStyle w:val="Standardntext"/>
      </w:pPr>
      <w:r w:rsidRPr="00DD47DF">
        <w:t xml:space="preserve">Řídící orgán </w:t>
      </w:r>
      <w:r w:rsidR="00782086" w:rsidRPr="00DD47DF">
        <w:t xml:space="preserve">posoudí možnosti </w:t>
      </w:r>
      <w:r w:rsidRPr="00DD47DF">
        <w:t>využití finančních nástrojů v této investiční prioritě</w:t>
      </w:r>
      <w:r w:rsidR="00782086" w:rsidRPr="00DD47DF">
        <w:t xml:space="preserve"> OP PIK na základě výsledků </w:t>
      </w:r>
      <w:r w:rsidRPr="00DD47DF">
        <w:t xml:space="preserve">předběžného </w:t>
      </w:r>
      <w:r w:rsidR="00782086" w:rsidRPr="00DD47DF">
        <w:t xml:space="preserve">vyhodnocení provedeného </w:t>
      </w:r>
      <w:r w:rsidRPr="00DD47DF">
        <w:t>dle čl. 37 odst. 2 obecného nařízení, případně jeho revize podle čl. 37 odst. 2 písm. g) obecného nařízení.</w:t>
      </w:r>
    </w:p>
    <w:p w14:paraId="7A6911E5" w14:textId="77777777" w:rsidR="002E1C78" w:rsidRPr="00DD47DF" w:rsidRDefault="00BA6461" w:rsidP="00A556B6">
      <w:pPr>
        <w:pStyle w:val="Nadpis5"/>
        <w:numPr>
          <w:ilvl w:val="4"/>
          <w:numId w:val="27"/>
        </w:numPr>
      </w:pPr>
      <w:r w:rsidRPr="00DD47DF">
        <w:t>Plánované využití velkých projektů (použije-li se)</w:t>
      </w:r>
    </w:p>
    <w:p w14:paraId="2BE07002" w14:textId="77777777" w:rsidR="002A4D1D" w:rsidRPr="00DD47DF" w:rsidRDefault="002A4D1D" w:rsidP="00A556B6">
      <w:pPr>
        <w:pStyle w:val="Standardntext"/>
        <w:keepNext/>
        <w:keepLines/>
      </w:pPr>
      <w:r w:rsidRPr="00DD47DF">
        <w:t xml:space="preserve">Velké projekty ve smyslu čl. </w:t>
      </w:r>
      <w:r w:rsidR="008F52F8" w:rsidRPr="00DD47DF">
        <w:t>10</w:t>
      </w:r>
      <w:r w:rsidRPr="00DD47DF">
        <w:t>0 obecného nařízení nejsou plánovány.</w:t>
      </w:r>
    </w:p>
    <w:p w14:paraId="5C35D344" w14:textId="77777777" w:rsidR="002E1C78" w:rsidRPr="00DD47DF" w:rsidRDefault="00BA6461" w:rsidP="00C56486">
      <w:pPr>
        <w:pStyle w:val="Nadpis5"/>
        <w:numPr>
          <w:ilvl w:val="4"/>
          <w:numId w:val="27"/>
        </w:numPr>
      </w:pPr>
      <w:r w:rsidRPr="00DD47DF">
        <w:t>Ukazatele výstupů podle investiční priority a případně podle kategorie regionů</w:t>
      </w:r>
    </w:p>
    <w:p w14:paraId="17F6D00A" w14:textId="77777777" w:rsidR="002E1C78" w:rsidRPr="00DD47DF" w:rsidRDefault="002E1C78" w:rsidP="00C56486">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669"/>
        <w:gridCol w:w="2279"/>
        <w:gridCol w:w="1045"/>
        <w:gridCol w:w="665"/>
        <w:gridCol w:w="1073"/>
        <w:gridCol w:w="1418"/>
        <w:gridCol w:w="997"/>
        <w:gridCol w:w="1180"/>
      </w:tblGrid>
      <w:tr w:rsidR="001B2E5C" w:rsidRPr="00DD47DF" w14:paraId="7C2466B7" w14:textId="77777777">
        <w:trPr>
          <w:trHeight w:hRule="exact" w:val="1185"/>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297DE88" w14:textId="77777777" w:rsidR="001B2E5C" w:rsidRPr="00DD47DF" w:rsidRDefault="001B2E5C" w:rsidP="00B22DB8">
            <w:pPr>
              <w:pStyle w:val="Tabulka"/>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740EB83" w14:textId="77777777" w:rsidR="001B2E5C" w:rsidRPr="00DD47DF" w:rsidRDefault="001B2E5C" w:rsidP="00B22DB8">
            <w:pPr>
              <w:pStyle w:val="Tabulka"/>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097CDD8" w14:textId="77777777" w:rsidR="001B2E5C" w:rsidRPr="00DD47DF" w:rsidRDefault="001B2E5C" w:rsidP="00B22DB8">
            <w:pPr>
              <w:pStyle w:val="Tabulka"/>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AC0955B" w14:textId="77777777" w:rsidR="001B2E5C" w:rsidRPr="00DD47DF" w:rsidRDefault="001B2E5C" w:rsidP="00B22DB8">
            <w:pPr>
              <w:pStyle w:val="Tabulka"/>
              <w:rPr>
                <w:rFonts w:cs="Calibri"/>
                <w:b/>
              </w:rPr>
            </w:pPr>
            <w:r w:rsidRPr="00DD47DF">
              <w:rPr>
                <w:rFonts w:cs="Calibri"/>
                <w:b/>
              </w:rPr>
              <w:t>Fond</w:t>
            </w:r>
          </w:p>
        </w:tc>
        <w:tc>
          <w:tcPr>
            <w:tcW w:w="107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92EC59C" w14:textId="77777777" w:rsidR="001B2E5C" w:rsidRPr="00DD47DF" w:rsidRDefault="001B2E5C" w:rsidP="00B22DB8">
            <w:pPr>
              <w:pStyle w:val="Tabulka"/>
              <w:rPr>
                <w:rFonts w:cs="Calibri"/>
                <w:b/>
              </w:rPr>
            </w:pPr>
            <w:r w:rsidRPr="00DD47DF">
              <w:rPr>
                <w:rFonts w:cs="Calibri"/>
                <w:b/>
              </w:rPr>
              <w:t>Kategorie regionu</w:t>
            </w:r>
          </w:p>
        </w:tc>
        <w:tc>
          <w:tcPr>
            <w:tcW w:w="141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25FCDC3" w14:textId="77777777" w:rsidR="001B2E5C" w:rsidRPr="00DD47DF" w:rsidRDefault="001B2E5C" w:rsidP="00B22DB8">
            <w:pPr>
              <w:pStyle w:val="Tabulka"/>
              <w:rPr>
                <w:rFonts w:cs="Calibri"/>
                <w:b/>
              </w:rPr>
            </w:pPr>
            <w:r w:rsidRPr="00DD47DF">
              <w:rPr>
                <w:rFonts w:cs="Calibri"/>
                <w:b/>
              </w:rPr>
              <w:t>Cílová hodnota</w:t>
            </w:r>
          </w:p>
          <w:p w14:paraId="50656E62" w14:textId="77777777" w:rsidR="001B2E5C" w:rsidRPr="00DD47DF" w:rsidRDefault="001B2E5C" w:rsidP="00B22DB8">
            <w:pPr>
              <w:pStyle w:val="Tabulka"/>
              <w:rPr>
                <w:rFonts w:cs="Calibri"/>
                <w:b/>
              </w:rPr>
            </w:pPr>
            <w:r w:rsidRPr="00DD47DF">
              <w:rPr>
                <w:rFonts w:cs="Calibri"/>
                <w:b/>
              </w:rPr>
              <w:t>(2023)</w:t>
            </w:r>
          </w:p>
        </w:tc>
        <w:tc>
          <w:tcPr>
            <w:tcW w:w="71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E487673" w14:textId="77777777" w:rsidR="001B2E5C" w:rsidRPr="00DD47DF" w:rsidRDefault="001B2E5C" w:rsidP="00B22DB8">
            <w:pPr>
              <w:pStyle w:val="Tabulka"/>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CF4F33F" w14:textId="77777777" w:rsidR="001B2E5C" w:rsidRPr="00DD47DF" w:rsidRDefault="001B2E5C" w:rsidP="00B22DB8">
            <w:pPr>
              <w:pStyle w:val="Tabulka"/>
              <w:rPr>
                <w:rFonts w:cs="Calibri"/>
                <w:b/>
              </w:rPr>
            </w:pPr>
            <w:r w:rsidRPr="00DD47DF">
              <w:rPr>
                <w:rFonts w:cs="Calibri"/>
                <w:b/>
              </w:rPr>
              <w:t>Četnost podávání zpráv</w:t>
            </w:r>
          </w:p>
        </w:tc>
      </w:tr>
      <w:tr w:rsidR="002B3F69" w:rsidRPr="00DD47DF" w14:paraId="142F335B"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1B85687A" w14:textId="75FD0D66" w:rsidR="002B3F69" w:rsidRPr="00DD47DF" w:rsidRDefault="00C75691" w:rsidP="00B22DB8">
            <w:pPr>
              <w:pStyle w:val="Tabulka"/>
              <w:rPr>
                <w:rFonts w:cs="Calibri"/>
              </w:rPr>
            </w:pPr>
            <w:r w:rsidRPr="00DD47DF">
              <w:rPr>
                <w:rFonts w:cs="Calibri"/>
              </w:rPr>
              <w:t xml:space="preserve">CO </w:t>
            </w:r>
            <w:r w:rsidR="001F250D" w:rsidRPr="00DD47DF">
              <w:rPr>
                <w:rFonts w:cs="Calibri"/>
              </w:rPr>
              <w:t>0</w:t>
            </w:r>
            <w:r w:rsidR="002B3F69"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6805DCAC" w14:textId="77777777" w:rsidR="002B3F69" w:rsidRPr="00DD47DF" w:rsidRDefault="007D6298" w:rsidP="00B22DB8">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43EF8FD8" w14:textId="77777777" w:rsidR="002B3F69" w:rsidRPr="00DD47DF" w:rsidRDefault="002B3F69" w:rsidP="00B22DB8">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586E37BF" w14:textId="77777777" w:rsidR="002B3F69" w:rsidRPr="00DD47DF" w:rsidRDefault="002B3F69"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175D71E8" w14:textId="77777777" w:rsidR="002B3F69" w:rsidRPr="00DD47DF" w:rsidRDefault="002B3F69"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76E78AC0" w14:textId="77777777" w:rsidR="002B3F69" w:rsidRPr="00DD47DF" w:rsidRDefault="00FD71ED" w:rsidP="00B22DB8">
            <w:pPr>
              <w:pStyle w:val="Tabulka"/>
              <w:rPr>
                <w:rFonts w:cs="Calibri"/>
              </w:rPr>
            </w:pPr>
            <w:r w:rsidRPr="00DD47DF">
              <w:rPr>
                <w:rFonts w:cs="Calibri"/>
              </w:rPr>
              <w:t>425</w:t>
            </w:r>
          </w:p>
        </w:tc>
        <w:tc>
          <w:tcPr>
            <w:tcW w:w="715" w:type="dxa"/>
            <w:tcBorders>
              <w:top w:val="single" w:sz="4" w:space="0" w:color="000000"/>
              <w:left w:val="single" w:sz="4" w:space="0" w:color="000000"/>
              <w:bottom w:val="single" w:sz="4" w:space="0" w:color="000000"/>
              <w:right w:val="single" w:sz="4" w:space="0" w:color="000000"/>
            </w:tcBorders>
            <w:vAlign w:val="center"/>
          </w:tcPr>
          <w:p w14:paraId="2BC2CDCE" w14:textId="77777777" w:rsidR="002B3F69" w:rsidRPr="00DD47DF" w:rsidRDefault="00FC7054" w:rsidP="00B22DB8">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B5E1A98" w14:textId="77777777" w:rsidR="002B3F69" w:rsidRPr="00DD47DF" w:rsidRDefault="00FC7054" w:rsidP="00B22DB8">
            <w:pPr>
              <w:pStyle w:val="Tabulka"/>
              <w:rPr>
                <w:rFonts w:cs="Calibri"/>
              </w:rPr>
            </w:pPr>
            <w:r>
              <w:rPr>
                <w:rFonts w:cs="Calibri"/>
              </w:rPr>
              <w:t>průběžně</w:t>
            </w:r>
          </w:p>
        </w:tc>
      </w:tr>
      <w:tr w:rsidR="002B3F69" w:rsidRPr="00DD47DF" w14:paraId="764117CE"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1D1E087" w14:textId="07F80A0E" w:rsidR="002B3F69" w:rsidRPr="00DD47DF" w:rsidRDefault="00C75691" w:rsidP="00B22DB8">
            <w:pPr>
              <w:pStyle w:val="Tabulka"/>
              <w:rPr>
                <w:rFonts w:cs="Calibri"/>
              </w:rPr>
            </w:pPr>
            <w:r w:rsidRPr="00DD47DF">
              <w:rPr>
                <w:rFonts w:cs="Calibri"/>
              </w:rPr>
              <w:t xml:space="preserve">CO </w:t>
            </w:r>
            <w:r w:rsidR="001F250D" w:rsidRPr="00DD47DF">
              <w:rPr>
                <w:rFonts w:cs="Calibri"/>
              </w:rPr>
              <w:t>0</w:t>
            </w:r>
            <w:r w:rsidR="002B3F69"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1B9F9D45" w14:textId="77777777" w:rsidR="002B3F69" w:rsidRPr="00DD47DF" w:rsidRDefault="002B3F69" w:rsidP="00B22DB8">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55612E37" w14:textId="77777777" w:rsidR="002B3F69" w:rsidRPr="00DD47DF" w:rsidRDefault="002B3F69" w:rsidP="00B22DB8">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0C36DF22" w14:textId="77777777" w:rsidR="002B3F69" w:rsidRPr="00DD47DF" w:rsidRDefault="002B3F69"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301AC517" w14:textId="77777777" w:rsidR="002B3F69" w:rsidRPr="00DD47DF" w:rsidRDefault="002B3F69"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0E07BD81" w14:textId="77777777" w:rsidR="002B3F69" w:rsidRPr="00DD47DF" w:rsidRDefault="00FD71ED" w:rsidP="00B22DB8">
            <w:pPr>
              <w:pStyle w:val="Tabulka"/>
              <w:rPr>
                <w:rFonts w:cs="Calibri"/>
              </w:rPr>
            </w:pPr>
            <w:r w:rsidRPr="00DD47DF">
              <w:rPr>
                <w:rFonts w:cs="Calibri"/>
              </w:rPr>
              <w:t>425</w:t>
            </w:r>
          </w:p>
        </w:tc>
        <w:tc>
          <w:tcPr>
            <w:tcW w:w="715" w:type="dxa"/>
            <w:tcBorders>
              <w:top w:val="single" w:sz="4" w:space="0" w:color="000000"/>
              <w:left w:val="single" w:sz="4" w:space="0" w:color="000000"/>
              <w:bottom w:val="single" w:sz="4" w:space="0" w:color="000000"/>
              <w:right w:val="single" w:sz="4" w:space="0" w:color="000000"/>
            </w:tcBorders>
            <w:vAlign w:val="center"/>
          </w:tcPr>
          <w:p w14:paraId="59FDAF8A" w14:textId="77777777" w:rsidR="002B3F69" w:rsidRPr="00DD47DF" w:rsidRDefault="00934A97" w:rsidP="00B22DB8">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74442B61" w14:textId="77777777" w:rsidR="002B3F69" w:rsidRPr="00DD47DF" w:rsidRDefault="00934A97" w:rsidP="00B22DB8">
            <w:pPr>
              <w:pStyle w:val="Tabulka"/>
              <w:rPr>
                <w:rFonts w:cs="Calibri"/>
              </w:rPr>
            </w:pPr>
            <w:r>
              <w:rPr>
                <w:rFonts w:cs="Calibri"/>
              </w:rPr>
              <w:t>průběžně</w:t>
            </w:r>
          </w:p>
        </w:tc>
      </w:tr>
      <w:tr w:rsidR="002B3F69" w:rsidRPr="00DD47DF" w14:paraId="27F70D70"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A3B2582" w14:textId="51A66246" w:rsidR="002B3F69" w:rsidRPr="00DD47DF" w:rsidRDefault="00C75691" w:rsidP="00B22DB8">
            <w:pPr>
              <w:pStyle w:val="Tabulka"/>
              <w:rPr>
                <w:rFonts w:cs="Calibri"/>
              </w:rPr>
            </w:pPr>
            <w:r w:rsidRPr="00DD47DF">
              <w:rPr>
                <w:rFonts w:cs="Calibri"/>
              </w:rPr>
              <w:t xml:space="preserve">CO </w:t>
            </w:r>
            <w:r w:rsidR="001F250D" w:rsidRPr="00DD47DF">
              <w:rPr>
                <w:rFonts w:cs="Calibri"/>
              </w:rPr>
              <w:t>0</w:t>
            </w:r>
            <w:r w:rsidR="002B3F69"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0A1AC6D2" w14:textId="77777777" w:rsidR="002B3F69" w:rsidRPr="00DD47DF" w:rsidRDefault="00892451" w:rsidP="00B22DB8">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404A0A8E" w14:textId="77777777" w:rsidR="002B3F69" w:rsidRPr="00DD47DF" w:rsidRDefault="002B3F69" w:rsidP="00B22DB8">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7383C020" w14:textId="77777777" w:rsidR="002B3F69" w:rsidRPr="00DD47DF" w:rsidRDefault="002B3F69"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206E83F6" w14:textId="77777777" w:rsidR="002B3F69" w:rsidRPr="00DD47DF" w:rsidRDefault="002B3F69"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4AC9436B" w14:textId="77777777" w:rsidR="002B3F69" w:rsidRPr="00DD47DF" w:rsidRDefault="00FD71ED" w:rsidP="00B22DB8">
            <w:pPr>
              <w:pStyle w:val="Tabulka"/>
              <w:rPr>
                <w:rFonts w:cs="Calibri"/>
              </w:rPr>
            </w:pPr>
            <w:r w:rsidRPr="00DD47DF">
              <w:rPr>
                <w:rFonts w:cs="Calibri"/>
              </w:rPr>
              <w:t>330</w:t>
            </w:r>
            <w:r w:rsidR="00BC5A68" w:rsidRPr="00DD47DF">
              <w:rPr>
                <w:rFonts w:cs="Calibri"/>
              </w:rPr>
              <w:t> 000 000</w:t>
            </w:r>
          </w:p>
        </w:tc>
        <w:tc>
          <w:tcPr>
            <w:tcW w:w="715" w:type="dxa"/>
            <w:tcBorders>
              <w:top w:val="single" w:sz="4" w:space="0" w:color="000000"/>
              <w:left w:val="single" w:sz="4" w:space="0" w:color="000000"/>
              <w:bottom w:val="single" w:sz="4" w:space="0" w:color="000000"/>
              <w:right w:val="single" w:sz="4" w:space="0" w:color="000000"/>
            </w:tcBorders>
            <w:vAlign w:val="center"/>
          </w:tcPr>
          <w:p w14:paraId="262C2B8D" w14:textId="77777777" w:rsidR="002B3F69" w:rsidRPr="00DD47DF" w:rsidRDefault="00800418" w:rsidP="00B22DB8">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78F853C" w14:textId="77777777" w:rsidR="002B3F69" w:rsidRPr="00DD47DF" w:rsidRDefault="00934A97" w:rsidP="00B22DB8">
            <w:pPr>
              <w:pStyle w:val="Tabulka"/>
              <w:rPr>
                <w:rFonts w:cs="Calibri"/>
              </w:rPr>
            </w:pPr>
            <w:r>
              <w:rPr>
                <w:rFonts w:cs="Calibri"/>
              </w:rPr>
              <w:t>průběžně</w:t>
            </w:r>
          </w:p>
        </w:tc>
      </w:tr>
      <w:tr w:rsidR="001B36DC" w:rsidRPr="00DD47DF" w14:paraId="20D053E6"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BCB55D5" w14:textId="7714F131" w:rsidR="001B36DC" w:rsidRPr="00DD47DF" w:rsidRDefault="00C75691" w:rsidP="008F41A1">
            <w:pPr>
              <w:pStyle w:val="Tabulka"/>
              <w:keepLines/>
              <w:rPr>
                <w:rFonts w:cs="Calibri"/>
              </w:rPr>
            </w:pPr>
            <w:r w:rsidRPr="00DD47DF">
              <w:rPr>
                <w:rFonts w:cs="Calibri"/>
              </w:rPr>
              <w:t xml:space="preserve">CO </w:t>
            </w:r>
            <w:r w:rsidR="001F250D" w:rsidRPr="00DD47DF">
              <w:rPr>
                <w:rFonts w:cs="Calibri"/>
              </w:rPr>
              <w:t>0</w:t>
            </w:r>
            <w:r w:rsidR="001B36DC" w:rsidRPr="00DD47DF">
              <w:rPr>
                <w:rFonts w:cs="Calibri"/>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52A8A58B" w14:textId="77777777" w:rsidR="001B36DC" w:rsidRPr="00DD47DF" w:rsidRDefault="001B36DC" w:rsidP="008F41A1">
            <w:pPr>
              <w:pStyle w:val="Tabulka"/>
              <w:keepLines/>
              <w:jc w:val="left"/>
              <w:rPr>
                <w:rFonts w:cs="Calibri"/>
              </w:rPr>
            </w:pPr>
            <w:r w:rsidRPr="00DD47DF">
              <w:rPr>
                <w:rFonts w:cs="Calibri"/>
              </w:rPr>
              <w:t>Zvýšení zaměstnanosti v podporovaných podnicích</w:t>
            </w:r>
          </w:p>
        </w:tc>
        <w:tc>
          <w:tcPr>
            <w:tcW w:w="0" w:type="auto"/>
            <w:tcBorders>
              <w:top w:val="single" w:sz="4" w:space="0" w:color="000000"/>
              <w:left w:val="single" w:sz="4" w:space="0" w:color="000000"/>
              <w:bottom w:val="single" w:sz="4" w:space="0" w:color="000000"/>
              <w:right w:val="single" w:sz="4" w:space="0" w:color="000000"/>
            </w:tcBorders>
            <w:vAlign w:val="center"/>
          </w:tcPr>
          <w:p w14:paraId="2AE3A52E" w14:textId="77777777" w:rsidR="001B36DC" w:rsidRPr="00DD47DF" w:rsidRDefault="001B36DC" w:rsidP="008F41A1">
            <w:pPr>
              <w:pStyle w:val="Tabulka"/>
              <w:keepLines/>
              <w:rPr>
                <w:rFonts w:cs="Calibri"/>
                <w:vertAlign w:val="superscript"/>
              </w:rPr>
            </w:pPr>
            <w:r w:rsidRPr="00DD47DF">
              <w:rPr>
                <w:rFonts w:cs="Calibri"/>
              </w:rPr>
              <w:t>FTE</w:t>
            </w:r>
          </w:p>
        </w:tc>
        <w:tc>
          <w:tcPr>
            <w:tcW w:w="0" w:type="auto"/>
            <w:tcBorders>
              <w:top w:val="single" w:sz="4" w:space="0" w:color="000000"/>
              <w:left w:val="single" w:sz="4" w:space="0" w:color="000000"/>
              <w:bottom w:val="single" w:sz="4" w:space="0" w:color="000000"/>
              <w:right w:val="single" w:sz="4" w:space="0" w:color="000000"/>
            </w:tcBorders>
            <w:vAlign w:val="center"/>
          </w:tcPr>
          <w:p w14:paraId="7A44ADD3" w14:textId="77777777" w:rsidR="001B36DC" w:rsidRPr="00DD47DF" w:rsidRDefault="001B36DC"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37CD68DF" w14:textId="77777777" w:rsidR="001B36DC" w:rsidRPr="00DD47DF" w:rsidRDefault="001B36DC"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5E3CF82B" w14:textId="77777777" w:rsidR="001B36DC" w:rsidRPr="00DD47DF" w:rsidRDefault="00FD71ED" w:rsidP="00B22DB8">
            <w:pPr>
              <w:pStyle w:val="Tabulka"/>
              <w:rPr>
                <w:rFonts w:cs="Calibri"/>
              </w:rPr>
            </w:pPr>
            <w:r w:rsidRPr="00DD47DF">
              <w:rPr>
                <w:rFonts w:cs="Calibri"/>
              </w:rPr>
              <w:t>6 0</w:t>
            </w:r>
            <w:r w:rsidR="004E3102" w:rsidRPr="00DD47DF">
              <w:rPr>
                <w:rFonts w:cs="Calibri"/>
              </w:rPr>
              <w:t>00</w:t>
            </w:r>
          </w:p>
        </w:tc>
        <w:tc>
          <w:tcPr>
            <w:tcW w:w="715" w:type="dxa"/>
            <w:tcBorders>
              <w:top w:val="single" w:sz="4" w:space="0" w:color="000000"/>
              <w:left w:val="single" w:sz="4" w:space="0" w:color="000000"/>
              <w:bottom w:val="single" w:sz="4" w:space="0" w:color="000000"/>
              <w:right w:val="single" w:sz="4" w:space="0" w:color="000000"/>
            </w:tcBorders>
            <w:vAlign w:val="center"/>
          </w:tcPr>
          <w:p w14:paraId="64097C8F" w14:textId="77777777" w:rsidR="001B36DC" w:rsidRPr="00DD47DF" w:rsidRDefault="001B36DC" w:rsidP="008F41A1">
            <w:pPr>
              <w:pStyle w:val="Tabulka"/>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5AFC6C37" w14:textId="77777777" w:rsidR="001B36DC" w:rsidRPr="00DD47DF" w:rsidRDefault="00025DD4" w:rsidP="008F41A1">
            <w:pPr>
              <w:pStyle w:val="Tabulka"/>
              <w:keepLines/>
              <w:rPr>
                <w:rFonts w:cs="Calibri"/>
              </w:rPr>
            </w:pPr>
            <w:r>
              <w:rPr>
                <w:rFonts w:cs="Calibri"/>
              </w:rPr>
              <w:t>průběžně</w:t>
            </w:r>
          </w:p>
        </w:tc>
      </w:tr>
      <w:tr w:rsidR="00B30324" w:rsidRPr="00DD47DF" w14:paraId="018D81E9" w14:textId="77777777" w:rsidTr="00466CFC">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32F50D4" w14:textId="77777777" w:rsidR="00B30324" w:rsidRPr="00DD47DF" w:rsidDel="00C75691" w:rsidRDefault="00D4415B" w:rsidP="008F41A1">
            <w:pPr>
              <w:pStyle w:val="Tabulka"/>
              <w:keepLines/>
              <w:rPr>
                <w:rFonts w:cs="Calibri"/>
              </w:rPr>
            </w:pPr>
            <w:r w:rsidRPr="00DD47DF">
              <w:rPr>
                <w:rFonts w:cs="Calibri"/>
              </w:rPr>
              <w:t>30801</w:t>
            </w:r>
          </w:p>
        </w:tc>
        <w:tc>
          <w:tcPr>
            <w:tcW w:w="0" w:type="auto"/>
            <w:tcBorders>
              <w:top w:val="single" w:sz="4" w:space="0" w:color="000000"/>
              <w:left w:val="single" w:sz="4" w:space="0" w:color="000000"/>
              <w:bottom w:val="single" w:sz="4" w:space="0" w:color="000000"/>
              <w:right w:val="single" w:sz="4" w:space="0" w:color="000000"/>
            </w:tcBorders>
            <w:vAlign w:val="center"/>
          </w:tcPr>
          <w:p w14:paraId="793CD0A5" w14:textId="77777777" w:rsidR="00B30324" w:rsidRPr="00DD47DF" w:rsidRDefault="00B30324" w:rsidP="008F41A1">
            <w:pPr>
              <w:pStyle w:val="Tabulka"/>
              <w:keepLines/>
              <w:jc w:val="left"/>
              <w:rPr>
                <w:rFonts w:cs="Calibri"/>
              </w:rPr>
            </w:pPr>
            <w:r w:rsidRPr="00DD47DF">
              <w:rPr>
                <w:rFonts w:cs="Calibri"/>
              </w:rPr>
              <w:t>Nová a zmodernizovaná</w:t>
            </w:r>
            <w:r w:rsidR="00D4415B" w:rsidRPr="00DD47DF">
              <w:rPr>
                <w:rFonts w:cs="Calibri"/>
              </w:rPr>
              <w:t xml:space="preserve"> IT</w:t>
            </w:r>
            <w:r w:rsidRPr="00DD47DF">
              <w:rPr>
                <w:rFonts w:cs="Calibri"/>
              </w:rPr>
              <w:t xml:space="preserve"> centra</w:t>
            </w:r>
          </w:p>
        </w:tc>
        <w:tc>
          <w:tcPr>
            <w:tcW w:w="0" w:type="auto"/>
            <w:tcBorders>
              <w:top w:val="single" w:sz="4" w:space="0" w:color="000000"/>
              <w:left w:val="single" w:sz="4" w:space="0" w:color="000000"/>
              <w:bottom w:val="single" w:sz="4" w:space="0" w:color="000000"/>
              <w:right w:val="single" w:sz="4" w:space="0" w:color="000000"/>
            </w:tcBorders>
            <w:vAlign w:val="center"/>
          </w:tcPr>
          <w:p w14:paraId="2D1D3F0E" w14:textId="77777777" w:rsidR="00B30324" w:rsidRPr="00DD47DF" w:rsidRDefault="00B44F8D" w:rsidP="00B30324">
            <w:pPr>
              <w:pStyle w:val="Tabulka"/>
              <w:rPr>
                <w:rFonts w:cs="Calibri"/>
              </w:rPr>
            </w:pPr>
            <w:r w:rsidRPr="00DD47DF">
              <w:rPr>
                <w:rFonts w:cs="Calibri"/>
              </w:rPr>
              <w:t>centra</w:t>
            </w:r>
          </w:p>
        </w:tc>
        <w:tc>
          <w:tcPr>
            <w:tcW w:w="0" w:type="auto"/>
            <w:tcBorders>
              <w:top w:val="single" w:sz="4" w:space="0" w:color="000000"/>
              <w:left w:val="single" w:sz="4" w:space="0" w:color="000000"/>
              <w:bottom w:val="single" w:sz="4" w:space="0" w:color="000000"/>
              <w:right w:val="single" w:sz="4" w:space="0" w:color="000000"/>
            </w:tcBorders>
            <w:vAlign w:val="center"/>
          </w:tcPr>
          <w:p w14:paraId="5608D254" w14:textId="77777777" w:rsidR="00B30324" w:rsidRPr="00DD47DF" w:rsidRDefault="00B30324"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2B79BCFB" w14:textId="77777777" w:rsidR="00B30324" w:rsidRPr="00DD47DF" w:rsidRDefault="00B30324"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7853A233" w14:textId="77777777" w:rsidR="00B30324" w:rsidRPr="00DD47DF" w:rsidRDefault="001122AC" w:rsidP="00B22DB8">
            <w:pPr>
              <w:pStyle w:val="Tabulka"/>
              <w:rPr>
                <w:rFonts w:cs="Calibri"/>
              </w:rPr>
            </w:pPr>
            <w:r w:rsidRPr="00DD47DF">
              <w:rPr>
                <w:rFonts w:cs="Calibri"/>
              </w:rPr>
              <w:t>78</w:t>
            </w:r>
          </w:p>
        </w:tc>
        <w:tc>
          <w:tcPr>
            <w:tcW w:w="715" w:type="dxa"/>
            <w:tcBorders>
              <w:top w:val="single" w:sz="4" w:space="0" w:color="000000"/>
              <w:left w:val="single" w:sz="4" w:space="0" w:color="000000"/>
              <w:bottom w:val="single" w:sz="4" w:space="0" w:color="000000"/>
              <w:right w:val="single" w:sz="4" w:space="0" w:color="000000"/>
            </w:tcBorders>
            <w:vAlign w:val="center"/>
          </w:tcPr>
          <w:p w14:paraId="3B82877F" w14:textId="77777777" w:rsidR="00B30324" w:rsidRPr="00DD47DF" w:rsidRDefault="00931CEE" w:rsidP="008F41A1">
            <w:pPr>
              <w:pStyle w:val="Tabulka"/>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1994EE7A" w14:textId="77777777" w:rsidR="00B30324" w:rsidRPr="00DD47DF" w:rsidRDefault="005739BE" w:rsidP="008F41A1">
            <w:pPr>
              <w:pStyle w:val="Tabulka"/>
              <w:keepLines/>
              <w:rPr>
                <w:rFonts w:cs="Calibri"/>
              </w:rPr>
            </w:pPr>
            <w:r>
              <w:rPr>
                <w:rFonts w:cs="Calibri"/>
              </w:rPr>
              <w:t>průběžně</w:t>
            </w:r>
          </w:p>
        </w:tc>
      </w:tr>
      <w:tr w:rsidR="00B30324" w:rsidRPr="00DD47DF" w14:paraId="724832EF" w14:textId="77777777" w:rsidTr="00466CFC">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CBD74FA" w14:textId="77777777" w:rsidR="00B30324" w:rsidRPr="00DD47DF" w:rsidDel="00C75691" w:rsidRDefault="00D4415B" w:rsidP="008F41A1">
            <w:pPr>
              <w:pStyle w:val="Tabulka"/>
              <w:keepLines/>
              <w:rPr>
                <w:rFonts w:cs="Calibri"/>
              </w:rPr>
            </w:pPr>
            <w:r w:rsidRPr="00DD47DF">
              <w:rPr>
                <w:rFonts w:cs="Calibri"/>
              </w:rPr>
              <w:t>30500</w:t>
            </w:r>
          </w:p>
        </w:tc>
        <w:tc>
          <w:tcPr>
            <w:tcW w:w="0" w:type="auto"/>
            <w:tcBorders>
              <w:top w:val="single" w:sz="4" w:space="0" w:color="000000"/>
              <w:left w:val="single" w:sz="4" w:space="0" w:color="000000"/>
              <w:bottom w:val="single" w:sz="4" w:space="0" w:color="000000"/>
              <w:right w:val="single" w:sz="4" w:space="0" w:color="000000"/>
            </w:tcBorders>
            <w:vAlign w:val="center"/>
          </w:tcPr>
          <w:p w14:paraId="7B3D7089" w14:textId="77777777" w:rsidR="00B30324" w:rsidRPr="00DD47DF" w:rsidRDefault="00D4415B" w:rsidP="008F41A1">
            <w:pPr>
              <w:pStyle w:val="Tabulka"/>
              <w:keepLines/>
              <w:jc w:val="left"/>
              <w:rPr>
                <w:rFonts w:cs="Calibri"/>
              </w:rPr>
            </w:pPr>
            <w:r w:rsidRPr="00DD47DF">
              <w:rPr>
                <w:rFonts w:cs="Calibri"/>
              </w:rPr>
              <w:t>Počet pořízených informačních systémů</w:t>
            </w:r>
          </w:p>
        </w:tc>
        <w:tc>
          <w:tcPr>
            <w:tcW w:w="0" w:type="auto"/>
            <w:tcBorders>
              <w:top w:val="single" w:sz="4" w:space="0" w:color="000000"/>
              <w:left w:val="single" w:sz="4" w:space="0" w:color="000000"/>
              <w:bottom w:val="single" w:sz="4" w:space="0" w:color="000000"/>
              <w:right w:val="single" w:sz="4" w:space="0" w:color="000000"/>
            </w:tcBorders>
            <w:vAlign w:val="center"/>
          </w:tcPr>
          <w:p w14:paraId="7F133BAD" w14:textId="77777777" w:rsidR="00B30324" w:rsidRPr="00DD47DF" w:rsidRDefault="006E5BDD" w:rsidP="00B30324">
            <w:pPr>
              <w:pStyle w:val="Tabulka"/>
              <w:rPr>
                <w:rFonts w:cs="Calibri"/>
              </w:rPr>
            </w:pPr>
            <w:r w:rsidRPr="00DD47DF">
              <w:rPr>
                <w:rFonts w:cs="Calibri"/>
              </w:rPr>
              <w:t>Počet IS</w:t>
            </w:r>
          </w:p>
        </w:tc>
        <w:tc>
          <w:tcPr>
            <w:tcW w:w="0" w:type="auto"/>
            <w:tcBorders>
              <w:top w:val="single" w:sz="4" w:space="0" w:color="000000"/>
              <w:left w:val="single" w:sz="4" w:space="0" w:color="000000"/>
              <w:bottom w:val="single" w:sz="4" w:space="0" w:color="000000"/>
              <w:right w:val="single" w:sz="4" w:space="0" w:color="000000"/>
            </w:tcBorders>
            <w:vAlign w:val="center"/>
          </w:tcPr>
          <w:p w14:paraId="1FE566D8" w14:textId="77777777" w:rsidR="00B30324" w:rsidRPr="00DD47DF" w:rsidRDefault="00B30324"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3EA71DD9" w14:textId="77777777" w:rsidR="00B30324" w:rsidRPr="00DD47DF" w:rsidRDefault="00B30324"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2C30DC35" w14:textId="77777777" w:rsidR="00B30324" w:rsidRPr="00DD47DF" w:rsidRDefault="001122AC" w:rsidP="00B22DB8">
            <w:pPr>
              <w:pStyle w:val="Tabulka"/>
              <w:rPr>
                <w:rFonts w:cs="Calibri"/>
              </w:rPr>
            </w:pPr>
            <w:r w:rsidRPr="00DD47DF">
              <w:rPr>
                <w:rFonts w:cs="Calibri"/>
              </w:rPr>
              <w:t>572</w:t>
            </w:r>
          </w:p>
        </w:tc>
        <w:tc>
          <w:tcPr>
            <w:tcW w:w="715" w:type="dxa"/>
            <w:tcBorders>
              <w:top w:val="single" w:sz="4" w:space="0" w:color="000000"/>
              <w:left w:val="single" w:sz="4" w:space="0" w:color="000000"/>
              <w:bottom w:val="single" w:sz="4" w:space="0" w:color="000000"/>
              <w:right w:val="single" w:sz="4" w:space="0" w:color="000000"/>
            </w:tcBorders>
            <w:vAlign w:val="center"/>
          </w:tcPr>
          <w:p w14:paraId="697CB6F1" w14:textId="77777777" w:rsidR="00B30324" w:rsidRPr="00DD47DF" w:rsidRDefault="00931CEE" w:rsidP="008F41A1">
            <w:pPr>
              <w:pStyle w:val="Tabulka"/>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708325A6" w14:textId="77777777" w:rsidR="00B30324" w:rsidRPr="00DD47DF" w:rsidRDefault="005739BE" w:rsidP="008F41A1">
            <w:pPr>
              <w:pStyle w:val="Tabulka"/>
              <w:keepLines/>
              <w:rPr>
                <w:rFonts w:cs="Calibri"/>
              </w:rPr>
            </w:pPr>
            <w:r>
              <w:rPr>
                <w:rFonts w:cs="Calibri"/>
              </w:rPr>
              <w:t>průběžně</w:t>
            </w:r>
          </w:p>
        </w:tc>
      </w:tr>
    </w:tbl>
    <w:p w14:paraId="56D6EEBD" w14:textId="77777777" w:rsidR="002E1C78" w:rsidRPr="00DD47DF" w:rsidRDefault="00AC6E26" w:rsidP="00DA3512">
      <w:pPr>
        <w:pStyle w:val="kapitola2A0"/>
        <w:numPr>
          <w:ilvl w:val="2"/>
          <w:numId w:val="69"/>
        </w:numPr>
      </w:pPr>
      <w:bookmarkStart w:id="99" w:name="_Toc506885041"/>
      <w:r w:rsidRPr="00DD47DF">
        <w:t>Sociální inovace, nadnárodní spolupráce a přínos k tematickým cílům 1 až 7</w:t>
      </w:r>
      <w:bookmarkEnd w:id="99"/>
      <w:r w:rsidR="002E1C78" w:rsidRPr="00DD47DF">
        <w:t xml:space="preserve"> </w:t>
      </w:r>
    </w:p>
    <w:p w14:paraId="0E91A281" w14:textId="77777777" w:rsidR="004126CC" w:rsidRPr="00DD47DF" w:rsidRDefault="006B6307" w:rsidP="008A5FCE">
      <w:pPr>
        <w:pStyle w:val="Standardntext"/>
        <w:sectPr w:rsidR="004126CC" w:rsidRPr="00DD47DF" w:rsidSect="004126CC">
          <w:headerReference w:type="default" r:id="rId41"/>
          <w:footerReference w:type="default" r:id="rId42"/>
          <w:pgSz w:w="11906" w:h="16838"/>
          <w:pgMar w:top="1418" w:right="1276" w:bottom="1276" w:left="1418" w:header="709" w:footer="709" w:gutter="0"/>
          <w:cols w:space="708"/>
          <w:docGrid w:linePitch="272"/>
        </w:sectPr>
      </w:pPr>
      <w:r w:rsidRPr="00DD47DF">
        <w:t>Není relevantní pro OP PIK.</w:t>
      </w:r>
    </w:p>
    <w:p w14:paraId="0413DA2D" w14:textId="77777777" w:rsidR="002E1C78" w:rsidRPr="00DD47DF" w:rsidRDefault="00AC6E26" w:rsidP="00DA3512">
      <w:pPr>
        <w:pStyle w:val="kapitola2A0"/>
        <w:numPr>
          <w:ilvl w:val="2"/>
          <w:numId w:val="69"/>
        </w:numPr>
      </w:pPr>
      <w:bookmarkStart w:id="100" w:name="_Toc506885042"/>
      <w:r w:rsidRPr="00DD47DF">
        <w:lastRenderedPageBreak/>
        <w:t>Výkonnostní rámec</w:t>
      </w:r>
      <w:bookmarkEnd w:id="100"/>
    </w:p>
    <w:p w14:paraId="08A5A361" w14:textId="77777777" w:rsidR="002E1C78" w:rsidRPr="00DD47DF" w:rsidRDefault="002E1C78" w:rsidP="006F258E">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6</w:t>
      </w:r>
      <w:r w:rsidR="002756E7" w:rsidRPr="00DD47DF">
        <w:rPr>
          <w:noProof/>
        </w:rPr>
        <w:fldChar w:fldCharType="end"/>
      </w:r>
      <w:r w:rsidRPr="00DD47DF">
        <w:t xml:space="preserve">: </w:t>
      </w:r>
      <w:r w:rsidR="00AC6E26" w:rsidRPr="00DD47DF">
        <w:t>Výkonnostní rámec prioritní osy</w:t>
      </w:r>
      <w:r w:rsidRPr="00DD47DF">
        <w:t xml:space="preserve"> </w:t>
      </w:r>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590"/>
        <w:gridCol w:w="799"/>
        <w:gridCol w:w="1420"/>
        <w:gridCol w:w="1409"/>
        <w:gridCol w:w="767"/>
        <w:gridCol w:w="1145"/>
        <w:gridCol w:w="1261"/>
        <w:gridCol w:w="1356"/>
        <w:gridCol w:w="997"/>
        <w:gridCol w:w="2632"/>
      </w:tblGrid>
      <w:tr w:rsidR="00E84B36" w:rsidRPr="00DD47DF" w14:paraId="6E630A11" w14:textId="77777777">
        <w:tc>
          <w:tcPr>
            <w:tcW w:w="0" w:type="auto"/>
            <w:shd w:val="clear" w:color="auto" w:fill="B8CCE4"/>
            <w:vAlign w:val="center"/>
          </w:tcPr>
          <w:p w14:paraId="55796819" w14:textId="77777777" w:rsidR="00AE32DE" w:rsidRPr="00DD47DF" w:rsidRDefault="00AE32DE" w:rsidP="00E84B36">
            <w:pPr>
              <w:pStyle w:val="Tabulka"/>
              <w:keepNext/>
              <w:keepLines/>
              <w:rPr>
                <w:rFonts w:cs="Calibri"/>
                <w:b/>
              </w:rPr>
            </w:pPr>
            <w:r w:rsidRPr="00DD47DF">
              <w:rPr>
                <w:rFonts w:cs="Calibri"/>
                <w:b/>
              </w:rPr>
              <w:t>Prioritní osa</w:t>
            </w:r>
          </w:p>
        </w:tc>
        <w:tc>
          <w:tcPr>
            <w:tcW w:w="1684" w:type="dxa"/>
            <w:shd w:val="clear" w:color="auto" w:fill="B8CCE4"/>
            <w:vAlign w:val="center"/>
          </w:tcPr>
          <w:p w14:paraId="2D9B7933" w14:textId="77777777" w:rsidR="00AE32DE" w:rsidRPr="00DD47DF" w:rsidRDefault="00AE32DE" w:rsidP="00E84B36">
            <w:pPr>
              <w:pStyle w:val="Tabulka"/>
              <w:keepNext/>
              <w:keepLines/>
              <w:rPr>
                <w:rFonts w:cs="Calibri"/>
                <w:b/>
              </w:rPr>
            </w:pPr>
            <w:r w:rsidRPr="00DD47DF">
              <w:rPr>
                <w:rFonts w:cs="Calibri"/>
                <w:b/>
              </w:rPr>
              <w:t>Typ ukazatele</w:t>
            </w:r>
          </w:p>
          <w:p w14:paraId="40856581" w14:textId="77777777" w:rsidR="00AE32DE" w:rsidRPr="00DD47DF" w:rsidRDefault="00AE32DE" w:rsidP="00E84B36">
            <w:pPr>
              <w:pStyle w:val="Tabulka"/>
              <w:keepNext/>
              <w:keepLines/>
              <w:rPr>
                <w:rFonts w:cs="Calibri"/>
                <w:b/>
              </w:rPr>
            </w:pPr>
            <w:r w:rsidRPr="00DD47DF">
              <w:rPr>
                <w:rFonts w:cs="Calibri"/>
                <w:b/>
              </w:rPr>
              <w:t>(klíčový krok provádění, finanční výstup nebo popřípadě ukazatel výsledků)</w:t>
            </w:r>
          </w:p>
        </w:tc>
        <w:tc>
          <w:tcPr>
            <w:tcW w:w="554" w:type="dxa"/>
            <w:shd w:val="clear" w:color="auto" w:fill="B8CCE4"/>
            <w:vAlign w:val="center"/>
          </w:tcPr>
          <w:p w14:paraId="5893E6BF" w14:textId="77777777" w:rsidR="00AE32DE" w:rsidRPr="00DD47DF" w:rsidRDefault="00AE32DE" w:rsidP="00E84B36">
            <w:pPr>
              <w:pStyle w:val="Tabulka"/>
              <w:keepNext/>
              <w:keepLines/>
              <w:rPr>
                <w:rFonts w:cs="Calibri"/>
                <w:b/>
              </w:rPr>
            </w:pPr>
            <w:r w:rsidRPr="00DD47DF">
              <w:rPr>
                <w:rFonts w:cs="Calibri"/>
                <w:b/>
              </w:rPr>
              <w:t>ID</w:t>
            </w:r>
          </w:p>
        </w:tc>
        <w:tc>
          <w:tcPr>
            <w:tcW w:w="1429" w:type="dxa"/>
            <w:shd w:val="clear" w:color="auto" w:fill="B8CCE4"/>
            <w:tcMar>
              <w:top w:w="0" w:type="dxa"/>
              <w:left w:w="108" w:type="dxa"/>
              <w:bottom w:w="0" w:type="dxa"/>
              <w:right w:w="108" w:type="dxa"/>
            </w:tcMar>
            <w:vAlign w:val="center"/>
          </w:tcPr>
          <w:p w14:paraId="3D0801E8" w14:textId="77777777" w:rsidR="00AE32DE" w:rsidRPr="00DD47DF" w:rsidRDefault="00AE32DE" w:rsidP="00E84B36">
            <w:pPr>
              <w:pStyle w:val="Tabulka"/>
              <w:keepNext/>
              <w:keepLines/>
              <w:rPr>
                <w:rFonts w:cs="Calibri"/>
                <w:b/>
              </w:rPr>
            </w:pPr>
            <w:r w:rsidRPr="00DD47DF">
              <w:rPr>
                <w:rFonts w:cs="Calibri"/>
                <w:b/>
              </w:rPr>
              <w:t>Ukazatel nebo klíčový krok provádění</w:t>
            </w:r>
          </w:p>
        </w:tc>
        <w:tc>
          <w:tcPr>
            <w:tcW w:w="1418" w:type="dxa"/>
            <w:shd w:val="clear" w:color="auto" w:fill="B8CCE4"/>
            <w:tcMar>
              <w:top w:w="0" w:type="dxa"/>
              <w:left w:w="108" w:type="dxa"/>
              <w:bottom w:w="0" w:type="dxa"/>
              <w:right w:w="108" w:type="dxa"/>
            </w:tcMar>
            <w:vAlign w:val="center"/>
          </w:tcPr>
          <w:p w14:paraId="773DF6EC" w14:textId="77777777" w:rsidR="00AE32DE" w:rsidRPr="00DD47DF" w:rsidRDefault="00AE32DE" w:rsidP="00E84B36">
            <w:pPr>
              <w:pStyle w:val="Tabulka"/>
              <w:keepNext/>
              <w:keepLines/>
              <w:rPr>
                <w:rFonts w:cs="Calibri"/>
                <w:b/>
              </w:rPr>
            </w:pPr>
            <w:r w:rsidRPr="00DD47DF">
              <w:rPr>
                <w:rFonts w:cs="Calibri"/>
                <w:b/>
              </w:rPr>
              <w:t>Měrná jednotka (použije-li se)</w:t>
            </w:r>
          </w:p>
        </w:tc>
        <w:tc>
          <w:tcPr>
            <w:tcW w:w="767" w:type="dxa"/>
            <w:shd w:val="clear" w:color="auto" w:fill="B8CCE4"/>
            <w:tcMar>
              <w:top w:w="0" w:type="dxa"/>
              <w:left w:w="108" w:type="dxa"/>
              <w:bottom w:w="0" w:type="dxa"/>
              <w:right w:w="108" w:type="dxa"/>
            </w:tcMar>
            <w:vAlign w:val="center"/>
          </w:tcPr>
          <w:p w14:paraId="1F36AD2E" w14:textId="77777777" w:rsidR="00AE32DE" w:rsidRPr="00DD47DF" w:rsidRDefault="00AE32DE" w:rsidP="00E84B36">
            <w:pPr>
              <w:pStyle w:val="Tabulka"/>
              <w:keepNext/>
              <w:keepLines/>
              <w:rPr>
                <w:rFonts w:cs="Calibri"/>
                <w:b/>
              </w:rPr>
            </w:pPr>
            <w:r w:rsidRPr="00DD47DF">
              <w:rPr>
                <w:rFonts w:cs="Calibri"/>
                <w:b/>
              </w:rPr>
              <w:t>Fond</w:t>
            </w:r>
          </w:p>
        </w:tc>
        <w:tc>
          <w:tcPr>
            <w:tcW w:w="1145" w:type="dxa"/>
            <w:shd w:val="clear" w:color="auto" w:fill="B8CCE4"/>
            <w:tcMar>
              <w:top w:w="0" w:type="dxa"/>
              <w:left w:w="108" w:type="dxa"/>
              <w:bottom w:w="0" w:type="dxa"/>
              <w:right w:w="108" w:type="dxa"/>
            </w:tcMar>
            <w:vAlign w:val="center"/>
          </w:tcPr>
          <w:p w14:paraId="0F9E717D" w14:textId="77777777" w:rsidR="00AE32DE" w:rsidRPr="00DD47DF" w:rsidRDefault="00AE32DE" w:rsidP="00E84B36">
            <w:pPr>
              <w:pStyle w:val="Tabulka"/>
              <w:keepNext/>
              <w:keepLines/>
              <w:rPr>
                <w:rFonts w:cs="Calibri"/>
                <w:b/>
              </w:rPr>
            </w:pPr>
            <w:r w:rsidRPr="00DD47DF">
              <w:rPr>
                <w:rFonts w:cs="Calibri"/>
                <w:b/>
              </w:rPr>
              <w:t>Kategorie regionů</w:t>
            </w:r>
          </w:p>
        </w:tc>
        <w:tc>
          <w:tcPr>
            <w:tcW w:w="1348" w:type="dxa"/>
            <w:shd w:val="clear" w:color="auto" w:fill="B8CCE4"/>
            <w:vAlign w:val="center"/>
          </w:tcPr>
          <w:p w14:paraId="4C748F97" w14:textId="77777777" w:rsidR="00AE32DE" w:rsidRPr="00DD47DF" w:rsidRDefault="00AE32DE" w:rsidP="00E84B36">
            <w:pPr>
              <w:pStyle w:val="Tabulka"/>
              <w:keepNext/>
              <w:keepLines/>
              <w:rPr>
                <w:rFonts w:cs="Calibri"/>
                <w:b/>
              </w:rPr>
            </w:pPr>
            <w:r w:rsidRPr="00DD47DF">
              <w:rPr>
                <w:rFonts w:cs="Calibri"/>
                <w:b/>
              </w:rPr>
              <w:t>Milník pro rok 2018</w:t>
            </w:r>
          </w:p>
        </w:tc>
        <w:tc>
          <w:tcPr>
            <w:tcW w:w="1418" w:type="dxa"/>
            <w:shd w:val="clear" w:color="auto" w:fill="B8CCE4"/>
            <w:tcMar>
              <w:top w:w="0" w:type="dxa"/>
              <w:left w:w="108" w:type="dxa"/>
              <w:bottom w:w="0" w:type="dxa"/>
              <w:right w:w="108" w:type="dxa"/>
            </w:tcMar>
            <w:vAlign w:val="center"/>
          </w:tcPr>
          <w:p w14:paraId="2EB58320" w14:textId="77777777" w:rsidR="00AE32DE" w:rsidRPr="00DD47DF" w:rsidRDefault="00AE32DE" w:rsidP="00E84B36">
            <w:pPr>
              <w:pStyle w:val="Tabulka"/>
              <w:keepNext/>
              <w:keepLines/>
              <w:rPr>
                <w:rFonts w:cs="Calibri"/>
                <w:b/>
              </w:rPr>
            </w:pPr>
            <w:r w:rsidRPr="00DD47DF">
              <w:rPr>
                <w:rFonts w:cs="Calibri"/>
                <w:b/>
              </w:rPr>
              <w:t>Konečný cíl (2023)</w:t>
            </w:r>
          </w:p>
        </w:tc>
        <w:tc>
          <w:tcPr>
            <w:tcW w:w="708" w:type="dxa"/>
            <w:shd w:val="clear" w:color="auto" w:fill="B8CCE4"/>
            <w:vAlign w:val="center"/>
          </w:tcPr>
          <w:p w14:paraId="0474325A" w14:textId="77777777" w:rsidR="00AE32DE" w:rsidRPr="00DD47DF" w:rsidRDefault="00AE32DE" w:rsidP="00E84B36">
            <w:pPr>
              <w:pStyle w:val="Tabulka"/>
              <w:keepNext/>
              <w:keepLines/>
              <w:rPr>
                <w:rFonts w:cs="Calibri"/>
                <w:b/>
              </w:rPr>
            </w:pPr>
            <w:r w:rsidRPr="00DD47DF">
              <w:rPr>
                <w:rFonts w:cs="Calibri"/>
                <w:b/>
              </w:rPr>
              <w:t>Zdroj dat</w:t>
            </w:r>
          </w:p>
        </w:tc>
        <w:tc>
          <w:tcPr>
            <w:tcW w:w="2861" w:type="dxa"/>
            <w:shd w:val="clear" w:color="auto" w:fill="B8CCE4"/>
            <w:vAlign w:val="center"/>
          </w:tcPr>
          <w:p w14:paraId="78BC645C" w14:textId="77777777" w:rsidR="00AE32DE" w:rsidRPr="00DD47DF" w:rsidRDefault="00AE32DE" w:rsidP="00E84B36">
            <w:pPr>
              <w:pStyle w:val="Tabulka"/>
              <w:keepNext/>
              <w:keepLines/>
              <w:rPr>
                <w:rFonts w:cs="Calibri"/>
                <w:b/>
              </w:rPr>
            </w:pPr>
            <w:r w:rsidRPr="00DD47DF">
              <w:rPr>
                <w:rFonts w:cs="Calibri"/>
                <w:b/>
              </w:rPr>
              <w:t>Popřípadě vysvětlení relevantnosti ukazatele</w:t>
            </w:r>
          </w:p>
        </w:tc>
      </w:tr>
      <w:tr w:rsidR="00E84B36" w:rsidRPr="00DD47DF" w14:paraId="25D74280" w14:textId="77777777">
        <w:trPr>
          <w:trHeight w:val="938"/>
        </w:trPr>
        <w:tc>
          <w:tcPr>
            <w:tcW w:w="0" w:type="auto"/>
            <w:vAlign w:val="center"/>
          </w:tcPr>
          <w:p w14:paraId="688616B3" w14:textId="77777777" w:rsidR="00AE32DE" w:rsidRPr="00DD47DF" w:rsidRDefault="00AE32DE" w:rsidP="00E84B36">
            <w:pPr>
              <w:pStyle w:val="Tabulka"/>
              <w:rPr>
                <w:rFonts w:cs="Calibri"/>
              </w:rPr>
            </w:pPr>
            <w:r w:rsidRPr="00DD47DF">
              <w:rPr>
                <w:rFonts w:cs="Calibri"/>
              </w:rPr>
              <w:t>PO 4</w:t>
            </w:r>
          </w:p>
        </w:tc>
        <w:tc>
          <w:tcPr>
            <w:tcW w:w="1684" w:type="dxa"/>
            <w:vAlign w:val="center"/>
          </w:tcPr>
          <w:p w14:paraId="7B21B9D9" w14:textId="77777777" w:rsidR="00AE32DE" w:rsidRPr="00DD47DF" w:rsidRDefault="00AE32DE" w:rsidP="00E84B36">
            <w:pPr>
              <w:pStyle w:val="Tabulka"/>
              <w:rPr>
                <w:rFonts w:cs="Calibri"/>
              </w:rPr>
            </w:pPr>
            <w:r w:rsidRPr="00DD47DF">
              <w:rPr>
                <w:rFonts w:cs="Calibri"/>
              </w:rPr>
              <w:t>finanční</w:t>
            </w:r>
          </w:p>
        </w:tc>
        <w:tc>
          <w:tcPr>
            <w:tcW w:w="554" w:type="dxa"/>
            <w:vAlign w:val="center"/>
          </w:tcPr>
          <w:p w14:paraId="57E3BE74" w14:textId="77777777" w:rsidR="00AE32DE" w:rsidRPr="00DD47DF" w:rsidRDefault="00A6082B" w:rsidP="00E84B36">
            <w:pPr>
              <w:pStyle w:val="Tabulka"/>
              <w:rPr>
                <w:rFonts w:cs="Calibri"/>
              </w:rPr>
            </w:pPr>
            <w:r w:rsidRPr="00DD47DF">
              <w:rPr>
                <w:rFonts w:cs="Calibri"/>
              </w:rPr>
              <w:t>FINMT</w:t>
            </w:r>
          </w:p>
        </w:tc>
        <w:tc>
          <w:tcPr>
            <w:tcW w:w="1429" w:type="dxa"/>
            <w:shd w:val="clear" w:color="auto" w:fill="auto"/>
            <w:tcMar>
              <w:top w:w="0" w:type="dxa"/>
              <w:left w:w="108" w:type="dxa"/>
              <w:bottom w:w="0" w:type="dxa"/>
              <w:right w:w="108" w:type="dxa"/>
            </w:tcMar>
            <w:vAlign w:val="center"/>
          </w:tcPr>
          <w:p w14:paraId="570E5576" w14:textId="77777777" w:rsidR="00AE32DE" w:rsidRPr="00DD47DF" w:rsidRDefault="003D1BB3" w:rsidP="00E84B36">
            <w:pPr>
              <w:pStyle w:val="Tabulka"/>
              <w:rPr>
                <w:rFonts w:cs="Calibri"/>
              </w:rPr>
            </w:pPr>
            <w:r w:rsidRPr="00DD47DF">
              <w:rPr>
                <w:rFonts w:cs="Calibri"/>
              </w:rPr>
              <w:t>Celkové způsobilé certifikované finanční prostředky</w:t>
            </w:r>
          </w:p>
        </w:tc>
        <w:tc>
          <w:tcPr>
            <w:tcW w:w="1418" w:type="dxa"/>
            <w:shd w:val="clear" w:color="auto" w:fill="auto"/>
            <w:tcMar>
              <w:top w:w="0" w:type="dxa"/>
              <w:left w:w="108" w:type="dxa"/>
              <w:bottom w:w="0" w:type="dxa"/>
              <w:right w:w="108" w:type="dxa"/>
            </w:tcMar>
            <w:vAlign w:val="center"/>
          </w:tcPr>
          <w:p w14:paraId="5BF16A3B" w14:textId="77777777" w:rsidR="00AE32DE" w:rsidRPr="00DD47DF" w:rsidRDefault="00AE32DE" w:rsidP="00E84B36">
            <w:pPr>
              <w:pStyle w:val="Tabulka"/>
              <w:rPr>
                <w:rFonts w:cs="Calibri"/>
              </w:rPr>
            </w:pPr>
            <w:r w:rsidRPr="00DD47DF">
              <w:rPr>
                <w:rFonts w:cs="Calibri"/>
              </w:rPr>
              <w:t>EUR</w:t>
            </w:r>
          </w:p>
        </w:tc>
        <w:tc>
          <w:tcPr>
            <w:tcW w:w="767" w:type="dxa"/>
            <w:shd w:val="clear" w:color="auto" w:fill="auto"/>
            <w:tcMar>
              <w:top w:w="0" w:type="dxa"/>
              <w:left w:w="108" w:type="dxa"/>
              <w:bottom w:w="0" w:type="dxa"/>
              <w:right w:w="108" w:type="dxa"/>
            </w:tcMar>
            <w:vAlign w:val="center"/>
          </w:tcPr>
          <w:p w14:paraId="57853585" w14:textId="77777777" w:rsidR="00AE32DE" w:rsidRPr="00DD47DF" w:rsidRDefault="00AE32DE" w:rsidP="00E84B36">
            <w:pPr>
              <w:pStyle w:val="Tabulka"/>
              <w:rPr>
                <w:rFonts w:cs="Calibri"/>
              </w:rPr>
            </w:pPr>
            <w:r w:rsidRPr="00DD47DF">
              <w:rPr>
                <w:rFonts w:cs="Calibri"/>
              </w:rPr>
              <w:t>EFRR</w:t>
            </w:r>
          </w:p>
        </w:tc>
        <w:tc>
          <w:tcPr>
            <w:tcW w:w="1145" w:type="dxa"/>
            <w:shd w:val="clear" w:color="auto" w:fill="auto"/>
            <w:tcMar>
              <w:top w:w="0" w:type="dxa"/>
              <w:left w:w="108" w:type="dxa"/>
              <w:bottom w:w="0" w:type="dxa"/>
              <w:right w:w="108" w:type="dxa"/>
            </w:tcMar>
            <w:vAlign w:val="center"/>
          </w:tcPr>
          <w:p w14:paraId="2C631239" w14:textId="77777777" w:rsidR="00AE32DE" w:rsidRPr="00DD47DF" w:rsidRDefault="00AE32DE" w:rsidP="00E84B36">
            <w:pPr>
              <w:pStyle w:val="Tabulka"/>
              <w:rPr>
                <w:rFonts w:cs="Calibri"/>
              </w:rPr>
            </w:pPr>
            <w:r w:rsidRPr="00DD47DF">
              <w:rPr>
                <w:rFonts w:cs="Calibri"/>
              </w:rPr>
              <w:t>Méně rozvinuté regiony</w:t>
            </w:r>
          </w:p>
        </w:tc>
        <w:tc>
          <w:tcPr>
            <w:tcW w:w="1348" w:type="dxa"/>
            <w:vAlign w:val="center"/>
          </w:tcPr>
          <w:p w14:paraId="6FBEE58D" w14:textId="77777777" w:rsidR="00AE32DE" w:rsidRPr="00DD47DF" w:rsidRDefault="00761352" w:rsidP="00E84B36">
            <w:pPr>
              <w:pStyle w:val="Tabulka"/>
              <w:rPr>
                <w:rFonts w:cs="Calibri"/>
              </w:rPr>
            </w:pPr>
            <w:r w:rsidRPr="00DD47DF">
              <w:rPr>
                <w:rFonts w:cs="Calibri"/>
              </w:rPr>
              <w:t>3</w:t>
            </w:r>
            <w:r w:rsidR="00CC653D" w:rsidRPr="00DD47DF">
              <w:rPr>
                <w:rFonts w:cs="Calibri"/>
              </w:rPr>
              <w:t>1</w:t>
            </w:r>
            <w:r w:rsidRPr="00DD47DF">
              <w:rPr>
                <w:rFonts w:cs="Calibri"/>
              </w:rPr>
              <w:t>0</w:t>
            </w:r>
            <w:r w:rsidR="007D7CAF" w:rsidRPr="00DD47DF">
              <w:rPr>
                <w:rFonts w:cs="Calibri"/>
              </w:rPr>
              <w:t> 000 000</w:t>
            </w:r>
          </w:p>
        </w:tc>
        <w:tc>
          <w:tcPr>
            <w:tcW w:w="1418" w:type="dxa"/>
            <w:shd w:val="clear" w:color="auto" w:fill="auto"/>
            <w:tcMar>
              <w:top w:w="0" w:type="dxa"/>
              <w:left w:w="108" w:type="dxa"/>
              <w:bottom w:w="0" w:type="dxa"/>
              <w:right w:w="108" w:type="dxa"/>
            </w:tcMar>
            <w:vAlign w:val="center"/>
          </w:tcPr>
          <w:p w14:paraId="0979520E" w14:textId="15E458BC" w:rsidR="00AE32DE" w:rsidRPr="00DD47DF" w:rsidRDefault="00A7041A" w:rsidP="00E84B36">
            <w:pPr>
              <w:pStyle w:val="Tabulka"/>
              <w:rPr>
                <w:rFonts w:cs="Calibri"/>
              </w:rPr>
            </w:pPr>
            <w:r w:rsidRPr="00700E39">
              <w:t>1 141 012 312</w:t>
            </w:r>
          </w:p>
        </w:tc>
        <w:tc>
          <w:tcPr>
            <w:tcW w:w="708" w:type="dxa"/>
            <w:vAlign w:val="center"/>
          </w:tcPr>
          <w:p w14:paraId="0E4D9212" w14:textId="77777777" w:rsidR="00AE32DE" w:rsidRPr="00DD47DF" w:rsidRDefault="00EC50F2" w:rsidP="00E84B36">
            <w:pPr>
              <w:pStyle w:val="Tabulka"/>
              <w:rPr>
                <w:rFonts w:cs="Calibri"/>
              </w:rPr>
            </w:pPr>
            <w:r w:rsidRPr="00DD47DF">
              <w:rPr>
                <w:rFonts w:cs="Calibri"/>
              </w:rPr>
              <w:t>ŘO</w:t>
            </w:r>
          </w:p>
        </w:tc>
        <w:tc>
          <w:tcPr>
            <w:tcW w:w="2861" w:type="dxa"/>
            <w:vAlign w:val="center"/>
          </w:tcPr>
          <w:p w14:paraId="50E96BBE" w14:textId="77777777" w:rsidR="00AE32DE" w:rsidRPr="00DD47DF" w:rsidRDefault="00336829" w:rsidP="00E84B36">
            <w:pPr>
              <w:pStyle w:val="Tabulka"/>
              <w:rPr>
                <w:rFonts w:cs="Calibri"/>
              </w:rPr>
            </w:pPr>
            <w:r w:rsidRPr="00DD47DF">
              <w:rPr>
                <w:rFonts w:cs="Calibri"/>
              </w:rPr>
              <w:t>Objem celkových způsobilých výdajů zaslaných do účetního systému certifikačního orgánu a certifikovaných</w:t>
            </w:r>
            <w:r w:rsidR="00C70BA9" w:rsidRPr="00DD47DF">
              <w:rPr>
                <w:rFonts w:cs="Calibri"/>
              </w:rPr>
              <w:t xml:space="preserve"> certifikačním orgánem</w:t>
            </w:r>
            <w:r w:rsidRPr="00DD47DF">
              <w:rPr>
                <w:rFonts w:cs="Calibri"/>
              </w:rPr>
              <w:t>.</w:t>
            </w:r>
          </w:p>
        </w:tc>
      </w:tr>
      <w:tr w:rsidR="00E84B36" w:rsidRPr="00DD47DF" w14:paraId="70EF964E" w14:textId="77777777">
        <w:tc>
          <w:tcPr>
            <w:tcW w:w="0" w:type="auto"/>
            <w:vAlign w:val="center"/>
          </w:tcPr>
          <w:p w14:paraId="4E1EE03F" w14:textId="77777777" w:rsidR="00AE32DE" w:rsidRPr="00DD47DF" w:rsidRDefault="00AE32DE" w:rsidP="00E84B36">
            <w:pPr>
              <w:pStyle w:val="Tabulka"/>
              <w:rPr>
                <w:rFonts w:cs="Calibri"/>
              </w:rPr>
            </w:pPr>
            <w:r w:rsidRPr="00DD47DF">
              <w:rPr>
                <w:rFonts w:cs="Calibri"/>
              </w:rPr>
              <w:t>PO 4</w:t>
            </w:r>
          </w:p>
        </w:tc>
        <w:tc>
          <w:tcPr>
            <w:tcW w:w="1684" w:type="dxa"/>
            <w:vAlign w:val="center"/>
          </w:tcPr>
          <w:p w14:paraId="118DB020" w14:textId="77777777" w:rsidR="00AE32DE" w:rsidRPr="00DD47DF" w:rsidRDefault="00AE32DE" w:rsidP="00E84B36">
            <w:pPr>
              <w:pStyle w:val="Tabulka"/>
              <w:rPr>
                <w:rFonts w:cs="Calibri"/>
              </w:rPr>
            </w:pPr>
            <w:r w:rsidRPr="00DD47DF">
              <w:rPr>
                <w:rFonts w:cs="Calibri"/>
              </w:rPr>
              <w:t>výstupový</w:t>
            </w:r>
          </w:p>
        </w:tc>
        <w:tc>
          <w:tcPr>
            <w:tcW w:w="554" w:type="dxa"/>
            <w:vAlign w:val="center"/>
          </w:tcPr>
          <w:p w14:paraId="03AA69EF" w14:textId="28007513" w:rsidR="00AE32DE" w:rsidRPr="00DD47DF" w:rsidRDefault="00C75691" w:rsidP="00E84B36">
            <w:pPr>
              <w:pStyle w:val="Tabulka"/>
              <w:rPr>
                <w:rFonts w:cs="Calibri"/>
              </w:rPr>
            </w:pPr>
            <w:r w:rsidRPr="00DD47DF">
              <w:rPr>
                <w:rFonts w:cs="Calibri"/>
              </w:rPr>
              <w:t xml:space="preserve">CO </w:t>
            </w:r>
            <w:r w:rsidR="001F250D" w:rsidRPr="00DD47DF">
              <w:rPr>
                <w:rFonts w:cs="Calibri"/>
              </w:rPr>
              <w:t>0</w:t>
            </w:r>
            <w:r w:rsidR="003E294F" w:rsidRPr="00DD47DF">
              <w:rPr>
                <w:rFonts w:cs="Calibri"/>
              </w:rPr>
              <w:t>1</w:t>
            </w:r>
          </w:p>
        </w:tc>
        <w:tc>
          <w:tcPr>
            <w:tcW w:w="1429" w:type="dxa"/>
            <w:shd w:val="clear" w:color="auto" w:fill="auto"/>
            <w:tcMar>
              <w:top w:w="0" w:type="dxa"/>
              <w:left w:w="108" w:type="dxa"/>
              <w:bottom w:w="0" w:type="dxa"/>
              <w:right w:w="108" w:type="dxa"/>
            </w:tcMar>
            <w:vAlign w:val="center"/>
          </w:tcPr>
          <w:p w14:paraId="3BAEB30B" w14:textId="77777777" w:rsidR="00AE32DE" w:rsidRPr="00DD47DF" w:rsidRDefault="003E294F" w:rsidP="00E84B36">
            <w:pPr>
              <w:pStyle w:val="Tabulka"/>
              <w:rPr>
                <w:rFonts w:cs="Calibri"/>
              </w:rPr>
            </w:pPr>
            <w:r w:rsidRPr="00DD47DF">
              <w:rPr>
                <w:rFonts w:cs="Calibri"/>
              </w:rPr>
              <w:t>Počet podniků pobírajících podporu</w:t>
            </w:r>
          </w:p>
        </w:tc>
        <w:tc>
          <w:tcPr>
            <w:tcW w:w="1418" w:type="dxa"/>
            <w:shd w:val="clear" w:color="auto" w:fill="auto"/>
            <w:tcMar>
              <w:top w:w="0" w:type="dxa"/>
              <w:left w:w="108" w:type="dxa"/>
              <w:bottom w:w="0" w:type="dxa"/>
              <w:right w:w="108" w:type="dxa"/>
            </w:tcMar>
            <w:vAlign w:val="center"/>
          </w:tcPr>
          <w:p w14:paraId="38176FD5" w14:textId="77777777" w:rsidR="00AE32DE" w:rsidRPr="00DD47DF" w:rsidRDefault="00AE32DE" w:rsidP="00E84B36">
            <w:pPr>
              <w:pStyle w:val="Tabulka"/>
              <w:rPr>
                <w:rFonts w:cs="Calibri"/>
              </w:rPr>
            </w:pPr>
            <w:r w:rsidRPr="00DD47DF">
              <w:rPr>
                <w:rFonts w:cs="Calibri"/>
              </w:rPr>
              <w:t>Počet podpořených firem dle IČO</w:t>
            </w:r>
          </w:p>
        </w:tc>
        <w:tc>
          <w:tcPr>
            <w:tcW w:w="767" w:type="dxa"/>
            <w:shd w:val="clear" w:color="auto" w:fill="auto"/>
            <w:tcMar>
              <w:top w:w="0" w:type="dxa"/>
              <w:left w:w="108" w:type="dxa"/>
              <w:bottom w:w="0" w:type="dxa"/>
              <w:right w:w="108" w:type="dxa"/>
            </w:tcMar>
            <w:vAlign w:val="center"/>
          </w:tcPr>
          <w:p w14:paraId="762A191D" w14:textId="77777777" w:rsidR="00AE32DE" w:rsidRPr="00DD47DF" w:rsidRDefault="00AE32DE" w:rsidP="00E84B36">
            <w:pPr>
              <w:pStyle w:val="Tabulka"/>
              <w:rPr>
                <w:rFonts w:cs="Calibri"/>
              </w:rPr>
            </w:pPr>
            <w:r w:rsidRPr="00DD47DF">
              <w:rPr>
                <w:rFonts w:cs="Calibri"/>
              </w:rPr>
              <w:t>EFRR</w:t>
            </w:r>
          </w:p>
        </w:tc>
        <w:tc>
          <w:tcPr>
            <w:tcW w:w="1145" w:type="dxa"/>
            <w:shd w:val="clear" w:color="auto" w:fill="auto"/>
            <w:tcMar>
              <w:top w:w="0" w:type="dxa"/>
              <w:left w:w="108" w:type="dxa"/>
              <w:bottom w:w="0" w:type="dxa"/>
              <w:right w:w="108" w:type="dxa"/>
            </w:tcMar>
            <w:vAlign w:val="center"/>
          </w:tcPr>
          <w:p w14:paraId="48126C77" w14:textId="77777777" w:rsidR="00AE32DE" w:rsidRPr="00DD47DF" w:rsidRDefault="00AE32DE" w:rsidP="00E84B36">
            <w:pPr>
              <w:pStyle w:val="Tabulka"/>
              <w:rPr>
                <w:rFonts w:cs="Calibri"/>
              </w:rPr>
            </w:pPr>
            <w:r w:rsidRPr="00DD47DF">
              <w:rPr>
                <w:rFonts w:cs="Calibri"/>
              </w:rPr>
              <w:t>Méně rozvinuté regiony</w:t>
            </w:r>
          </w:p>
        </w:tc>
        <w:tc>
          <w:tcPr>
            <w:tcW w:w="1348" w:type="dxa"/>
            <w:vAlign w:val="center"/>
          </w:tcPr>
          <w:p w14:paraId="05D7DFAF" w14:textId="77777777" w:rsidR="00AE32DE" w:rsidRPr="00DD47DF" w:rsidRDefault="00E26530" w:rsidP="00E84B36">
            <w:pPr>
              <w:pStyle w:val="Tabulka"/>
              <w:rPr>
                <w:rFonts w:cs="Calibri"/>
              </w:rPr>
            </w:pPr>
            <w:r w:rsidRPr="00DD47DF">
              <w:rPr>
                <w:rFonts w:cs="Calibri"/>
              </w:rPr>
              <w:t>20</w:t>
            </w:r>
            <w:r w:rsidR="002124D7" w:rsidRPr="00DD47DF">
              <w:rPr>
                <w:rFonts w:cs="Calibri"/>
              </w:rPr>
              <w:t>0</w:t>
            </w:r>
          </w:p>
        </w:tc>
        <w:tc>
          <w:tcPr>
            <w:tcW w:w="1418" w:type="dxa"/>
            <w:shd w:val="clear" w:color="auto" w:fill="auto"/>
            <w:tcMar>
              <w:top w:w="0" w:type="dxa"/>
              <w:left w:w="108" w:type="dxa"/>
              <w:bottom w:w="0" w:type="dxa"/>
              <w:right w:w="108" w:type="dxa"/>
            </w:tcMar>
            <w:vAlign w:val="center"/>
          </w:tcPr>
          <w:p w14:paraId="45ACF6DE" w14:textId="77777777" w:rsidR="00AE32DE" w:rsidRPr="00DD47DF" w:rsidRDefault="00E26530" w:rsidP="00DE2376">
            <w:pPr>
              <w:pStyle w:val="Tabulka"/>
              <w:rPr>
                <w:rFonts w:cs="Calibri"/>
              </w:rPr>
            </w:pPr>
            <w:r w:rsidRPr="00DD47DF">
              <w:rPr>
                <w:rFonts w:cs="Calibri"/>
              </w:rPr>
              <w:t>595</w:t>
            </w:r>
            <w:r w:rsidR="00DF1013" w:rsidRPr="00DD47DF">
              <w:rPr>
                <w:rStyle w:val="Znakapoznpodarou"/>
                <w:rFonts w:cs="Calibri"/>
              </w:rPr>
              <w:footnoteReference w:id="75"/>
            </w:r>
          </w:p>
        </w:tc>
        <w:tc>
          <w:tcPr>
            <w:tcW w:w="708" w:type="dxa"/>
            <w:vAlign w:val="center"/>
          </w:tcPr>
          <w:p w14:paraId="178788A1" w14:textId="77777777" w:rsidR="00AE32DE" w:rsidRPr="00DD47DF" w:rsidRDefault="00FC7054" w:rsidP="00E84B36">
            <w:pPr>
              <w:pStyle w:val="Tabulka"/>
              <w:rPr>
                <w:rFonts w:cs="Calibri"/>
              </w:rPr>
            </w:pPr>
            <w:r>
              <w:rPr>
                <w:rFonts w:cs="Calibri"/>
              </w:rPr>
              <w:t>MS2014+</w:t>
            </w:r>
          </w:p>
        </w:tc>
        <w:tc>
          <w:tcPr>
            <w:tcW w:w="2861" w:type="dxa"/>
            <w:vAlign w:val="center"/>
          </w:tcPr>
          <w:p w14:paraId="45914422" w14:textId="77777777" w:rsidR="00AE32DE" w:rsidRPr="00DD47DF" w:rsidRDefault="006C401B" w:rsidP="00DE2376">
            <w:pPr>
              <w:pStyle w:val="Tabulka"/>
              <w:rPr>
                <w:rFonts w:cs="Calibri"/>
              </w:rPr>
            </w:pPr>
            <w:r w:rsidRPr="00DD47DF">
              <w:rPr>
                <w:rFonts w:cs="Calibri"/>
              </w:rPr>
              <w:t>Indikátor sleduje počet</w:t>
            </w:r>
            <w:r w:rsidR="00DE2376" w:rsidRPr="00DD47DF">
              <w:rPr>
                <w:rFonts w:cs="Calibri"/>
              </w:rPr>
              <w:t xml:space="preserve"> </w:t>
            </w:r>
            <w:r w:rsidRPr="00DD47DF">
              <w:rPr>
                <w:rFonts w:cs="Calibri"/>
              </w:rPr>
              <w:t>podpořených firem a pokrývá finančně</w:t>
            </w:r>
            <w:r w:rsidR="00DE2376" w:rsidRPr="00DD47DF">
              <w:rPr>
                <w:rFonts w:cs="Calibri"/>
              </w:rPr>
              <w:t xml:space="preserve"> </w:t>
            </w:r>
            <w:r w:rsidRPr="00DD47DF">
              <w:rPr>
                <w:rFonts w:cs="Calibri"/>
              </w:rPr>
              <w:t>nejobjemnější část intervence</w:t>
            </w:r>
            <w:r w:rsidR="00DE2376" w:rsidRPr="00DD47DF">
              <w:rPr>
                <w:rFonts w:cs="Calibri"/>
              </w:rPr>
              <w:t xml:space="preserve"> </w:t>
            </w:r>
            <w:r w:rsidRPr="00DD47DF">
              <w:rPr>
                <w:rFonts w:cs="Calibri"/>
              </w:rPr>
              <w:t xml:space="preserve">v rámci prioritní osy 4. </w:t>
            </w:r>
            <w:r w:rsidR="00104BB5" w:rsidRPr="00DD47DF">
              <w:rPr>
                <w:rFonts w:cs="Calibri"/>
              </w:rPr>
              <w:t xml:space="preserve">Rozhodujícím okamžikem pro započítání hodnoty milníku bude počet podpořených firem s ukončenou fyzickou </w:t>
            </w:r>
            <w:r w:rsidR="00104BB5" w:rsidRPr="00DD47DF">
              <w:rPr>
                <w:rFonts w:cs="Calibri"/>
              </w:rPr>
              <w:lastRenderedPageBreak/>
              <w:t>realizací tzn. dosažením cílů projektů</w:t>
            </w:r>
            <w:r w:rsidRPr="00DD47DF">
              <w:rPr>
                <w:rFonts w:cs="Calibri"/>
              </w:rPr>
              <w:t>.</w:t>
            </w:r>
          </w:p>
        </w:tc>
      </w:tr>
    </w:tbl>
    <w:p w14:paraId="326612E4" w14:textId="77777777" w:rsidR="00DF1013" w:rsidRPr="00DD47DF" w:rsidRDefault="00DF1013" w:rsidP="00DF1013">
      <w:pPr>
        <w:pStyle w:val="Titulek"/>
      </w:pPr>
      <w:r w:rsidRPr="00DD47DF">
        <w:lastRenderedPageBreak/>
        <w:t>Další kvalitativní informace o stanovení výkonnostního rámce</w:t>
      </w:r>
    </w:p>
    <w:p w14:paraId="10EF85AE" w14:textId="77777777" w:rsidR="00DF1013" w:rsidRPr="00DD47DF" w:rsidRDefault="00DF1013" w:rsidP="00DF1013">
      <w:pPr>
        <w:pStyle w:val="Standardntext"/>
      </w:pPr>
      <w:r w:rsidRPr="00DD47DF">
        <w:t>Pro OP PIK byly stanoveny hodnoty milníků pro rok 2018 a 2023 (finanční ukazatele a „certifikované finanční prostředky“, ukazatele výstupů).</w:t>
      </w:r>
    </w:p>
    <w:p w14:paraId="4FE81750" w14:textId="77777777" w:rsidR="00DF1013" w:rsidRPr="00DD47DF" w:rsidRDefault="00DF1013" w:rsidP="00DF1013">
      <w:pPr>
        <w:pStyle w:val="Standardntext"/>
      </w:pPr>
      <w:r w:rsidRPr="00DD47DF">
        <w:t xml:space="preserve">Při kvantifikaci milníků </w:t>
      </w:r>
      <w:r w:rsidRPr="00DD47DF">
        <w:rPr>
          <w:b/>
          <w:bCs/>
        </w:rPr>
        <w:t>pro rok 2018</w:t>
      </w:r>
      <w:r w:rsidRPr="00DD47DF">
        <w:t xml:space="preserve"> byly zohledněny dále uvedené klíčové předpoklady:</w:t>
      </w:r>
    </w:p>
    <w:p w14:paraId="15D32D42" w14:textId="77777777" w:rsidR="00DF1013" w:rsidRPr="00DD47DF" w:rsidRDefault="00DF1013" w:rsidP="00DA3512">
      <w:pPr>
        <w:pStyle w:val="Standardntext"/>
        <w:numPr>
          <w:ilvl w:val="0"/>
          <w:numId w:val="89"/>
        </w:numPr>
        <w:rPr>
          <w:strike/>
        </w:rPr>
      </w:pPr>
      <w:r w:rsidRPr="00DD47DF">
        <w:t>Zohledněn je aktuální finanční plán OP PIK;</w:t>
      </w:r>
    </w:p>
    <w:p w14:paraId="617C049B" w14:textId="77777777" w:rsidR="00DF1013" w:rsidRPr="00DD47DF" w:rsidRDefault="00DF1013" w:rsidP="00DA3512">
      <w:pPr>
        <w:pStyle w:val="Standardntext"/>
        <w:numPr>
          <w:ilvl w:val="0"/>
          <w:numId w:val="89"/>
        </w:numPr>
      </w:pPr>
      <w:r w:rsidRPr="00DD47DF">
        <w:t>Při stanovení milníku bylo v maximální možné míře vycházeno ze zkušeností s OPPI;</w:t>
      </w:r>
    </w:p>
    <w:p w14:paraId="6DC9A105" w14:textId="77777777" w:rsidR="00DF1013" w:rsidRPr="00DD47DF" w:rsidRDefault="00A271B0" w:rsidP="00DA3512">
      <w:pPr>
        <w:pStyle w:val="Standardntext"/>
        <w:numPr>
          <w:ilvl w:val="0"/>
          <w:numId w:val="89"/>
        </w:numPr>
      </w:pPr>
      <w:r w:rsidRPr="00DD47DF">
        <w:t>První výzvy budou vyhlášeny pravděpodobně nejdříve až ve 2.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až ve 3. čtvrtletí 2015</w:t>
      </w:r>
      <w:r w:rsidR="00DF1013" w:rsidRPr="00DD47DF">
        <w:t>;</w:t>
      </w:r>
    </w:p>
    <w:p w14:paraId="6B33408A" w14:textId="77777777" w:rsidR="00DF1013" w:rsidRPr="00DD47DF" w:rsidRDefault="00A271B0" w:rsidP="00DA3512">
      <w:pPr>
        <w:pStyle w:val="Standardntext"/>
        <w:numPr>
          <w:ilvl w:val="0"/>
          <w:numId w:val="89"/>
        </w:numPr>
      </w:pPr>
      <w:r w:rsidRPr="00DD47DF">
        <w:t>Při možném předpokladu, že projekty budou dvouleté, to znamená, že první z nich ukončí realizaci nejdříve koncem roku 2017 a finanční prostředky tak budou předkládány k certifikaci až v průběhu roku 2018 (u delších projektů však až počátkem roku 2019)</w:t>
      </w:r>
      <w:r w:rsidR="00DF1013" w:rsidRPr="00DD47DF">
        <w:t xml:space="preserve">; </w:t>
      </w:r>
    </w:p>
    <w:p w14:paraId="283FD490" w14:textId="77777777" w:rsidR="00DF1013" w:rsidRPr="00DD47DF" w:rsidRDefault="00DF1013" w:rsidP="00DA3512">
      <w:pPr>
        <w:pStyle w:val="Standardntext"/>
        <w:numPr>
          <w:ilvl w:val="0"/>
          <w:numId w:val="89"/>
        </w:numPr>
      </w:pPr>
      <w:r w:rsidRPr="00DD47DF">
        <w:t>Ukazatelé výstupů stanovené ve výkonnostním rámci odpovídají více než 50 % finančního přídělu na prioritu (v souladu se čl. 5 Prováděcího nařízení komise (EU) č. 215/2014);</w:t>
      </w:r>
    </w:p>
    <w:p w14:paraId="33CA577A" w14:textId="77777777" w:rsidR="00DF1013" w:rsidRPr="00DD47DF" w:rsidRDefault="00A271B0" w:rsidP="00DA3512">
      <w:pPr>
        <w:pStyle w:val="Standardntext"/>
        <w:numPr>
          <w:ilvl w:val="0"/>
          <w:numId w:val="89"/>
        </w:numPr>
      </w:pPr>
      <w:r w:rsidRPr="00DD47DF">
        <w:t>Není započítána výkonnostní rezerva stanovená ŘO OP PIK na roky 2014 a 2015</w:t>
      </w:r>
      <w:r w:rsidR="00DF1013" w:rsidRPr="00DD47DF">
        <w:t>;</w:t>
      </w:r>
    </w:p>
    <w:p w14:paraId="748AC1E0" w14:textId="77777777" w:rsidR="00DF1013" w:rsidRPr="00DD47DF" w:rsidRDefault="00DF1013" w:rsidP="00DA3512">
      <w:pPr>
        <w:pStyle w:val="Standardntext"/>
        <w:numPr>
          <w:ilvl w:val="0"/>
          <w:numId w:val="89"/>
        </w:numPr>
      </w:pPr>
      <w:r w:rsidRPr="00DD47DF">
        <w:t>Pravidlo n+3, na základě kterého je nutné vzít v úvahu, že na konci roku 2018 by měla být vyčerpána alokace let 2014, 2015;</w:t>
      </w:r>
    </w:p>
    <w:p w14:paraId="0A3CB76C" w14:textId="77777777" w:rsidR="00DF1013" w:rsidRPr="00DD47DF" w:rsidRDefault="00DF1013" w:rsidP="00DA3512">
      <w:pPr>
        <w:pStyle w:val="Standardntext"/>
        <w:numPr>
          <w:ilvl w:val="0"/>
          <w:numId w:val="90"/>
        </w:numPr>
        <w:rPr>
          <w:strike/>
        </w:rPr>
      </w:pPr>
      <w:r w:rsidRPr="00DD47DF">
        <w:t>Nové typy aktivit (SC 4.1)</w:t>
      </w:r>
      <w:r w:rsidR="00A271B0" w:rsidRPr="00DD47DF">
        <w:t>;</w:t>
      </w:r>
    </w:p>
    <w:p w14:paraId="56556640" w14:textId="77777777" w:rsidR="00A271B0" w:rsidRPr="00DD47DF" w:rsidRDefault="00DF1013" w:rsidP="00DA3512">
      <w:pPr>
        <w:pStyle w:val="Standardntext"/>
        <w:numPr>
          <w:ilvl w:val="0"/>
          <w:numId w:val="90"/>
        </w:numPr>
      </w:pPr>
      <w:r w:rsidRPr="00DD47DF">
        <w:t>Administrativně a rozsahem náročné projekty v SC 4.1, časově náročná bude již samotná příprava projektů, lze tak předpokládat pomalejší rozjezd aktivit</w:t>
      </w:r>
      <w:r w:rsidR="00A271B0" w:rsidRPr="00DD47DF">
        <w:t>;</w:t>
      </w:r>
    </w:p>
    <w:p w14:paraId="2540920C" w14:textId="77777777" w:rsidR="00DF1013" w:rsidRPr="00DD47DF" w:rsidRDefault="00A271B0" w:rsidP="00DA3512">
      <w:pPr>
        <w:pStyle w:val="Standardntext"/>
        <w:numPr>
          <w:ilvl w:val="0"/>
          <w:numId w:val="90"/>
        </w:numPr>
      </w:pPr>
      <w:r w:rsidRPr="00DD47DF">
        <w:t>Výše alokace na jednotlivé aktivity SC včetně předpokládané výše veřejné podpory;</w:t>
      </w:r>
    </w:p>
    <w:p w14:paraId="392FA64F" w14:textId="77777777" w:rsidR="00A271B0" w:rsidRPr="00DD47DF" w:rsidRDefault="00A271B0" w:rsidP="00DA3512">
      <w:pPr>
        <w:pStyle w:val="Standardntext"/>
        <w:numPr>
          <w:ilvl w:val="0"/>
          <w:numId w:val="90"/>
        </w:numPr>
      </w:pPr>
      <w:r w:rsidRPr="00DD47DF">
        <w:t>Předpokládaná délka projektů v rámci jednotlivých aktivit.</w:t>
      </w:r>
    </w:p>
    <w:p w14:paraId="740BF744" w14:textId="77777777" w:rsidR="00A271B0" w:rsidRPr="00DD47DF" w:rsidRDefault="00A271B0" w:rsidP="00466CFC">
      <w:pPr>
        <w:pStyle w:val="Standardntext"/>
      </w:pPr>
    </w:p>
    <w:p w14:paraId="0A19F25A" w14:textId="77777777" w:rsidR="00A271B0" w:rsidRPr="00DD47DF" w:rsidRDefault="00A271B0" w:rsidP="00DA3512">
      <w:pPr>
        <w:pStyle w:val="Standardntext"/>
        <w:numPr>
          <w:ilvl w:val="0"/>
          <w:numId w:val="90"/>
        </w:numPr>
      </w:pPr>
      <w:r w:rsidRPr="00DD47DF">
        <w:rPr>
          <w:i/>
        </w:rPr>
        <w:lastRenderedPageBreak/>
        <w:t>Milník</w:t>
      </w:r>
      <w:r w:rsidRPr="00DD47DF">
        <w:rPr>
          <w:i/>
          <w:vertAlign w:val="superscript"/>
        </w:rPr>
        <w:t>2018 PO4</w:t>
      </w:r>
      <w:r w:rsidRPr="00DD47DF">
        <w:rPr>
          <w:i/>
        </w:rPr>
        <w:t>= (celkové způsobilé výdaje na PO 4 v roce 2014 + celkové způsobilé výdaje na PO 4 v roce 2015) – (10% finančních prostředků ERDF na PO 4 + podíl výkonnostní rezervy za roky 2014 a 2015 na PO 4)</w:t>
      </w:r>
    </w:p>
    <w:p w14:paraId="207329E9" w14:textId="77777777" w:rsidR="00DF1013" w:rsidRPr="00DD47DF" w:rsidRDefault="00DF1013" w:rsidP="00DF1013">
      <w:pPr>
        <w:pStyle w:val="Standardntext"/>
      </w:pPr>
      <w:r w:rsidRPr="00DD47DF">
        <w:t xml:space="preserve">Při kvantifikaci milníků </w:t>
      </w:r>
      <w:r w:rsidRPr="00DD47DF">
        <w:rPr>
          <w:b/>
          <w:bCs/>
        </w:rPr>
        <w:t>pro rok 2023</w:t>
      </w:r>
      <w:r w:rsidRPr="00DD47DF">
        <w:t xml:space="preserve"> byly zohledněny ještě dále uvedené klíčové předpoklady:</w:t>
      </w:r>
    </w:p>
    <w:p w14:paraId="7D1B807F" w14:textId="77777777" w:rsidR="00DF1013" w:rsidRPr="00DD47DF" w:rsidRDefault="00DF1013" w:rsidP="00DA3512">
      <w:pPr>
        <w:pStyle w:val="Standardntext"/>
        <w:numPr>
          <w:ilvl w:val="0"/>
          <w:numId w:val="91"/>
        </w:numPr>
      </w:pPr>
      <w:r w:rsidRPr="00DD47DF">
        <w:t>Klíčovým předpokladem je naplnění stanovených cílů programu v jednotlivých prioritních osách (finanční i věcné plnění);</w:t>
      </w:r>
    </w:p>
    <w:p w14:paraId="231D7276" w14:textId="77777777" w:rsidR="00DF1013" w:rsidRPr="00DD47DF" w:rsidRDefault="00DF1013" w:rsidP="00DA3512">
      <w:pPr>
        <w:pStyle w:val="Standardntext"/>
        <w:numPr>
          <w:ilvl w:val="0"/>
          <w:numId w:val="91"/>
        </w:numPr>
      </w:pPr>
      <w:r w:rsidRPr="00DD47DF">
        <w:t xml:space="preserve">Započítána je již i výkonnostní rezerva. </w:t>
      </w:r>
    </w:p>
    <w:p w14:paraId="3BBCE91E" w14:textId="77777777" w:rsidR="00DF1013" w:rsidRPr="00DD47DF" w:rsidRDefault="00DF1013" w:rsidP="002F282B">
      <w:pPr>
        <w:jc w:val="both"/>
      </w:pPr>
      <w:r w:rsidRPr="00DD47DF">
        <w:rPr>
          <w:sz w:val="24"/>
          <w:szCs w:val="24"/>
        </w:rPr>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 Téma výkonnostní rezervy a milníků je dále rozpracováno v</w:t>
      </w:r>
      <w:r w:rsidRPr="00DD47DF">
        <w:t xml:space="preserve"> </w:t>
      </w:r>
      <w:r w:rsidR="002F282B" w:rsidRPr="00DD47DF">
        <w:rPr>
          <w:sz w:val="24"/>
          <w:szCs w:val="24"/>
        </w:rPr>
        <w:t>Nepovinné příloze č. 3.</w:t>
      </w:r>
    </w:p>
    <w:p w14:paraId="5947EBFA" w14:textId="77777777" w:rsidR="004126CC" w:rsidRPr="00DD47DF" w:rsidRDefault="004126CC" w:rsidP="00DF1013">
      <w:pPr>
        <w:sectPr w:rsidR="004126CC" w:rsidRPr="00DD47DF" w:rsidSect="004126CC">
          <w:headerReference w:type="default" r:id="rId43"/>
          <w:footerReference w:type="default" r:id="rId44"/>
          <w:pgSz w:w="16838" w:h="11906" w:orient="landscape"/>
          <w:pgMar w:top="1418" w:right="1418" w:bottom="1276" w:left="1276" w:header="709" w:footer="709" w:gutter="0"/>
          <w:cols w:space="708"/>
          <w:docGrid w:linePitch="272"/>
        </w:sectPr>
      </w:pPr>
    </w:p>
    <w:p w14:paraId="3734CBFC" w14:textId="77777777" w:rsidR="002E1C78" w:rsidRPr="00DD47DF" w:rsidRDefault="002E1C78" w:rsidP="00DA3512">
      <w:pPr>
        <w:pStyle w:val="kapitola2A0"/>
        <w:numPr>
          <w:ilvl w:val="2"/>
          <w:numId w:val="69"/>
        </w:numPr>
      </w:pPr>
      <w:bookmarkStart w:id="101" w:name="_Toc506885043"/>
      <w:r w:rsidRPr="00DD47DF">
        <w:lastRenderedPageBreak/>
        <w:t xml:space="preserve">Kategorie </w:t>
      </w:r>
      <w:r w:rsidR="00F2469F" w:rsidRPr="00DD47DF">
        <w:t>zásahů</w:t>
      </w:r>
      <w:bookmarkEnd w:id="101"/>
    </w:p>
    <w:p w14:paraId="7F82472D" w14:textId="73CE70C3" w:rsidR="002E1C78" w:rsidRPr="00DD47DF" w:rsidRDefault="002E1C78" w:rsidP="006F258E">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7</w:t>
      </w:r>
      <w:r w:rsidR="002756E7" w:rsidRPr="00DD47DF">
        <w:rPr>
          <w:noProof/>
        </w:rPr>
        <w:fldChar w:fldCharType="end"/>
      </w:r>
      <w:r w:rsidRPr="00DD47DF">
        <w:t xml:space="preserve"> - </w:t>
      </w:r>
      <w:r w:rsidR="00AE6620">
        <w:t>10</w:t>
      </w:r>
      <w:r w:rsidRPr="00DD47DF">
        <w:t xml:space="preserve">: Kategorie </w:t>
      </w:r>
      <w:r w:rsidR="00F2469F" w:rsidRPr="00DD47DF">
        <w:t>zásahů</w:t>
      </w:r>
      <w:r w:rsidR="00724BEA" w:rsidRPr="00DD47DF">
        <w:rPr>
          <w:rStyle w:val="Znakapoznpodarou"/>
        </w:rPr>
        <w:footnoteReference w:id="7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1707"/>
        <w:gridCol w:w="561"/>
        <w:gridCol w:w="1771"/>
        <w:gridCol w:w="639"/>
        <w:gridCol w:w="1692"/>
        <w:gridCol w:w="576"/>
        <w:gridCol w:w="1756"/>
      </w:tblGrid>
      <w:tr w:rsidR="000B2315" w:rsidRPr="00DD47DF" w14:paraId="50259805" w14:textId="77777777">
        <w:tc>
          <w:tcPr>
            <w:tcW w:w="9326" w:type="dxa"/>
            <w:gridSpan w:val="8"/>
            <w:shd w:val="clear" w:color="auto" w:fill="B8CCE4"/>
            <w:vAlign w:val="center"/>
          </w:tcPr>
          <w:p w14:paraId="43F1983C" w14:textId="77777777" w:rsidR="009F18F5" w:rsidRPr="00DD47DF" w:rsidRDefault="009F18F5" w:rsidP="009F18F5">
            <w:pPr>
              <w:pStyle w:val="Tabulka"/>
              <w:keepNext/>
              <w:keepLines/>
              <w:rPr>
                <w:rFonts w:cs="Calibri"/>
                <w:b/>
              </w:rPr>
            </w:pPr>
            <w:r w:rsidRPr="00DD47DF">
              <w:rPr>
                <w:rFonts w:cs="Calibri"/>
                <w:b/>
              </w:rPr>
              <w:t xml:space="preserve">Fond: </w:t>
            </w:r>
            <w:r w:rsidRPr="00DD47DF">
              <w:rPr>
                <w:rFonts w:cs="Calibri"/>
              </w:rPr>
              <w:t>EFRR</w:t>
            </w:r>
          </w:p>
          <w:p w14:paraId="266A1EA0" w14:textId="77777777" w:rsidR="000B2315" w:rsidRPr="00DD47DF" w:rsidRDefault="009F18F5" w:rsidP="009F18F5">
            <w:pPr>
              <w:pStyle w:val="Tabulka"/>
              <w:keepNext/>
              <w:keepLines/>
              <w:rPr>
                <w:rFonts w:cs="Calibri"/>
                <w:i/>
              </w:rPr>
            </w:pPr>
            <w:r w:rsidRPr="00DD47DF">
              <w:rPr>
                <w:rFonts w:cs="Calibri"/>
                <w:b/>
              </w:rPr>
              <w:t xml:space="preserve">Kategorie regionů: </w:t>
            </w:r>
            <w:r w:rsidRPr="00DD47DF">
              <w:rPr>
                <w:rFonts w:cs="Calibri"/>
              </w:rPr>
              <w:t>Méně rozvinuté regiony</w:t>
            </w:r>
          </w:p>
        </w:tc>
      </w:tr>
      <w:tr w:rsidR="000B2315" w:rsidRPr="00DD47DF" w14:paraId="50D1664F" w14:textId="77777777">
        <w:tc>
          <w:tcPr>
            <w:tcW w:w="2331" w:type="dxa"/>
            <w:gridSpan w:val="2"/>
            <w:shd w:val="clear" w:color="auto" w:fill="B8CCE4"/>
            <w:vAlign w:val="center"/>
          </w:tcPr>
          <w:p w14:paraId="4D45E4FD" w14:textId="77777777" w:rsidR="000B2315" w:rsidRPr="00DD47DF" w:rsidRDefault="000B2315" w:rsidP="00450475">
            <w:pPr>
              <w:pStyle w:val="Tabulka"/>
              <w:keepNext/>
              <w:keepLines/>
              <w:rPr>
                <w:rFonts w:cs="Calibri"/>
              </w:rPr>
            </w:pPr>
            <w:r w:rsidRPr="00DD47DF">
              <w:rPr>
                <w:rFonts w:cs="Calibri"/>
              </w:rPr>
              <w:t>Tabulka č. 7:</w:t>
            </w:r>
          </w:p>
          <w:p w14:paraId="0D6E8A57" w14:textId="77777777" w:rsidR="000B2315" w:rsidRPr="00DD47DF" w:rsidRDefault="000B2315" w:rsidP="00450475">
            <w:pPr>
              <w:pStyle w:val="Tabulka"/>
              <w:keepNext/>
              <w:keepLines/>
              <w:rPr>
                <w:rFonts w:cs="Calibri"/>
              </w:rPr>
            </w:pPr>
            <w:r w:rsidRPr="00DD47DF">
              <w:rPr>
                <w:rFonts w:cs="Calibri"/>
              </w:rPr>
              <w:t>Dimenze 1</w:t>
            </w:r>
          </w:p>
          <w:p w14:paraId="64BDE992" w14:textId="77777777" w:rsidR="000B2315" w:rsidRPr="00DD47DF" w:rsidRDefault="000B2315" w:rsidP="00450475">
            <w:pPr>
              <w:pStyle w:val="Tabulka"/>
              <w:keepNext/>
              <w:keepLines/>
              <w:rPr>
                <w:rFonts w:cs="Calibri"/>
              </w:rPr>
            </w:pPr>
            <w:r w:rsidRPr="00DD47DF">
              <w:rPr>
                <w:rFonts w:cs="Calibri"/>
              </w:rPr>
              <w:t>Oblast zásahu</w:t>
            </w:r>
          </w:p>
        </w:tc>
        <w:tc>
          <w:tcPr>
            <w:tcW w:w="2332" w:type="dxa"/>
            <w:gridSpan w:val="2"/>
            <w:shd w:val="clear" w:color="auto" w:fill="B8CCE4"/>
            <w:vAlign w:val="center"/>
          </w:tcPr>
          <w:p w14:paraId="64B66831" w14:textId="77777777" w:rsidR="000B2315" w:rsidRPr="00DD47DF" w:rsidRDefault="000B2315" w:rsidP="00450475">
            <w:pPr>
              <w:pStyle w:val="Tabulka"/>
              <w:keepNext/>
              <w:keepLines/>
              <w:rPr>
                <w:rFonts w:cs="Calibri"/>
              </w:rPr>
            </w:pPr>
            <w:r w:rsidRPr="00DD47DF">
              <w:rPr>
                <w:rFonts w:cs="Calibri"/>
              </w:rPr>
              <w:t>Tabulka č. 8:</w:t>
            </w:r>
          </w:p>
          <w:p w14:paraId="44C81E0E" w14:textId="77777777" w:rsidR="000B2315" w:rsidRPr="00DD47DF" w:rsidRDefault="000B2315" w:rsidP="00450475">
            <w:pPr>
              <w:pStyle w:val="Tabulka"/>
              <w:keepNext/>
              <w:keepLines/>
              <w:rPr>
                <w:rFonts w:cs="Calibri"/>
              </w:rPr>
            </w:pPr>
            <w:r w:rsidRPr="00DD47DF">
              <w:rPr>
                <w:rFonts w:cs="Calibri"/>
              </w:rPr>
              <w:t>Dimenze 2</w:t>
            </w:r>
          </w:p>
          <w:p w14:paraId="4C35DB66" w14:textId="77777777" w:rsidR="000B2315" w:rsidRPr="00DD47DF" w:rsidRDefault="000B2315" w:rsidP="00450475">
            <w:pPr>
              <w:pStyle w:val="Tabulka"/>
              <w:keepNext/>
              <w:keepLines/>
              <w:rPr>
                <w:rFonts w:cs="Calibri"/>
              </w:rPr>
            </w:pPr>
            <w:r w:rsidRPr="00DD47DF">
              <w:rPr>
                <w:rFonts w:cs="Calibri"/>
              </w:rPr>
              <w:t>Forma financování</w:t>
            </w:r>
          </w:p>
        </w:tc>
        <w:tc>
          <w:tcPr>
            <w:tcW w:w="2331" w:type="dxa"/>
            <w:gridSpan w:val="2"/>
            <w:shd w:val="clear" w:color="auto" w:fill="B8CCE4"/>
            <w:vAlign w:val="center"/>
          </w:tcPr>
          <w:p w14:paraId="492EA980" w14:textId="77777777" w:rsidR="000B2315" w:rsidRPr="00DD47DF" w:rsidRDefault="000B2315" w:rsidP="00450475">
            <w:pPr>
              <w:pStyle w:val="Tabulka"/>
              <w:keepNext/>
              <w:keepLines/>
              <w:rPr>
                <w:rFonts w:cs="Calibri"/>
              </w:rPr>
            </w:pPr>
            <w:r w:rsidRPr="00DD47DF">
              <w:rPr>
                <w:rFonts w:cs="Calibri"/>
              </w:rPr>
              <w:t>Tabulka č. 9:</w:t>
            </w:r>
          </w:p>
          <w:p w14:paraId="1E297E5A" w14:textId="77777777" w:rsidR="000B2315" w:rsidRPr="00DD47DF" w:rsidRDefault="000B2315" w:rsidP="00450475">
            <w:pPr>
              <w:pStyle w:val="Tabulka"/>
              <w:keepNext/>
              <w:keepLines/>
              <w:rPr>
                <w:rFonts w:cs="Calibri"/>
              </w:rPr>
            </w:pPr>
            <w:r w:rsidRPr="00DD47DF">
              <w:rPr>
                <w:rFonts w:cs="Calibri"/>
              </w:rPr>
              <w:t>Dimenze 3</w:t>
            </w:r>
          </w:p>
          <w:p w14:paraId="38E0F6EC" w14:textId="77777777" w:rsidR="000B2315" w:rsidRPr="00DD47DF" w:rsidRDefault="000B2315" w:rsidP="00450475">
            <w:pPr>
              <w:pStyle w:val="Tabulka"/>
              <w:keepNext/>
              <w:keepLines/>
              <w:rPr>
                <w:rFonts w:cs="Calibri"/>
              </w:rPr>
            </w:pPr>
            <w:r w:rsidRPr="00DD47DF">
              <w:rPr>
                <w:rFonts w:cs="Calibri"/>
              </w:rPr>
              <w:t>Typ území</w:t>
            </w:r>
          </w:p>
        </w:tc>
        <w:tc>
          <w:tcPr>
            <w:tcW w:w="2332" w:type="dxa"/>
            <w:gridSpan w:val="2"/>
            <w:shd w:val="clear" w:color="auto" w:fill="B8CCE4"/>
            <w:vAlign w:val="center"/>
          </w:tcPr>
          <w:p w14:paraId="296D865D" w14:textId="77777777" w:rsidR="000B2315" w:rsidRPr="00DD47DF" w:rsidRDefault="000B2315" w:rsidP="00450475">
            <w:pPr>
              <w:pStyle w:val="Tabulka"/>
              <w:keepNext/>
              <w:keepLines/>
              <w:rPr>
                <w:rFonts w:cs="Calibri"/>
              </w:rPr>
            </w:pPr>
            <w:r w:rsidRPr="00DD47DF">
              <w:rPr>
                <w:rFonts w:cs="Calibri"/>
              </w:rPr>
              <w:t>Tabulka č. 10:</w:t>
            </w:r>
          </w:p>
          <w:p w14:paraId="69C87453" w14:textId="77777777" w:rsidR="000B2315" w:rsidRPr="00DD47DF" w:rsidRDefault="000B2315" w:rsidP="00450475">
            <w:pPr>
              <w:pStyle w:val="Tabulka"/>
              <w:keepNext/>
              <w:keepLines/>
              <w:rPr>
                <w:rFonts w:cs="Calibri"/>
              </w:rPr>
            </w:pPr>
            <w:r w:rsidRPr="00DD47DF">
              <w:rPr>
                <w:rFonts w:cs="Calibri"/>
              </w:rPr>
              <w:t>Dimenze 4</w:t>
            </w:r>
          </w:p>
          <w:p w14:paraId="4A238C7D" w14:textId="77777777" w:rsidR="000B2315" w:rsidRPr="00DD47DF" w:rsidRDefault="000B2315" w:rsidP="00450475">
            <w:pPr>
              <w:pStyle w:val="Tabulka"/>
              <w:keepNext/>
              <w:keepLines/>
              <w:rPr>
                <w:rFonts w:cs="Calibri"/>
              </w:rPr>
            </w:pPr>
            <w:r w:rsidRPr="00DD47DF">
              <w:rPr>
                <w:rFonts w:cs="Calibri"/>
              </w:rPr>
              <w:t>Mechanismus územního plnění</w:t>
            </w:r>
          </w:p>
        </w:tc>
      </w:tr>
      <w:tr w:rsidR="000B2315" w:rsidRPr="00DD47DF" w14:paraId="12A1F28B" w14:textId="77777777">
        <w:tc>
          <w:tcPr>
            <w:tcW w:w="624" w:type="dxa"/>
            <w:shd w:val="clear" w:color="auto" w:fill="DBE5F1"/>
            <w:vAlign w:val="center"/>
          </w:tcPr>
          <w:p w14:paraId="0C4EC8CF" w14:textId="77777777" w:rsidR="000B2315" w:rsidRPr="00DD47DF" w:rsidRDefault="000B2315" w:rsidP="00450475">
            <w:pPr>
              <w:pStyle w:val="Tabulka"/>
              <w:keepNext/>
              <w:keepLines/>
              <w:rPr>
                <w:rFonts w:cs="Calibri"/>
              </w:rPr>
            </w:pPr>
            <w:r w:rsidRPr="00DD47DF">
              <w:rPr>
                <w:rFonts w:cs="Calibri"/>
              </w:rPr>
              <w:t>Kód</w:t>
            </w:r>
          </w:p>
        </w:tc>
        <w:tc>
          <w:tcPr>
            <w:tcW w:w="1707" w:type="dxa"/>
            <w:shd w:val="clear" w:color="auto" w:fill="DBE5F1"/>
            <w:vAlign w:val="center"/>
          </w:tcPr>
          <w:p w14:paraId="457A5416" w14:textId="77777777" w:rsidR="000B2315" w:rsidRPr="00DD47DF" w:rsidRDefault="00D16DE9" w:rsidP="00450475">
            <w:pPr>
              <w:pStyle w:val="Tabulka"/>
              <w:keepNext/>
              <w:keepLines/>
              <w:rPr>
                <w:rFonts w:cs="Calibri"/>
              </w:rPr>
            </w:pPr>
            <w:r w:rsidRPr="00DD47DF">
              <w:rPr>
                <w:rFonts w:cs="Calibri"/>
              </w:rPr>
              <w:t>Částka (v EUR)</w:t>
            </w:r>
          </w:p>
        </w:tc>
        <w:tc>
          <w:tcPr>
            <w:tcW w:w="561" w:type="dxa"/>
            <w:shd w:val="clear" w:color="auto" w:fill="DBE5F1"/>
            <w:vAlign w:val="center"/>
          </w:tcPr>
          <w:p w14:paraId="00F8B440" w14:textId="77777777" w:rsidR="000B2315" w:rsidRPr="00DD47DF" w:rsidRDefault="000B2315" w:rsidP="00450475">
            <w:pPr>
              <w:pStyle w:val="Tabulka"/>
              <w:keepNext/>
              <w:keepLines/>
              <w:rPr>
                <w:rFonts w:cs="Calibri"/>
              </w:rPr>
            </w:pPr>
            <w:r w:rsidRPr="00DD47DF">
              <w:rPr>
                <w:rFonts w:cs="Calibri"/>
              </w:rPr>
              <w:t>Kód</w:t>
            </w:r>
          </w:p>
        </w:tc>
        <w:tc>
          <w:tcPr>
            <w:tcW w:w="1771" w:type="dxa"/>
            <w:shd w:val="clear" w:color="auto" w:fill="DBE5F1"/>
            <w:vAlign w:val="center"/>
          </w:tcPr>
          <w:p w14:paraId="6027B013" w14:textId="77777777" w:rsidR="000B2315" w:rsidRPr="00DD47DF" w:rsidRDefault="00D16DE9" w:rsidP="00450475">
            <w:pPr>
              <w:pStyle w:val="Tabulka"/>
              <w:keepNext/>
              <w:keepLines/>
              <w:rPr>
                <w:rFonts w:cs="Calibri"/>
              </w:rPr>
            </w:pPr>
            <w:r w:rsidRPr="00DD47DF">
              <w:rPr>
                <w:rFonts w:cs="Calibri"/>
              </w:rPr>
              <w:t>Částka (v EUR)</w:t>
            </w:r>
          </w:p>
        </w:tc>
        <w:tc>
          <w:tcPr>
            <w:tcW w:w="639" w:type="dxa"/>
            <w:shd w:val="clear" w:color="auto" w:fill="DBE5F1"/>
            <w:vAlign w:val="center"/>
          </w:tcPr>
          <w:p w14:paraId="6D9AA4EA" w14:textId="77777777" w:rsidR="000B2315" w:rsidRPr="00DD47DF" w:rsidRDefault="000B2315" w:rsidP="00450475">
            <w:pPr>
              <w:pStyle w:val="Tabulka"/>
              <w:keepNext/>
              <w:keepLines/>
              <w:rPr>
                <w:rFonts w:cs="Calibri"/>
              </w:rPr>
            </w:pPr>
            <w:r w:rsidRPr="00DD47DF">
              <w:rPr>
                <w:rFonts w:cs="Calibri"/>
              </w:rPr>
              <w:t>Kód</w:t>
            </w:r>
          </w:p>
        </w:tc>
        <w:tc>
          <w:tcPr>
            <w:tcW w:w="1692" w:type="dxa"/>
            <w:shd w:val="clear" w:color="auto" w:fill="DBE5F1"/>
            <w:vAlign w:val="center"/>
          </w:tcPr>
          <w:p w14:paraId="60B58C68" w14:textId="77777777" w:rsidR="000B2315" w:rsidRPr="00DD47DF" w:rsidRDefault="00D16DE9" w:rsidP="00450475">
            <w:pPr>
              <w:pStyle w:val="Tabulka"/>
              <w:keepNext/>
              <w:keepLines/>
              <w:rPr>
                <w:rFonts w:cs="Calibri"/>
              </w:rPr>
            </w:pPr>
            <w:r w:rsidRPr="00DD47DF">
              <w:rPr>
                <w:rFonts w:cs="Calibri"/>
              </w:rPr>
              <w:t>Částka (v EUR)</w:t>
            </w:r>
          </w:p>
        </w:tc>
        <w:tc>
          <w:tcPr>
            <w:tcW w:w="576" w:type="dxa"/>
            <w:shd w:val="clear" w:color="auto" w:fill="DBE5F1"/>
            <w:vAlign w:val="center"/>
          </w:tcPr>
          <w:p w14:paraId="2FD86519" w14:textId="77777777" w:rsidR="000B2315" w:rsidRPr="00DD47DF" w:rsidRDefault="000B2315" w:rsidP="00450475">
            <w:pPr>
              <w:pStyle w:val="Tabulka"/>
              <w:keepNext/>
              <w:keepLines/>
              <w:rPr>
                <w:rFonts w:cs="Calibri"/>
              </w:rPr>
            </w:pPr>
            <w:r w:rsidRPr="00DD47DF">
              <w:rPr>
                <w:rFonts w:cs="Calibri"/>
              </w:rPr>
              <w:t>Kód</w:t>
            </w:r>
          </w:p>
        </w:tc>
        <w:tc>
          <w:tcPr>
            <w:tcW w:w="1756" w:type="dxa"/>
            <w:shd w:val="clear" w:color="auto" w:fill="DBE5F1"/>
            <w:vAlign w:val="center"/>
          </w:tcPr>
          <w:p w14:paraId="1BAB3877" w14:textId="77777777" w:rsidR="000B2315" w:rsidRPr="00DD47DF" w:rsidRDefault="00D16DE9" w:rsidP="00450475">
            <w:pPr>
              <w:pStyle w:val="Tabulka"/>
              <w:keepNext/>
              <w:keepLines/>
              <w:rPr>
                <w:rFonts w:cs="Calibri"/>
              </w:rPr>
            </w:pPr>
            <w:r w:rsidRPr="00DD47DF">
              <w:rPr>
                <w:rFonts w:cs="Calibri"/>
              </w:rPr>
              <w:t>Částka (v EUR)</w:t>
            </w:r>
          </w:p>
        </w:tc>
      </w:tr>
      <w:tr w:rsidR="006D3187" w:rsidRPr="00DD47DF" w14:paraId="3E175571" w14:textId="77777777">
        <w:tc>
          <w:tcPr>
            <w:tcW w:w="624" w:type="dxa"/>
            <w:shd w:val="clear" w:color="auto" w:fill="auto"/>
            <w:vAlign w:val="center"/>
          </w:tcPr>
          <w:p w14:paraId="69E272A5" w14:textId="77777777" w:rsidR="006D3187" w:rsidRPr="00DD47DF" w:rsidRDefault="006D3187" w:rsidP="00DD63AD">
            <w:pPr>
              <w:pStyle w:val="Tabulka"/>
              <w:rPr>
                <w:rFonts w:cs="Calibri"/>
              </w:rPr>
            </w:pPr>
            <w:r w:rsidRPr="00DD47DF">
              <w:rPr>
                <w:rFonts w:cs="Calibri"/>
              </w:rPr>
              <w:t>004</w:t>
            </w:r>
          </w:p>
        </w:tc>
        <w:tc>
          <w:tcPr>
            <w:tcW w:w="1707" w:type="dxa"/>
            <w:shd w:val="clear" w:color="auto" w:fill="auto"/>
            <w:vAlign w:val="center"/>
          </w:tcPr>
          <w:p w14:paraId="2F550DF7" w14:textId="77777777" w:rsidR="006D3187" w:rsidRPr="00DD47DF" w:rsidRDefault="00104C0C" w:rsidP="00E84B36">
            <w:pPr>
              <w:pStyle w:val="Tabulka"/>
              <w:jc w:val="right"/>
              <w:rPr>
                <w:rFonts w:cs="Calibri"/>
              </w:rPr>
            </w:pPr>
            <w:r w:rsidRPr="00DD47DF">
              <w:rPr>
                <w:rFonts w:cs="Calibri"/>
              </w:rPr>
              <w:t>44 400 000</w:t>
            </w:r>
          </w:p>
        </w:tc>
        <w:tc>
          <w:tcPr>
            <w:tcW w:w="561" w:type="dxa"/>
            <w:shd w:val="clear" w:color="auto" w:fill="auto"/>
            <w:vAlign w:val="center"/>
          </w:tcPr>
          <w:p w14:paraId="6D059764" w14:textId="77777777" w:rsidR="006D3187" w:rsidRPr="00DD47DF" w:rsidRDefault="006D3187" w:rsidP="00DD63AD">
            <w:pPr>
              <w:pStyle w:val="Tabulka"/>
              <w:rPr>
                <w:rFonts w:cs="Calibri"/>
              </w:rPr>
            </w:pPr>
            <w:r w:rsidRPr="00DD47DF">
              <w:rPr>
                <w:rFonts w:cs="Calibri"/>
              </w:rPr>
              <w:t>01</w:t>
            </w:r>
          </w:p>
        </w:tc>
        <w:tc>
          <w:tcPr>
            <w:tcW w:w="1771" w:type="dxa"/>
            <w:shd w:val="clear" w:color="auto" w:fill="auto"/>
            <w:vAlign w:val="center"/>
          </w:tcPr>
          <w:p w14:paraId="0A8DCF4B" w14:textId="77777777" w:rsidR="006D3187" w:rsidRPr="00DD47DF" w:rsidRDefault="006D3187" w:rsidP="00E84B36">
            <w:pPr>
              <w:pStyle w:val="Tabulka"/>
              <w:jc w:val="right"/>
              <w:rPr>
                <w:rFonts w:cs="Calibri"/>
              </w:rPr>
            </w:pPr>
            <w:r w:rsidRPr="00DD47DF">
              <w:rPr>
                <w:rFonts w:cs="Calibri"/>
              </w:rPr>
              <w:t>743 657 589</w:t>
            </w:r>
          </w:p>
        </w:tc>
        <w:tc>
          <w:tcPr>
            <w:tcW w:w="639" w:type="dxa"/>
            <w:shd w:val="clear" w:color="auto" w:fill="auto"/>
            <w:vAlign w:val="center"/>
          </w:tcPr>
          <w:p w14:paraId="7D561C60" w14:textId="77777777" w:rsidR="006D3187" w:rsidRPr="00DD47DF" w:rsidRDefault="006D3187" w:rsidP="00DD63AD">
            <w:pPr>
              <w:pStyle w:val="Tabulka"/>
              <w:rPr>
                <w:rFonts w:cs="Calibri"/>
              </w:rPr>
            </w:pPr>
            <w:r w:rsidRPr="00DD47DF">
              <w:rPr>
                <w:rFonts w:cs="Calibri"/>
              </w:rPr>
              <w:t>01</w:t>
            </w:r>
          </w:p>
        </w:tc>
        <w:tc>
          <w:tcPr>
            <w:tcW w:w="1692" w:type="dxa"/>
            <w:shd w:val="clear" w:color="auto" w:fill="auto"/>
            <w:vAlign w:val="center"/>
          </w:tcPr>
          <w:p w14:paraId="6B8B8E8D" w14:textId="77777777" w:rsidR="006D3187" w:rsidRPr="00DD47DF" w:rsidRDefault="006D3187" w:rsidP="00E84B36">
            <w:pPr>
              <w:pStyle w:val="Tabulka"/>
              <w:jc w:val="right"/>
              <w:rPr>
                <w:rFonts w:cs="Calibri"/>
              </w:rPr>
            </w:pPr>
            <w:r w:rsidRPr="00DD47DF">
              <w:rPr>
                <w:rFonts w:cs="Calibri"/>
              </w:rPr>
              <w:t>282 589 884</w:t>
            </w:r>
          </w:p>
        </w:tc>
        <w:tc>
          <w:tcPr>
            <w:tcW w:w="576" w:type="dxa"/>
            <w:shd w:val="clear" w:color="auto" w:fill="auto"/>
            <w:vAlign w:val="center"/>
          </w:tcPr>
          <w:p w14:paraId="63E8A4D7" w14:textId="77777777" w:rsidR="006D3187" w:rsidRPr="00DD47DF" w:rsidRDefault="006D3187" w:rsidP="00DD63AD">
            <w:pPr>
              <w:pStyle w:val="Tabulka"/>
              <w:rPr>
                <w:rFonts w:cs="Calibri"/>
              </w:rPr>
            </w:pPr>
            <w:r w:rsidRPr="00DD47DF">
              <w:rPr>
                <w:rFonts w:cs="Calibri"/>
              </w:rPr>
              <w:t>07</w:t>
            </w:r>
          </w:p>
        </w:tc>
        <w:tc>
          <w:tcPr>
            <w:tcW w:w="1756" w:type="dxa"/>
            <w:shd w:val="clear" w:color="auto" w:fill="auto"/>
            <w:vAlign w:val="center"/>
          </w:tcPr>
          <w:p w14:paraId="6F08C26A" w14:textId="77777777" w:rsidR="006D3187" w:rsidRPr="00DD47DF" w:rsidRDefault="006D3187" w:rsidP="00E84B36">
            <w:pPr>
              <w:pStyle w:val="Tabulka"/>
              <w:jc w:val="right"/>
              <w:rPr>
                <w:rFonts w:cs="Calibri"/>
              </w:rPr>
            </w:pPr>
            <w:r w:rsidRPr="00DD47DF">
              <w:rPr>
                <w:rFonts w:cs="Calibri"/>
              </w:rPr>
              <w:t>743 657 589</w:t>
            </w:r>
          </w:p>
        </w:tc>
      </w:tr>
      <w:tr w:rsidR="00382E89" w:rsidRPr="00DD47DF" w14:paraId="0355FB07" w14:textId="77777777">
        <w:tc>
          <w:tcPr>
            <w:tcW w:w="624" w:type="dxa"/>
            <w:shd w:val="clear" w:color="auto" w:fill="auto"/>
            <w:vAlign w:val="center"/>
          </w:tcPr>
          <w:p w14:paraId="2035B07C" w14:textId="77777777" w:rsidR="00382E89" w:rsidRPr="00DD47DF" w:rsidRDefault="00382E89" w:rsidP="00DD63AD">
            <w:pPr>
              <w:pStyle w:val="Tabulka"/>
              <w:rPr>
                <w:rFonts w:cs="Calibri"/>
              </w:rPr>
            </w:pPr>
            <w:r w:rsidRPr="00DD47DF">
              <w:rPr>
                <w:rFonts w:cs="Calibri"/>
              </w:rPr>
              <w:t>046</w:t>
            </w:r>
          </w:p>
        </w:tc>
        <w:tc>
          <w:tcPr>
            <w:tcW w:w="1707" w:type="dxa"/>
            <w:shd w:val="clear" w:color="auto" w:fill="auto"/>
            <w:vAlign w:val="center"/>
          </w:tcPr>
          <w:p w14:paraId="46C0561F" w14:textId="77777777" w:rsidR="00382E89" w:rsidRPr="00DD47DF" w:rsidRDefault="00382E89" w:rsidP="00E84B36">
            <w:pPr>
              <w:pStyle w:val="Tabulka"/>
              <w:jc w:val="right"/>
              <w:rPr>
                <w:rFonts w:cs="Calibri"/>
              </w:rPr>
            </w:pPr>
            <w:r w:rsidRPr="00DD47DF">
              <w:rPr>
                <w:rFonts w:cs="Calibri"/>
              </w:rPr>
              <w:t>521 380 364</w:t>
            </w:r>
          </w:p>
        </w:tc>
        <w:tc>
          <w:tcPr>
            <w:tcW w:w="561" w:type="dxa"/>
            <w:shd w:val="clear" w:color="auto" w:fill="auto"/>
            <w:vAlign w:val="center"/>
          </w:tcPr>
          <w:p w14:paraId="5BB4AB44" w14:textId="77777777" w:rsidR="00382E89" w:rsidRPr="00DD47DF" w:rsidRDefault="00382E89" w:rsidP="00DD63AD">
            <w:pPr>
              <w:pStyle w:val="Tabulka"/>
              <w:rPr>
                <w:rFonts w:cs="Calibri"/>
              </w:rPr>
            </w:pPr>
          </w:p>
        </w:tc>
        <w:tc>
          <w:tcPr>
            <w:tcW w:w="1771" w:type="dxa"/>
            <w:shd w:val="clear" w:color="auto" w:fill="auto"/>
            <w:vAlign w:val="center"/>
          </w:tcPr>
          <w:p w14:paraId="3D1B3EE6" w14:textId="77777777" w:rsidR="00382E89" w:rsidRPr="00DD47DF" w:rsidRDefault="00382E89" w:rsidP="00E84B36">
            <w:pPr>
              <w:pStyle w:val="Tabulka"/>
              <w:jc w:val="right"/>
              <w:rPr>
                <w:rFonts w:cs="Calibri"/>
              </w:rPr>
            </w:pPr>
          </w:p>
        </w:tc>
        <w:tc>
          <w:tcPr>
            <w:tcW w:w="639" w:type="dxa"/>
            <w:shd w:val="clear" w:color="auto" w:fill="auto"/>
            <w:vAlign w:val="center"/>
          </w:tcPr>
          <w:p w14:paraId="5948C64F" w14:textId="77777777" w:rsidR="00382E89" w:rsidRPr="00DD47DF" w:rsidRDefault="00382E89" w:rsidP="00DD63AD">
            <w:pPr>
              <w:pStyle w:val="Tabulka"/>
              <w:rPr>
                <w:rFonts w:cs="Calibri"/>
              </w:rPr>
            </w:pPr>
            <w:r w:rsidRPr="00DD47DF">
              <w:rPr>
                <w:rFonts w:cs="Calibri"/>
              </w:rPr>
              <w:t>02</w:t>
            </w:r>
          </w:p>
        </w:tc>
        <w:tc>
          <w:tcPr>
            <w:tcW w:w="1692" w:type="dxa"/>
            <w:shd w:val="clear" w:color="auto" w:fill="auto"/>
            <w:vAlign w:val="center"/>
          </w:tcPr>
          <w:p w14:paraId="57ECACD9" w14:textId="77777777" w:rsidR="00382E89" w:rsidRPr="00DD47DF" w:rsidRDefault="00382E89" w:rsidP="00E84B36">
            <w:pPr>
              <w:pStyle w:val="Tabulka"/>
              <w:jc w:val="right"/>
              <w:rPr>
                <w:rFonts w:cs="Calibri"/>
              </w:rPr>
            </w:pPr>
            <w:r w:rsidRPr="00DD47DF">
              <w:rPr>
                <w:rFonts w:cs="Calibri"/>
              </w:rPr>
              <w:t>275 153 308</w:t>
            </w:r>
          </w:p>
        </w:tc>
        <w:tc>
          <w:tcPr>
            <w:tcW w:w="576" w:type="dxa"/>
            <w:shd w:val="clear" w:color="auto" w:fill="auto"/>
            <w:vAlign w:val="center"/>
          </w:tcPr>
          <w:p w14:paraId="2DAFED1B" w14:textId="77777777" w:rsidR="00382E89" w:rsidRPr="00DD47DF" w:rsidRDefault="00382E89" w:rsidP="00DD63AD">
            <w:pPr>
              <w:pStyle w:val="Tabulka"/>
              <w:rPr>
                <w:rFonts w:cs="Calibri"/>
              </w:rPr>
            </w:pPr>
          </w:p>
        </w:tc>
        <w:tc>
          <w:tcPr>
            <w:tcW w:w="1756" w:type="dxa"/>
            <w:shd w:val="clear" w:color="auto" w:fill="auto"/>
            <w:vAlign w:val="center"/>
          </w:tcPr>
          <w:p w14:paraId="5127EA57" w14:textId="77777777" w:rsidR="00382E89" w:rsidRPr="00DD47DF" w:rsidRDefault="00382E89" w:rsidP="00E84B36">
            <w:pPr>
              <w:pStyle w:val="Tabulka"/>
              <w:jc w:val="right"/>
              <w:rPr>
                <w:rFonts w:cs="Calibri"/>
              </w:rPr>
            </w:pPr>
          </w:p>
        </w:tc>
      </w:tr>
      <w:tr w:rsidR="00382E89" w:rsidRPr="00DD47DF" w14:paraId="008FB6AB" w14:textId="77777777">
        <w:tc>
          <w:tcPr>
            <w:tcW w:w="624" w:type="dxa"/>
            <w:shd w:val="clear" w:color="auto" w:fill="auto"/>
            <w:vAlign w:val="center"/>
          </w:tcPr>
          <w:p w14:paraId="148BF2D8" w14:textId="77777777" w:rsidR="00382E89" w:rsidRPr="00DD47DF" w:rsidRDefault="00382E89" w:rsidP="00DD63AD">
            <w:pPr>
              <w:pStyle w:val="Tabulka"/>
              <w:rPr>
                <w:rFonts w:cs="Calibri"/>
              </w:rPr>
            </w:pPr>
            <w:r w:rsidRPr="00DD47DF">
              <w:rPr>
                <w:rFonts w:cs="Calibri"/>
              </w:rPr>
              <w:t>048</w:t>
            </w:r>
          </w:p>
        </w:tc>
        <w:tc>
          <w:tcPr>
            <w:tcW w:w="1707" w:type="dxa"/>
            <w:shd w:val="clear" w:color="auto" w:fill="auto"/>
            <w:vAlign w:val="center"/>
          </w:tcPr>
          <w:p w14:paraId="57EFFDE4" w14:textId="77777777" w:rsidR="00382E89" w:rsidRPr="00DD47DF" w:rsidRDefault="00104C0C" w:rsidP="00E84B36">
            <w:pPr>
              <w:pStyle w:val="Tabulka"/>
              <w:jc w:val="right"/>
              <w:rPr>
                <w:rFonts w:cs="Calibri"/>
              </w:rPr>
            </w:pPr>
            <w:r w:rsidRPr="00DD47DF">
              <w:rPr>
                <w:rFonts w:cs="Calibri"/>
              </w:rPr>
              <w:t>41 404 496</w:t>
            </w:r>
          </w:p>
        </w:tc>
        <w:tc>
          <w:tcPr>
            <w:tcW w:w="561" w:type="dxa"/>
            <w:shd w:val="clear" w:color="auto" w:fill="auto"/>
            <w:vAlign w:val="center"/>
          </w:tcPr>
          <w:p w14:paraId="2CEC013A" w14:textId="77777777" w:rsidR="00382E89" w:rsidRPr="00DD47DF" w:rsidRDefault="00382E89" w:rsidP="00DD63AD">
            <w:pPr>
              <w:pStyle w:val="Tabulka"/>
              <w:rPr>
                <w:rFonts w:cs="Calibri"/>
              </w:rPr>
            </w:pPr>
          </w:p>
        </w:tc>
        <w:tc>
          <w:tcPr>
            <w:tcW w:w="1771" w:type="dxa"/>
            <w:shd w:val="clear" w:color="auto" w:fill="auto"/>
            <w:vAlign w:val="center"/>
          </w:tcPr>
          <w:p w14:paraId="74F7C909" w14:textId="77777777" w:rsidR="00382E89" w:rsidRPr="00DD47DF" w:rsidRDefault="00382E89" w:rsidP="00E84B36">
            <w:pPr>
              <w:pStyle w:val="Tabulka"/>
              <w:jc w:val="right"/>
              <w:rPr>
                <w:rFonts w:cs="Calibri"/>
              </w:rPr>
            </w:pPr>
          </w:p>
        </w:tc>
        <w:tc>
          <w:tcPr>
            <w:tcW w:w="639" w:type="dxa"/>
            <w:shd w:val="clear" w:color="auto" w:fill="auto"/>
            <w:vAlign w:val="center"/>
          </w:tcPr>
          <w:p w14:paraId="60E85C99" w14:textId="77777777" w:rsidR="00382E89" w:rsidRPr="00DD47DF" w:rsidRDefault="00382E89" w:rsidP="00DD63AD">
            <w:pPr>
              <w:pStyle w:val="Tabulka"/>
              <w:rPr>
                <w:rFonts w:cs="Calibri"/>
              </w:rPr>
            </w:pPr>
            <w:r w:rsidRPr="00DD47DF">
              <w:rPr>
                <w:rFonts w:cs="Calibri"/>
              </w:rPr>
              <w:t>03</w:t>
            </w:r>
          </w:p>
        </w:tc>
        <w:tc>
          <w:tcPr>
            <w:tcW w:w="1692" w:type="dxa"/>
            <w:shd w:val="clear" w:color="auto" w:fill="auto"/>
            <w:vAlign w:val="center"/>
          </w:tcPr>
          <w:p w14:paraId="4D353D03" w14:textId="77777777" w:rsidR="00382E89" w:rsidRPr="00DD47DF" w:rsidRDefault="00382E89" w:rsidP="00E84B36">
            <w:pPr>
              <w:pStyle w:val="Tabulka"/>
              <w:jc w:val="right"/>
              <w:rPr>
                <w:rFonts w:cs="Calibri"/>
              </w:rPr>
            </w:pPr>
            <w:r w:rsidRPr="00DD47DF">
              <w:rPr>
                <w:rFonts w:cs="Calibri"/>
              </w:rPr>
              <w:t>185 914 397</w:t>
            </w:r>
          </w:p>
        </w:tc>
        <w:tc>
          <w:tcPr>
            <w:tcW w:w="576" w:type="dxa"/>
            <w:shd w:val="clear" w:color="auto" w:fill="auto"/>
            <w:vAlign w:val="center"/>
          </w:tcPr>
          <w:p w14:paraId="0E72775B" w14:textId="77777777" w:rsidR="00382E89" w:rsidRPr="00DD47DF" w:rsidRDefault="00382E89" w:rsidP="00DD63AD">
            <w:pPr>
              <w:pStyle w:val="Tabulka"/>
              <w:rPr>
                <w:rFonts w:cs="Calibri"/>
              </w:rPr>
            </w:pPr>
          </w:p>
        </w:tc>
        <w:tc>
          <w:tcPr>
            <w:tcW w:w="1756" w:type="dxa"/>
            <w:shd w:val="clear" w:color="auto" w:fill="auto"/>
            <w:vAlign w:val="center"/>
          </w:tcPr>
          <w:p w14:paraId="58599AAD" w14:textId="77777777" w:rsidR="00382E89" w:rsidRPr="00DD47DF" w:rsidRDefault="00382E89" w:rsidP="00E84B36">
            <w:pPr>
              <w:pStyle w:val="Tabulka"/>
              <w:jc w:val="right"/>
              <w:rPr>
                <w:rFonts w:cs="Calibri"/>
              </w:rPr>
            </w:pPr>
          </w:p>
        </w:tc>
      </w:tr>
      <w:tr w:rsidR="00382E89" w:rsidRPr="00DD47DF" w14:paraId="5EE00DD8" w14:textId="77777777">
        <w:tc>
          <w:tcPr>
            <w:tcW w:w="624" w:type="dxa"/>
            <w:shd w:val="clear" w:color="auto" w:fill="auto"/>
            <w:vAlign w:val="center"/>
          </w:tcPr>
          <w:p w14:paraId="245F6D1A" w14:textId="77777777" w:rsidR="00382E89" w:rsidRPr="00DD47DF" w:rsidRDefault="00382E89" w:rsidP="00DD63AD">
            <w:pPr>
              <w:pStyle w:val="Tabulka"/>
              <w:rPr>
                <w:rFonts w:cs="Calibri"/>
              </w:rPr>
            </w:pPr>
            <w:r w:rsidRPr="00DD47DF">
              <w:rPr>
                <w:rFonts w:cs="Calibri"/>
              </w:rPr>
              <w:t>082</w:t>
            </w:r>
          </w:p>
        </w:tc>
        <w:tc>
          <w:tcPr>
            <w:tcW w:w="1707" w:type="dxa"/>
            <w:shd w:val="clear" w:color="auto" w:fill="auto"/>
            <w:vAlign w:val="center"/>
          </w:tcPr>
          <w:p w14:paraId="7BE95403" w14:textId="77777777" w:rsidR="00382E89" w:rsidRPr="00DD47DF" w:rsidRDefault="00104C0C" w:rsidP="00E84B36">
            <w:pPr>
              <w:pStyle w:val="Tabulka"/>
              <w:jc w:val="right"/>
              <w:rPr>
                <w:rFonts w:cs="Calibri"/>
              </w:rPr>
            </w:pPr>
            <w:r w:rsidRPr="00DD47DF">
              <w:rPr>
                <w:rFonts w:cs="Calibri"/>
              </w:rPr>
              <w:t>136 472 729</w:t>
            </w:r>
          </w:p>
        </w:tc>
        <w:tc>
          <w:tcPr>
            <w:tcW w:w="561" w:type="dxa"/>
            <w:shd w:val="clear" w:color="auto" w:fill="auto"/>
            <w:vAlign w:val="center"/>
          </w:tcPr>
          <w:p w14:paraId="4148ED11" w14:textId="77777777" w:rsidR="00382E89" w:rsidRPr="00DD47DF" w:rsidRDefault="00382E89" w:rsidP="00DD63AD">
            <w:pPr>
              <w:pStyle w:val="Tabulka"/>
              <w:rPr>
                <w:rFonts w:cs="Calibri"/>
              </w:rPr>
            </w:pPr>
          </w:p>
        </w:tc>
        <w:tc>
          <w:tcPr>
            <w:tcW w:w="1771" w:type="dxa"/>
            <w:shd w:val="clear" w:color="auto" w:fill="auto"/>
            <w:vAlign w:val="center"/>
          </w:tcPr>
          <w:p w14:paraId="25BB6BAF" w14:textId="77777777" w:rsidR="00382E89" w:rsidRPr="00DD47DF" w:rsidRDefault="00382E89" w:rsidP="00E84B36">
            <w:pPr>
              <w:pStyle w:val="Tabulka"/>
              <w:jc w:val="right"/>
              <w:rPr>
                <w:rFonts w:cs="Calibri"/>
              </w:rPr>
            </w:pPr>
          </w:p>
        </w:tc>
        <w:tc>
          <w:tcPr>
            <w:tcW w:w="639" w:type="dxa"/>
            <w:shd w:val="clear" w:color="auto" w:fill="auto"/>
            <w:vAlign w:val="center"/>
          </w:tcPr>
          <w:p w14:paraId="221EEF7E" w14:textId="77777777" w:rsidR="00382E89" w:rsidRPr="00DD47DF" w:rsidRDefault="00382E89" w:rsidP="00DD63AD">
            <w:pPr>
              <w:pStyle w:val="Tabulka"/>
              <w:rPr>
                <w:rFonts w:cs="Calibri"/>
              </w:rPr>
            </w:pPr>
          </w:p>
        </w:tc>
        <w:tc>
          <w:tcPr>
            <w:tcW w:w="1692" w:type="dxa"/>
            <w:shd w:val="clear" w:color="auto" w:fill="auto"/>
            <w:vAlign w:val="center"/>
          </w:tcPr>
          <w:p w14:paraId="17D6833A" w14:textId="77777777" w:rsidR="00382E89" w:rsidRPr="00DD47DF" w:rsidRDefault="00382E89" w:rsidP="00E84B36">
            <w:pPr>
              <w:pStyle w:val="Tabulka"/>
              <w:jc w:val="right"/>
              <w:rPr>
                <w:rFonts w:cs="Calibri"/>
              </w:rPr>
            </w:pPr>
          </w:p>
        </w:tc>
        <w:tc>
          <w:tcPr>
            <w:tcW w:w="576" w:type="dxa"/>
            <w:shd w:val="clear" w:color="auto" w:fill="auto"/>
            <w:vAlign w:val="center"/>
          </w:tcPr>
          <w:p w14:paraId="1B75025E" w14:textId="77777777" w:rsidR="00382E89" w:rsidRPr="00DD47DF" w:rsidRDefault="00382E89" w:rsidP="00DD63AD">
            <w:pPr>
              <w:pStyle w:val="Tabulka"/>
              <w:rPr>
                <w:rFonts w:cs="Calibri"/>
              </w:rPr>
            </w:pPr>
          </w:p>
        </w:tc>
        <w:tc>
          <w:tcPr>
            <w:tcW w:w="1756" w:type="dxa"/>
            <w:shd w:val="clear" w:color="auto" w:fill="auto"/>
            <w:vAlign w:val="center"/>
          </w:tcPr>
          <w:p w14:paraId="72E88FC3" w14:textId="77777777" w:rsidR="00382E89" w:rsidRPr="00DD47DF" w:rsidRDefault="00382E89" w:rsidP="00E84B36">
            <w:pPr>
              <w:pStyle w:val="Tabulka"/>
              <w:jc w:val="right"/>
              <w:rPr>
                <w:rFonts w:cs="Calibri"/>
              </w:rPr>
            </w:pPr>
          </w:p>
        </w:tc>
      </w:tr>
    </w:tbl>
    <w:p w14:paraId="548007C9" w14:textId="77777777" w:rsidR="00F47390" w:rsidRPr="00DD47DF" w:rsidRDefault="00DF23DE" w:rsidP="00DA3512">
      <w:pPr>
        <w:pStyle w:val="kapitola2A0"/>
        <w:numPr>
          <w:ilvl w:val="2"/>
          <w:numId w:val="69"/>
        </w:numPr>
      </w:pPr>
      <w:bookmarkStart w:id="102" w:name="_Toc506885044"/>
      <w:r w:rsidRPr="00DD47DF">
        <w:t>Přehled plánovaného využití technické pomoci, je-li to nutné, včetně opatření na posílení správní kapacity orgánů zapojených do řízení a kontroly programů a příjemců (použije-li se)</w:t>
      </w:r>
      <w:bookmarkEnd w:id="102"/>
    </w:p>
    <w:p w14:paraId="4EB78E93" w14:textId="77777777" w:rsidR="00F47390" w:rsidRPr="00DD47DF" w:rsidRDefault="008F72F4" w:rsidP="009D7E8A">
      <w:pPr>
        <w:pStyle w:val="Standardntext"/>
        <w:rPr>
          <w:color w:val="FF0000"/>
        </w:rPr>
      </w:pPr>
      <w:r w:rsidRPr="00DD47DF">
        <w:t>Není relevantní pro OP PIK.</w:t>
      </w:r>
      <w:r w:rsidR="00F47390" w:rsidRPr="00DD47DF">
        <w:br w:type="page"/>
      </w:r>
    </w:p>
    <w:p w14:paraId="72E56E19" w14:textId="77777777" w:rsidR="00017D76" w:rsidRPr="00DD47DF" w:rsidRDefault="00E62B2C" w:rsidP="00E62B2C">
      <w:pPr>
        <w:pStyle w:val="kapitola2A"/>
      </w:pPr>
      <w:bookmarkStart w:id="103" w:name="_Toc506885045"/>
      <w:bookmarkStart w:id="104" w:name="_Toc351464413"/>
      <w:r w:rsidRPr="00DD47DF">
        <w:lastRenderedPageBreak/>
        <w:t>Popis prioritních os pro technickou pomoc</w:t>
      </w:r>
      <w:bookmarkEnd w:id="103"/>
      <w:r w:rsidR="00017D76" w:rsidRPr="00DD47DF">
        <w:t xml:space="preserve"> </w:t>
      </w:r>
    </w:p>
    <w:p w14:paraId="66BDA6F9" w14:textId="77777777" w:rsidR="00E62B2C" w:rsidRPr="00DD47DF" w:rsidRDefault="00E62B2C" w:rsidP="005F43DF">
      <w:pPr>
        <w:pStyle w:val="kapitola2B"/>
        <w:numPr>
          <w:ilvl w:val="2"/>
          <w:numId w:val="12"/>
        </w:numPr>
        <w:ind w:left="709"/>
      </w:pPr>
      <w:bookmarkStart w:id="105" w:name="_Toc506885046"/>
      <w:bookmarkEnd w:id="104"/>
      <w:r w:rsidRPr="00DD47DF">
        <w:t>PRIORITNÍ OSA 5: Technická pomoc</w:t>
      </w:r>
      <w:bookmarkEnd w:id="105"/>
    </w:p>
    <w:p w14:paraId="14BB7BE5" w14:textId="77777777" w:rsidR="00E62B2C" w:rsidRPr="00DD47DF" w:rsidRDefault="00E62B2C" w:rsidP="005F43DF">
      <w:pPr>
        <w:pStyle w:val="kapitola2B"/>
        <w:numPr>
          <w:ilvl w:val="2"/>
          <w:numId w:val="12"/>
        </w:numPr>
        <w:ind w:left="709"/>
      </w:pPr>
      <w:bookmarkStart w:id="106" w:name="_Toc506885047"/>
      <w:r w:rsidRPr="00DD47DF">
        <w:t>Odůvodnění stanovení prioritní osy, jež zahrnuje více než jednu kategorii regionů (použije-li se)</w:t>
      </w:r>
      <w:bookmarkEnd w:id="106"/>
    </w:p>
    <w:p w14:paraId="778CC712" w14:textId="77777777" w:rsidR="00E62B2C" w:rsidRPr="00DD47DF" w:rsidRDefault="00E62B2C" w:rsidP="00E62B2C">
      <w:pPr>
        <w:pStyle w:val="Standardntext"/>
      </w:pPr>
      <w:r w:rsidRPr="00DD47DF">
        <w:t>Není relevantní pro OP PIK.</w:t>
      </w:r>
    </w:p>
    <w:p w14:paraId="6EBDF74C" w14:textId="77777777" w:rsidR="00E62B2C" w:rsidRPr="00DD47DF" w:rsidRDefault="00E62B2C" w:rsidP="005F43DF">
      <w:pPr>
        <w:pStyle w:val="kapitola2B"/>
        <w:numPr>
          <w:ilvl w:val="2"/>
          <w:numId w:val="12"/>
        </w:numPr>
        <w:ind w:left="709"/>
      </w:pPr>
      <w:bookmarkStart w:id="107" w:name="_Toc506885048"/>
      <w:r w:rsidRPr="00DD47DF">
        <w:t>Fond a kategorie regionů</w:t>
      </w:r>
      <w:bookmarkEnd w:id="107"/>
    </w:p>
    <w:p w14:paraId="08C4FEE5" w14:textId="77777777" w:rsidR="00E62B2C" w:rsidRPr="00DD47DF" w:rsidRDefault="00E62B2C" w:rsidP="00E62B2C">
      <w:pPr>
        <w:pStyle w:val="Standardntext"/>
      </w:pPr>
      <w:r w:rsidRPr="00DD47DF">
        <w:t>Fond: Evropský fond pro regionální rozvoj</w:t>
      </w:r>
    </w:p>
    <w:p w14:paraId="08735A68" w14:textId="77777777" w:rsidR="00E62B2C" w:rsidRPr="00DD47DF" w:rsidRDefault="00E62B2C" w:rsidP="00E62B2C">
      <w:pPr>
        <w:pStyle w:val="Standardntext"/>
      </w:pPr>
      <w:r w:rsidRPr="00DD47DF">
        <w:t>Kategorie regionů: Méně rozvinuté regiony</w:t>
      </w:r>
    </w:p>
    <w:p w14:paraId="4C5FF8A2" w14:textId="77777777" w:rsidR="00E62B2C" w:rsidRPr="00DD47DF" w:rsidRDefault="008668C8" w:rsidP="00E62B2C">
      <w:pPr>
        <w:pStyle w:val="Standardntext"/>
      </w:pPr>
      <w:r w:rsidRPr="00DD47DF">
        <w:t xml:space="preserve">Základ pro výpočet: </w:t>
      </w:r>
      <w:r w:rsidR="009B6147" w:rsidRPr="00DD47DF">
        <w:t>celkové způsobilé výdaje</w:t>
      </w:r>
    </w:p>
    <w:p w14:paraId="18D2492D" w14:textId="77777777" w:rsidR="005444BD" w:rsidRPr="00DD47DF" w:rsidRDefault="005444BD" w:rsidP="005F43DF">
      <w:pPr>
        <w:pStyle w:val="kapitola2B"/>
        <w:numPr>
          <w:ilvl w:val="2"/>
          <w:numId w:val="12"/>
        </w:numPr>
        <w:ind w:left="709"/>
      </w:pPr>
      <w:bookmarkStart w:id="108" w:name="_Toc506885049"/>
      <w:r w:rsidRPr="00DD47DF">
        <w:t>Specifické cíle a očekávané výsledky</w:t>
      </w:r>
      <w:bookmarkEnd w:id="108"/>
    </w:p>
    <w:p w14:paraId="564E1385" w14:textId="77777777" w:rsidR="00111415" w:rsidRPr="00DD47DF" w:rsidRDefault="003218B1" w:rsidP="00396141">
      <w:pPr>
        <w:pStyle w:val="Modrnadpis"/>
      </w:pPr>
      <w:r w:rsidRPr="00DD47DF">
        <w:t>SPECIFICKÝ CÍL</w:t>
      </w:r>
      <w:r w:rsidR="0064012D" w:rsidRPr="00DD47DF">
        <w:t xml:space="preserve"> </w:t>
      </w:r>
      <w:r w:rsidR="00961515" w:rsidRPr="00DD47DF">
        <w:t>5.</w:t>
      </w:r>
      <w:r w:rsidR="0064012D" w:rsidRPr="00DD47DF">
        <w:t>1</w:t>
      </w:r>
      <w:r w:rsidRPr="00DD47DF">
        <w:t xml:space="preserve">: </w:t>
      </w:r>
      <w:r w:rsidR="00111415" w:rsidRPr="00DD47DF">
        <w:t>Zajištění efektivní</w:t>
      </w:r>
      <w:r w:rsidR="00346FC8" w:rsidRPr="00DD47DF">
        <w:t xml:space="preserve">ho řízení a </w:t>
      </w:r>
      <w:r w:rsidR="00111415" w:rsidRPr="00DD47DF">
        <w:t>administrace operačního programu</w:t>
      </w:r>
    </w:p>
    <w:p w14:paraId="0C4FBCCC" w14:textId="77777777" w:rsidR="00264514" w:rsidRPr="00DD47DF" w:rsidRDefault="00264514" w:rsidP="00264514">
      <w:pPr>
        <w:pStyle w:val="Standardntext"/>
        <w:rPr>
          <w:bCs/>
        </w:rPr>
      </w:pPr>
      <w:r w:rsidRPr="00DD47DF">
        <w:rPr>
          <w:bCs/>
        </w:rPr>
        <w:t xml:space="preserve">Předpokladem naplňování specifického cíle jsou především kvalitní lidské zdroje, </w:t>
      </w:r>
      <w:r w:rsidR="00C6562F" w:rsidRPr="00DD47DF">
        <w:rPr>
          <w:bCs/>
        </w:rPr>
        <w:t xml:space="preserve">jednotně a srozumitelně zpracované </w:t>
      </w:r>
      <w:r w:rsidRPr="00DD47DF">
        <w:rPr>
          <w:bCs/>
        </w:rPr>
        <w:t>manuály</w:t>
      </w:r>
      <w:r w:rsidR="00C6562F" w:rsidRPr="00DD47DF">
        <w:rPr>
          <w:bCs/>
        </w:rPr>
        <w:t>, příručky</w:t>
      </w:r>
      <w:r w:rsidRPr="00DD47DF">
        <w:rPr>
          <w:bCs/>
        </w:rPr>
        <w:t xml:space="preserve"> a metodiky pro postupy v implementaci a monitorování, pro provádění kontrol</w:t>
      </w:r>
      <w:r w:rsidR="00C6562F" w:rsidRPr="00DD47DF">
        <w:rPr>
          <w:bCs/>
        </w:rPr>
        <w:t>,</w:t>
      </w:r>
      <w:r w:rsidR="00DE2376" w:rsidRPr="00DD47DF">
        <w:rPr>
          <w:bCs/>
        </w:rPr>
        <w:t xml:space="preserve"> </w:t>
      </w:r>
      <w:r w:rsidRPr="00DD47DF">
        <w:rPr>
          <w:bCs/>
        </w:rPr>
        <w:t xml:space="preserve">informační a monitorovací systémy. </w:t>
      </w:r>
      <w:r w:rsidR="00C6562F" w:rsidRPr="00DD47DF">
        <w:rPr>
          <w:bCs/>
        </w:rPr>
        <w:t xml:space="preserve">Podstatou specifického cíle </w:t>
      </w:r>
      <w:r w:rsidRPr="00DD47DF">
        <w:rPr>
          <w:bCs/>
        </w:rPr>
        <w:t xml:space="preserve">je zajištění administrace </w:t>
      </w:r>
      <w:r w:rsidR="004B2EFF" w:rsidRPr="00DD47DF">
        <w:rPr>
          <w:bCs/>
        </w:rPr>
        <w:t xml:space="preserve">a monitorování </w:t>
      </w:r>
      <w:r w:rsidRPr="00DD47DF">
        <w:rPr>
          <w:bCs/>
        </w:rPr>
        <w:t xml:space="preserve">programu spojené s efektivní implementací za účelem řádného čerpání </w:t>
      </w:r>
      <w:r w:rsidR="00C6562F" w:rsidRPr="00DD47DF">
        <w:rPr>
          <w:bCs/>
        </w:rPr>
        <w:t xml:space="preserve">prostředků dle </w:t>
      </w:r>
      <w:r w:rsidRPr="00DD47DF">
        <w:rPr>
          <w:bCs/>
        </w:rPr>
        <w:t xml:space="preserve">pravidel stanovených v legislativě k </w:t>
      </w:r>
      <w:r w:rsidR="00C6562F" w:rsidRPr="00DD47DF">
        <w:rPr>
          <w:bCs/>
        </w:rPr>
        <w:t xml:space="preserve">ESI fondům, </w:t>
      </w:r>
      <w:r w:rsidRPr="00DD47DF">
        <w:rPr>
          <w:bCs/>
        </w:rPr>
        <w:t>za současného naplňování věcných cílů</w:t>
      </w:r>
      <w:r w:rsidR="00C6562F" w:rsidRPr="00DD47DF">
        <w:rPr>
          <w:bCs/>
        </w:rPr>
        <w:t xml:space="preserve"> programu</w:t>
      </w:r>
      <w:r w:rsidRPr="00DD47DF">
        <w:rPr>
          <w:bCs/>
        </w:rPr>
        <w:t>.</w:t>
      </w:r>
    </w:p>
    <w:p w14:paraId="6A0A8BAA" w14:textId="77777777" w:rsidR="00264514" w:rsidRPr="00DD47DF" w:rsidRDefault="003508A9" w:rsidP="00264514">
      <w:pPr>
        <w:pStyle w:val="Modrnadpis"/>
      </w:pPr>
      <w:r w:rsidRPr="00DD47DF">
        <w:t>Výsledky, kterých chce ČR dosáhnout s podporou Unie</w:t>
      </w:r>
    </w:p>
    <w:p w14:paraId="319CE362" w14:textId="77777777" w:rsidR="00264514" w:rsidRPr="00DD47DF" w:rsidRDefault="00264514" w:rsidP="00DA3512">
      <w:pPr>
        <w:pStyle w:val="Standardntext"/>
        <w:numPr>
          <w:ilvl w:val="0"/>
          <w:numId w:val="59"/>
        </w:numPr>
        <w:textAlignment w:val="auto"/>
      </w:pPr>
      <w:r w:rsidRPr="00DD47DF">
        <w:t>Optimální nastavení administrativní kapacity zajistí efektivní řízení programu (zaměstnanci implementační struktury, systém hodnocení projektů).</w:t>
      </w:r>
    </w:p>
    <w:p w14:paraId="6ACBEC48" w14:textId="77777777" w:rsidR="00264514" w:rsidRPr="00DD47DF" w:rsidRDefault="00264514" w:rsidP="00DA3512">
      <w:pPr>
        <w:pStyle w:val="Standardntext"/>
        <w:numPr>
          <w:ilvl w:val="0"/>
          <w:numId w:val="59"/>
        </w:numPr>
        <w:textAlignment w:val="auto"/>
      </w:pPr>
      <w:r w:rsidRPr="00DD47DF">
        <w:t>Optimální zajištění pracovních podmínek povede ke snížení fluktuace zaměstnanců implementační struktury.</w:t>
      </w:r>
    </w:p>
    <w:p w14:paraId="2C348383" w14:textId="77777777" w:rsidR="00264514" w:rsidRPr="00DD47DF" w:rsidRDefault="00264514" w:rsidP="00DA3512">
      <w:pPr>
        <w:pStyle w:val="Standardntext"/>
        <w:numPr>
          <w:ilvl w:val="0"/>
          <w:numId w:val="59"/>
        </w:numPr>
        <w:textAlignment w:val="auto"/>
      </w:pPr>
      <w:r w:rsidRPr="00DD47DF">
        <w:t>Vyšší úroveň vzdělávání a školení zajistí odpovídající kvalitu lidských zdrojů.</w:t>
      </w:r>
    </w:p>
    <w:p w14:paraId="75A60E14" w14:textId="77777777" w:rsidR="00264514" w:rsidRPr="00DD47DF" w:rsidRDefault="00264514" w:rsidP="00DA3512">
      <w:pPr>
        <w:pStyle w:val="Standardntext"/>
        <w:numPr>
          <w:ilvl w:val="0"/>
          <w:numId w:val="59"/>
        </w:numPr>
        <w:textAlignment w:val="auto"/>
      </w:pPr>
      <w:r w:rsidRPr="00DD47DF">
        <w:t>Zpracování jasných a přehledných metodik zajistí eliminaci častých změn, různých výkladů a z nich plynoucích pochybení.</w:t>
      </w:r>
    </w:p>
    <w:p w14:paraId="7E771F21" w14:textId="77777777" w:rsidR="000F6567" w:rsidRPr="00DD47DF" w:rsidRDefault="00264514" w:rsidP="00DA3512">
      <w:pPr>
        <w:pStyle w:val="Standardntext"/>
        <w:numPr>
          <w:ilvl w:val="0"/>
          <w:numId w:val="59"/>
        </w:numPr>
        <w:textAlignment w:val="auto"/>
      </w:pPr>
      <w:r w:rsidRPr="00DD47DF">
        <w:t>Efektivní využití a přenos informací pro řádnou administraci programu (ověřené postupy a příklady dobré praxe získané v průběhu implementace OP Podnikání a inovace 2007-2013</w:t>
      </w:r>
      <w:r w:rsidR="000F6567" w:rsidRPr="00DD47DF">
        <w:t>).</w:t>
      </w:r>
    </w:p>
    <w:p w14:paraId="3AF23D95" w14:textId="77777777" w:rsidR="00264514" w:rsidRPr="00DD47DF" w:rsidRDefault="000F6567" w:rsidP="00DA3512">
      <w:pPr>
        <w:pStyle w:val="Standardntext"/>
        <w:numPr>
          <w:ilvl w:val="0"/>
          <w:numId w:val="59"/>
        </w:numPr>
        <w:textAlignment w:val="auto"/>
      </w:pPr>
      <w:r w:rsidRPr="00DD47DF">
        <w:t>Činnost a jednání M</w:t>
      </w:r>
      <w:r w:rsidR="00264514" w:rsidRPr="00DD47DF">
        <w:t>onitorovacího výboru</w:t>
      </w:r>
      <w:r w:rsidRPr="00DD47DF">
        <w:t xml:space="preserve"> OP PIK, </w:t>
      </w:r>
      <w:r w:rsidR="00264514" w:rsidRPr="00DD47DF">
        <w:t>pracovní</w:t>
      </w:r>
      <w:r w:rsidRPr="00DD47DF">
        <w:t xml:space="preserve">ch </w:t>
      </w:r>
      <w:r w:rsidR="00264514" w:rsidRPr="00DD47DF">
        <w:t>skupin.</w:t>
      </w:r>
    </w:p>
    <w:p w14:paraId="7A315C0F" w14:textId="77777777" w:rsidR="00264514" w:rsidRPr="00DD47DF" w:rsidRDefault="00264514" w:rsidP="00DA3512">
      <w:pPr>
        <w:pStyle w:val="Standardntext"/>
        <w:numPr>
          <w:ilvl w:val="0"/>
          <w:numId w:val="59"/>
        </w:numPr>
        <w:textAlignment w:val="auto"/>
      </w:pPr>
      <w:r w:rsidRPr="00DD47DF">
        <w:t>Efektivní nastavení kontrolního a monitorovacího systému.</w:t>
      </w:r>
    </w:p>
    <w:p w14:paraId="52A5B0F8" w14:textId="77777777" w:rsidR="00111415" w:rsidRPr="00DD47DF" w:rsidRDefault="003218B1" w:rsidP="00396141">
      <w:pPr>
        <w:pStyle w:val="Modrnadpis"/>
      </w:pPr>
      <w:r w:rsidRPr="00DD47DF">
        <w:t>SPECIFICKÝ CÍL</w:t>
      </w:r>
      <w:r w:rsidR="0064012D" w:rsidRPr="00DD47DF">
        <w:t xml:space="preserve"> </w:t>
      </w:r>
      <w:r w:rsidR="00961515" w:rsidRPr="00DD47DF">
        <w:t>5.</w:t>
      </w:r>
      <w:r w:rsidR="0064012D" w:rsidRPr="00DD47DF">
        <w:t>2</w:t>
      </w:r>
      <w:r w:rsidRPr="00DD47DF">
        <w:t xml:space="preserve">: </w:t>
      </w:r>
      <w:r w:rsidR="00111415" w:rsidRPr="00DD47DF">
        <w:t>Zajištění informovanosti, publicity a absorpční kapacity operačního programu</w:t>
      </w:r>
    </w:p>
    <w:p w14:paraId="39830E4F" w14:textId="77777777" w:rsidR="00264514" w:rsidRPr="00DD47DF" w:rsidRDefault="00264514" w:rsidP="00264514">
      <w:pPr>
        <w:pStyle w:val="Standardntext"/>
      </w:pPr>
      <w:r w:rsidRPr="00DD47DF">
        <w:t xml:space="preserve">Předpokladem naplňování specifického cíle je stanovení přesně zacílené komunikační strategie programu, </w:t>
      </w:r>
      <w:r w:rsidR="00C05A7E" w:rsidRPr="00DD47DF">
        <w:t xml:space="preserve">nastavení </w:t>
      </w:r>
      <w:r w:rsidRPr="00DD47DF">
        <w:t xml:space="preserve">informačních vazeb a kanálů směrem k veřejnosti a cílovým skupinám. </w:t>
      </w:r>
      <w:r w:rsidR="00C6562F" w:rsidRPr="00DD47DF">
        <w:lastRenderedPageBreak/>
        <w:t xml:space="preserve">Podstatou specifického cíle </w:t>
      </w:r>
      <w:r w:rsidRPr="00DD47DF">
        <w:t xml:space="preserve">je tak zajistit efektivní fungování a naplňování komunikační strategie </w:t>
      </w:r>
      <w:r w:rsidR="00D54845" w:rsidRPr="00DD47DF">
        <w:t xml:space="preserve">operačního programu </w:t>
      </w:r>
      <w:r w:rsidRPr="00DD47DF">
        <w:t xml:space="preserve">vedoucí k posílení </w:t>
      </w:r>
      <w:r w:rsidR="00D54845" w:rsidRPr="00DD47DF">
        <w:t xml:space="preserve">jeho </w:t>
      </w:r>
      <w:r w:rsidRPr="00DD47DF">
        <w:t xml:space="preserve">absorpční kapacity </w:t>
      </w:r>
      <w:r w:rsidR="00D54845" w:rsidRPr="00DD47DF">
        <w:t xml:space="preserve">a </w:t>
      </w:r>
      <w:r w:rsidRPr="00DD47DF">
        <w:t>tedy řádnému a efektivnímu čerpání finanční alokace dle pravidel stanovených v legislativě k E</w:t>
      </w:r>
      <w:r w:rsidR="00C6562F" w:rsidRPr="00DD47DF">
        <w:t xml:space="preserve">SI fondům, </w:t>
      </w:r>
      <w:r w:rsidRPr="00DD47DF">
        <w:t>za současného naplňování věcných cílů</w:t>
      </w:r>
      <w:r w:rsidR="00C6562F" w:rsidRPr="00DD47DF">
        <w:t xml:space="preserve"> programu</w:t>
      </w:r>
      <w:r w:rsidRPr="00DD47DF">
        <w:t>.</w:t>
      </w:r>
    </w:p>
    <w:p w14:paraId="73C8BBF8" w14:textId="77777777" w:rsidR="00264514" w:rsidRPr="00DD47DF" w:rsidRDefault="003508A9" w:rsidP="00264514">
      <w:pPr>
        <w:pStyle w:val="Modrnadpis"/>
      </w:pPr>
      <w:r w:rsidRPr="00DD47DF">
        <w:t>Výsledky, kterých chce ČR dosáhnout s podporou Unie</w:t>
      </w:r>
    </w:p>
    <w:p w14:paraId="76E02009" w14:textId="77777777" w:rsidR="00D54845" w:rsidRPr="00DD47DF" w:rsidRDefault="002E176F" w:rsidP="00DA3512">
      <w:pPr>
        <w:pStyle w:val="Standardntext"/>
        <w:numPr>
          <w:ilvl w:val="0"/>
          <w:numId w:val="60"/>
        </w:numPr>
        <w:textAlignment w:val="auto"/>
      </w:pPr>
      <w:r w:rsidRPr="00DD47DF">
        <w:t>P</w:t>
      </w:r>
      <w:r w:rsidR="00D54845" w:rsidRPr="00DD47DF">
        <w:t>osílení a zajištění absorpční kapacity programu.</w:t>
      </w:r>
    </w:p>
    <w:p w14:paraId="0F39FEB8" w14:textId="77777777" w:rsidR="00264514" w:rsidRPr="00DD47DF" w:rsidRDefault="00264514" w:rsidP="00DA3512">
      <w:pPr>
        <w:pStyle w:val="Standardntext"/>
        <w:numPr>
          <w:ilvl w:val="0"/>
          <w:numId w:val="60"/>
        </w:numPr>
        <w:textAlignment w:val="auto"/>
      </w:pPr>
      <w:r w:rsidRPr="00DD47DF">
        <w:t>Vyšší míra povědomí široké veřejnosti o programu.</w:t>
      </w:r>
    </w:p>
    <w:p w14:paraId="3EED9FA7" w14:textId="77777777" w:rsidR="00264514" w:rsidRPr="00DD47DF" w:rsidRDefault="00264514" w:rsidP="00DA3512">
      <w:pPr>
        <w:pStyle w:val="Standardntext"/>
        <w:numPr>
          <w:ilvl w:val="0"/>
          <w:numId w:val="60"/>
        </w:numPr>
        <w:textAlignment w:val="auto"/>
      </w:pPr>
      <w:r w:rsidRPr="00DD47DF">
        <w:t>Vyšší míra úspěšnosti projektových žádostí.</w:t>
      </w:r>
    </w:p>
    <w:p w14:paraId="3D129618" w14:textId="77777777" w:rsidR="00264514" w:rsidRPr="00DD47DF" w:rsidRDefault="00264514" w:rsidP="00DA3512">
      <w:pPr>
        <w:pStyle w:val="Standardntext"/>
        <w:numPr>
          <w:ilvl w:val="0"/>
          <w:numId w:val="60"/>
        </w:numPr>
        <w:textAlignment w:val="auto"/>
      </w:pPr>
      <w:r w:rsidRPr="00DD47DF">
        <w:t>Zajištění optimálního čerpání finančních prostředků programu prostřednictvím kvalitních projektů a efektivního využití výsledků evaluačních studií (včetně opatření na snížení administrativní zátěže).</w:t>
      </w:r>
    </w:p>
    <w:p w14:paraId="0D14FB0D" w14:textId="77777777" w:rsidR="00264514" w:rsidRPr="00DD47DF" w:rsidRDefault="00264514" w:rsidP="00DA3512">
      <w:pPr>
        <w:pStyle w:val="Standardntext"/>
        <w:numPr>
          <w:ilvl w:val="0"/>
          <w:numId w:val="60"/>
        </w:numPr>
        <w:textAlignment w:val="auto"/>
      </w:pPr>
      <w:r w:rsidRPr="00DD47DF">
        <w:t>Zpracování jasných a přehledných manuálů, příruček a dalších informačních materiálů pro žadatele zajistí eliminaci častých změn, různých výkladů a z nich plynoucích pochybení.</w:t>
      </w:r>
    </w:p>
    <w:p w14:paraId="78EFDD83" w14:textId="77777777" w:rsidR="00CF5E63" w:rsidRPr="00DD47DF" w:rsidRDefault="00DD2263" w:rsidP="005F43DF">
      <w:pPr>
        <w:pStyle w:val="kapitola2B"/>
        <w:keepNext w:val="0"/>
        <w:keepLines w:val="0"/>
        <w:numPr>
          <w:ilvl w:val="2"/>
          <w:numId w:val="12"/>
        </w:numPr>
        <w:ind w:left="709"/>
      </w:pPr>
      <w:bookmarkStart w:id="109" w:name="_Toc506885050"/>
      <w:r w:rsidRPr="00DD47DF">
        <w:t>Ukazatele výsledků</w:t>
      </w:r>
      <w:bookmarkEnd w:id="109"/>
    </w:p>
    <w:p w14:paraId="2511E8D9" w14:textId="77777777" w:rsidR="004B6609" w:rsidRPr="00DD47DF" w:rsidRDefault="004B6609" w:rsidP="00EA2881">
      <w:pPr>
        <w:pStyle w:val="Modrnadpis"/>
        <w:keepNext w:val="0"/>
        <w:keepLines w:val="0"/>
      </w:pPr>
      <w:r w:rsidRPr="00DD47DF">
        <w:t>SPECIFICKÝ CÍL 5.1: Zajištění efektivního řízení a administrace operačního programu</w:t>
      </w:r>
    </w:p>
    <w:p w14:paraId="3B1E82DB" w14:textId="77777777" w:rsidR="00771C05" w:rsidRPr="00DD47DF" w:rsidRDefault="00771C05" w:rsidP="00EA2881">
      <w:pPr>
        <w:pStyle w:val="Titulek"/>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12</w:t>
      </w:r>
      <w:r w:rsidR="002756E7" w:rsidRPr="00DD47DF">
        <w:rPr>
          <w:noProof/>
        </w:rPr>
        <w:fldChar w:fldCharType="end"/>
      </w:r>
      <w:r w:rsidR="004B6609" w:rsidRPr="00DD47DF">
        <w:rPr>
          <w:noProof/>
        </w:rPr>
        <w:t>a</w:t>
      </w:r>
      <w:r w:rsidRPr="00DD47DF">
        <w:t xml:space="preserve">: </w:t>
      </w:r>
      <w:r w:rsidR="00DD2263" w:rsidRPr="00DD47DF">
        <w:t>Programově specifické ukazatele výsledků</w:t>
      </w:r>
    </w:p>
    <w:tbl>
      <w:tblPr>
        <w:tblW w:w="0" w:type="auto"/>
        <w:tblCellMar>
          <w:left w:w="57" w:type="dxa"/>
          <w:right w:w="57" w:type="dxa"/>
        </w:tblCellMar>
        <w:tblLook w:val="01E0" w:firstRow="1" w:lastRow="1" w:firstColumn="1" w:lastColumn="1" w:noHBand="0" w:noVBand="0"/>
      </w:tblPr>
      <w:tblGrid>
        <w:gridCol w:w="908"/>
        <w:gridCol w:w="2410"/>
        <w:gridCol w:w="992"/>
        <w:gridCol w:w="1112"/>
        <w:gridCol w:w="872"/>
        <w:gridCol w:w="993"/>
        <w:gridCol w:w="850"/>
        <w:gridCol w:w="1189"/>
      </w:tblGrid>
      <w:tr w:rsidR="00AF574A" w:rsidRPr="00DD47DF" w14:paraId="41080B6A" w14:textId="77777777">
        <w:trPr>
          <w:trHeight w:hRule="exact" w:val="1029"/>
        </w:trPr>
        <w:tc>
          <w:tcPr>
            <w:tcW w:w="9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C8EE3FA" w14:textId="77777777" w:rsidR="00AF574A" w:rsidRPr="00DD47DF" w:rsidRDefault="00AF574A" w:rsidP="00EA2881">
            <w:pPr>
              <w:pStyle w:val="Tabulka"/>
              <w:rPr>
                <w:rFonts w:cs="Calibri"/>
              </w:rPr>
            </w:pPr>
            <w:r w:rsidRPr="00DD47DF">
              <w:rPr>
                <w:rFonts w:cs="Calibri"/>
                <w:b/>
                <w:bCs/>
              </w:rPr>
              <w:t>ID</w:t>
            </w:r>
          </w:p>
        </w:tc>
        <w:tc>
          <w:tcPr>
            <w:tcW w:w="241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0CCAE2F" w14:textId="77777777" w:rsidR="00AF574A" w:rsidRPr="00DD47DF" w:rsidRDefault="00DD2263" w:rsidP="00EA2881">
            <w:pPr>
              <w:pStyle w:val="Tabulka"/>
              <w:rPr>
                <w:rFonts w:cs="Calibri"/>
              </w:rPr>
            </w:pPr>
            <w:r w:rsidRPr="00DD47DF">
              <w:rPr>
                <w:rFonts w:cs="Calibri"/>
                <w:b/>
                <w:bCs/>
              </w:rPr>
              <w:t>Ukazatel</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7431C0A" w14:textId="77777777" w:rsidR="00AF574A" w:rsidRPr="00DD47DF" w:rsidRDefault="00AF574A" w:rsidP="00720FD1">
            <w:pPr>
              <w:pStyle w:val="Tabulka"/>
              <w:rPr>
                <w:rFonts w:cs="Calibri"/>
              </w:rPr>
            </w:pPr>
            <w:r w:rsidRPr="00DD47DF">
              <w:rPr>
                <w:rFonts w:cs="Calibri"/>
                <w:b/>
                <w:bCs/>
              </w:rPr>
              <w:t>Měrná</w:t>
            </w:r>
            <w:r w:rsidR="00720FD1" w:rsidRPr="00DD47DF">
              <w:rPr>
                <w:rFonts w:cs="Calibri"/>
                <w:b/>
                <w:bCs/>
              </w:rPr>
              <w:t xml:space="preserve"> </w:t>
            </w:r>
            <w:r w:rsidRPr="00DD47DF">
              <w:rPr>
                <w:rFonts w:cs="Calibri"/>
                <w:b/>
                <w:bCs/>
              </w:rPr>
              <w:t>jednotka</w:t>
            </w:r>
          </w:p>
        </w:tc>
        <w:tc>
          <w:tcPr>
            <w:tcW w:w="111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49772BE" w14:textId="77777777" w:rsidR="00AF574A" w:rsidRPr="00DD47DF" w:rsidRDefault="004B0854" w:rsidP="00EA2881">
            <w:pPr>
              <w:pStyle w:val="Tabulka"/>
              <w:rPr>
                <w:rFonts w:cs="Calibri"/>
              </w:rPr>
            </w:pPr>
            <w:r w:rsidRPr="00DD47DF">
              <w:rPr>
                <w:rFonts w:cs="Calibri"/>
                <w:b/>
                <w:bCs/>
              </w:rPr>
              <w:t>Výchozí hodnota</w:t>
            </w:r>
          </w:p>
        </w:tc>
        <w:tc>
          <w:tcPr>
            <w:tcW w:w="87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119A4F5" w14:textId="77777777" w:rsidR="00AF574A" w:rsidRPr="00DD47DF" w:rsidRDefault="004B0854" w:rsidP="004B0854">
            <w:pPr>
              <w:pStyle w:val="Tabulka"/>
              <w:rPr>
                <w:rFonts w:cs="Calibri"/>
              </w:rPr>
            </w:pPr>
            <w:r w:rsidRPr="00DD47DF">
              <w:rPr>
                <w:rFonts w:cs="Calibri"/>
                <w:b/>
                <w:bCs/>
              </w:rPr>
              <w:t xml:space="preserve">Výchozí </w:t>
            </w:r>
            <w:r w:rsidR="00AF574A" w:rsidRPr="00DD47DF">
              <w:rPr>
                <w:rFonts w:cs="Calibri"/>
                <w:b/>
                <w:bCs/>
              </w:rPr>
              <w:t>rok</w:t>
            </w:r>
          </w:p>
        </w:tc>
        <w:tc>
          <w:tcPr>
            <w:tcW w:w="99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FDA4537" w14:textId="77777777" w:rsidR="00AF574A" w:rsidRPr="00DD47DF" w:rsidRDefault="009E5CFE" w:rsidP="00EA2881">
            <w:pPr>
              <w:pStyle w:val="Tabulka"/>
              <w:rPr>
                <w:rFonts w:cs="Calibri"/>
              </w:rPr>
            </w:pPr>
            <w:r w:rsidRPr="00DD47DF">
              <w:rPr>
                <w:rFonts w:cs="Calibri"/>
                <w:b/>
                <w:bCs/>
              </w:rPr>
              <w:t>Cílová hodnota (2023)</w:t>
            </w:r>
          </w:p>
        </w:tc>
        <w:tc>
          <w:tcPr>
            <w:tcW w:w="85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39E0C45" w14:textId="77777777" w:rsidR="00AF574A" w:rsidRPr="00DD47DF" w:rsidRDefault="00AF574A" w:rsidP="00EA2881">
            <w:pPr>
              <w:pStyle w:val="Tabulka"/>
              <w:rPr>
                <w:rFonts w:cs="Calibri"/>
              </w:rPr>
            </w:pPr>
            <w:r w:rsidRPr="00DD47DF">
              <w:rPr>
                <w:rFonts w:cs="Calibri"/>
                <w:b/>
                <w:bCs/>
              </w:rPr>
              <w:t>Zdroj údajů</w:t>
            </w:r>
          </w:p>
        </w:tc>
        <w:tc>
          <w:tcPr>
            <w:tcW w:w="118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149A33C" w14:textId="77777777" w:rsidR="00AF574A" w:rsidRPr="00DD47DF" w:rsidRDefault="00DD2263" w:rsidP="00EA2881">
            <w:pPr>
              <w:pStyle w:val="Tabulka"/>
              <w:rPr>
                <w:rFonts w:cs="Calibri"/>
              </w:rPr>
            </w:pPr>
            <w:r w:rsidRPr="00DD47DF">
              <w:rPr>
                <w:rFonts w:cs="Calibri"/>
                <w:b/>
                <w:bCs/>
              </w:rPr>
              <w:t>Četnost podávání zpráv</w:t>
            </w:r>
          </w:p>
        </w:tc>
      </w:tr>
      <w:tr w:rsidR="009F0C3A" w:rsidRPr="00DD47DF" w14:paraId="56A3AD0A" w14:textId="77777777">
        <w:trPr>
          <w:trHeight w:hRule="exact" w:val="884"/>
        </w:trPr>
        <w:tc>
          <w:tcPr>
            <w:tcW w:w="908" w:type="dxa"/>
            <w:tcBorders>
              <w:top w:val="single" w:sz="4" w:space="0" w:color="000000"/>
              <w:left w:val="single" w:sz="4" w:space="0" w:color="000000"/>
              <w:bottom w:val="single" w:sz="4" w:space="0" w:color="000000"/>
              <w:right w:val="single" w:sz="4" w:space="0" w:color="000000"/>
            </w:tcBorders>
            <w:vAlign w:val="center"/>
          </w:tcPr>
          <w:p w14:paraId="6CAABA72" w14:textId="77777777" w:rsidR="009F0C3A" w:rsidRPr="00DD47DF" w:rsidRDefault="00843120" w:rsidP="00EA2881">
            <w:pPr>
              <w:pStyle w:val="Tabulka"/>
              <w:rPr>
                <w:rFonts w:cs="Calibri"/>
              </w:rPr>
            </w:pPr>
            <w:r w:rsidRPr="00DD47DF">
              <w:rPr>
                <w:rFonts w:cs="Calibri"/>
              </w:rPr>
              <w:t>82510</w:t>
            </w:r>
          </w:p>
        </w:tc>
        <w:tc>
          <w:tcPr>
            <w:tcW w:w="2410" w:type="dxa"/>
            <w:tcBorders>
              <w:top w:val="single" w:sz="4" w:space="0" w:color="000000"/>
              <w:left w:val="single" w:sz="4" w:space="0" w:color="000000"/>
              <w:bottom w:val="single" w:sz="4" w:space="0" w:color="000000"/>
              <w:right w:val="single" w:sz="4" w:space="0" w:color="000000"/>
            </w:tcBorders>
            <w:vAlign w:val="center"/>
          </w:tcPr>
          <w:p w14:paraId="6CBF988E" w14:textId="77777777" w:rsidR="009F0C3A" w:rsidRPr="00DD47DF" w:rsidRDefault="005F561C" w:rsidP="00EA2881">
            <w:pPr>
              <w:pStyle w:val="Tabulka"/>
              <w:jc w:val="left"/>
              <w:rPr>
                <w:rFonts w:cs="Calibri"/>
              </w:rPr>
            </w:pPr>
            <w:r w:rsidRPr="00DD47DF">
              <w:rPr>
                <w:rFonts w:cs="Calibri"/>
              </w:rPr>
              <w:t>Míra stabilizace zaměstnanců implementační struktury</w:t>
            </w:r>
          </w:p>
        </w:tc>
        <w:tc>
          <w:tcPr>
            <w:tcW w:w="992" w:type="dxa"/>
            <w:tcBorders>
              <w:top w:val="single" w:sz="4" w:space="0" w:color="000000"/>
              <w:left w:val="single" w:sz="4" w:space="0" w:color="000000"/>
              <w:bottom w:val="single" w:sz="4" w:space="0" w:color="000000"/>
              <w:right w:val="single" w:sz="4" w:space="0" w:color="000000"/>
            </w:tcBorders>
            <w:vAlign w:val="center"/>
          </w:tcPr>
          <w:p w14:paraId="0D4C6438" w14:textId="77777777" w:rsidR="009F0C3A" w:rsidRPr="00DD47DF" w:rsidRDefault="009F0C3A" w:rsidP="00EA2881">
            <w:pPr>
              <w:pStyle w:val="Tabulka"/>
              <w:rPr>
                <w:rFonts w:cs="Calibri"/>
              </w:rPr>
            </w:pPr>
            <w:r w:rsidRPr="00DD47DF">
              <w:rPr>
                <w:rFonts w:cs="Calibri"/>
              </w:rPr>
              <w:t>%</w:t>
            </w:r>
          </w:p>
        </w:tc>
        <w:tc>
          <w:tcPr>
            <w:tcW w:w="1112" w:type="dxa"/>
            <w:tcBorders>
              <w:top w:val="single" w:sz="4" w:space="0" w:color="000000"/>
              <w:left w:val="single" w:sz="4" w:space="0" w:color="000000"/>
              <w:bottom w:val="single" w:sz="4" w:space="0" w:color="000000"/>
              <w:right w:val="single" w:sz="4" w:space="0" w:color="000000"/>
            </w:tcBorders>
            <w:vAlign w:val="center"/>
          </w:tcPr>
          <w:p w14:paraId="46AD69B9" w14:textId="77777777" w:rsidR="009F0C3A" w:rsidRPr="00DD47DF" w:rsidRDefault="00EF17A8" w:rsidP="00EA2881">
            <w:pPr>
              <w:pStyle w:val="Tabulka"/>
              <w:rPr>
                <w:rFonts w:cs="Calibri"/>
              </w:rPr>
            </w:pPr>
            <w:r w:rsidRPr="00DD47DF">
              <w:rPr>
                <w:rFonts w:cs="Calibri"/>
              </w:rPr>
              <w:t>53</w:t>
            </w:r>
          </w:p>
        </w:tc>
        <w:tc>
          <w:tcPr>
            <w:tcW w:w="872" w:type="dxa"/>
            <w:tcBorders>
              <w:top w:val="single" w:sz="4" w:space="0" w:color="000000"/>
              <w:left w:val="single" w:sz="4" w:space="0" w:color="000000"/>
              <w:bottom w:val="single" w:sz="4" w:space="0" w:color="000000"/>
              <w:right w:val="single" w:sz="4" w:space="0" w:color="000000"/>
            </w:tcBorders>
            <w:vAlign w:val="center"/>
          </w:tcPr>
          <w:p w14:paraId="05BDAC96" w14:textId="77777777" w:rsidR="009F0C3A" w:rsidRPr="00DD47DF" w:rsidRDefault="00EC7290" w:rsidP="00EA2881">
            <w:pPr>
              <w:pStyle w:val="Tabulka"/>
              <w:rPr>
                <w:rFonts w:cs="Calibri"/>
              </w:rPr>
            </w:pPr>
            <w:r w:rsidRPr="00DD47DF">
              <w:rPr>
                <w:rFonts w:cs="Calibri"/>
              </w:rPr>
              <w:t>2014</w:t>
            </w:r>
          </w:p>
        </w:tc>
        <w:tc>
          <w:tcPr>
            <w:tcW w:w="993" w:type="dxa"/>
            <w:tcBorders>
              <w:top w:val="single" w:sz="4" w:space="0" w:color="000000"/>
              <w:left w:val="single" w:sz="4" w:space="0" w:color="000000"/>
              <w:bottom w:val="single" w:sz="4" w:space="0" w:color="000000"/>
              <w:right w:val="single" w:sz="4" w:space="0" w:color="000000"/>
            </w:tcBorders>
            <w:vAlign w:val="center"/>
          </w:tcPr>
          <w:p w14:paraId="5892A9D1" w14:textId="77777777" w:rsidR="009F0C3A" w:rsidRPr="00DD47DF" w:rsidRDefault="00EF17A8" w:rsidP="00EA2881">
            <w:pPr>
              <w:pStyle w:val="Tabulka"/>
              <w:rPr>
                <w:rFonts w:cs="Calibri"/>
              </w:rPr>
            </w:pPr>
            <w:r w:rsidRPr="00DD47DF">
              <w:rPr>
                <w:rFonts w:cs="Calibri"/>
              </w:rPr>
              <w:t>65</w:t>
            </w:r>
          </w:p>
        </w:tc>
        <w:tc>
          <w:tcPr>
            <w:tcW w:w="850" w:type="dxa"/>
            <w:tcBorders>
              <w:top w:val="single" w:sz="4" w:space="0" w:color="000000"/>
              <w:left w:val="single" w:sz="4" w:space="0" w:color="000000"/>
              <w:bottom w:val="single" w:sz="4" w:space="0" w:color="000000"/>
              <w:right w:val="single" w:sz="4" w:space="0" w:color="000000"/>
            </w:tcBorders>
            <w:vAlign w:val="center"/>
          </w:tcPr>
          <w:p w14:paraId="0D89A107" w14:textId="77777777" w:rsidR="009F0C3A" w:rsidRPr="00DD47DF" w:rsidRDefault="005F561C" w:rsidP="00EA2881">
            <w:pPr>
              <w:pStyle w:val="Tabulka"/>
              <w:rPr>
                <w:rFonts w:cs="Calibri"/>
              </w:rPr>
            </w:pPr>
            <w:r w:rsidRPr="00DD47DF">
              <w:rPr>
                <w:rFonts w:cs="Calibri"/>
              </w:rPr>
              <w:t>ŘO</w:t>
            </w:r>
          </w:p>
        </w:tc>
        <w:tc>
          <w:tcPr>
            <w:tcW w:w="1189" w:type="dxa"/>
            <w:tcBorders>
              <w:top w:val="single" w:sz="4" w:space="0" w:color="000000"/>
              <w:left w:val="single" w:sz="4" w:space="0" w:color="000000"/>
              <w:bottom w:val="single" w:sz="4" w:space="0" w:color="000000"/>
              <w:right w:val="single" w:sz="4" w:space="0" w:color="000000"/>
            </w:tcBorders>
            <w:vAlign w:val="center"/>
          </w:tcPr>
          <w:p w14:paraId="73F344CF" w14:textId="77777777" w:rsidR="009F0C3A" w:rsidRPr="00DD47DF" w:rsidRDefault="00274100" w:rsidP="00EA2881">
            <w:pPr>
              <w:pStyle w:val="Tabulka"/>
              <w:rPr>
                <w:rFonts w:cs="Calibri"/>
              </w:rPr>
            </w:pPr>
            <w:r w:rsidRPr="00DD47DF">
              <w:rPr>
                <w:rFonts w:cs="Calibri"/>
              </w:rPr>
              <w:t>ročně</w:t>
            </w:r>
          </w:p>
        </w:tc>
      </w:tr>
    </w:tbl>
    <w:p w14:paraId="60322B94" w14:textId="77777777" w:rsidR="004B6609" w:rsidRPr="00DD47DF" w:rsidRDefault="004B6609" w:rsidP="00DD2263">
      <w:pPr>
        <w:pStyle w:val="Modrnadpis"/>
      </w:pPr>
      <w:r w:rsidRPr="00DD47DF">
        <w:t>SPECIFICKÝ CÍL 5.2: Zajištění informovanosti, publicity a absorpční kapacity operačního programu</w:t>
      </w:r>
    </w:p>
    <w:p w14:paraId="7FBEA986" w14:textId="77777777" w:rsidR="004B6609" w:rsidRPr="00DD47DF" w:rsidRDefault="004B6609" w:rsidP="00DD2263">
      <w:pPr>
        <w:pStyle w:val="Titulek"/>
        <w:keepNext/>
        <w:keepLines/>
      </w:pPr>
      <w:r w:rsidRPr="00DD47DF">
        <w:t xml:space="preserve">Tabulka </w:t>
      </w:r>
      <w:r w:rsidR="002756E7" w:rsidRPr="00DD47DF">
        <w:fldChar w:fldCharType="begin"/>
      </w:r>
      <w:r w:rsidR="000E35F2" w:rsidRPr="00DD47DF">
        <w:instrText xml:space="preserve"> SEQ Tabulka \* ARABIC \r 12 </w:instrText>
      </w:r>
      <w:r w:rsidR="002756E7" w:rsidRPr="00DD47DF">
        <w:fldChar w:fldCharType="separate"/>
      </w:r>
      <w:r w:rsidR="00117847">
        <w:rPr>
          <w:noProof/>
        </w:rPr>
        <w:t>12</w:t>
      </w:r>
      <w:r w:rsidR="002756E7" w:rsidRPr="00DD47DF">
        <w:rPr>
          <w:noProof/>
        </w:rPr>
        <w:fldChar w:fldCharType="end"/>
      </w:r>
      <w:r w:rsidRPr="00DD47DF">
        <w:rPr>
          <w:noProof/>
        </w:rPr>
        <w:t>b</w:t>
      </w:r>
      <w:r w:rsidRPr="00DD47DF">
        <w:t xml:space="preserve">: </w:t>
      </w:r>
      <w:r w:rsidR="00DD2263" w:rsidRPr="00DD47DF">
        <w:t>Programově specifické ukazatele výsledků</w:t>
      </w:r>
    </w:p>
    <w:tbl>
      <w:tblPr>
        <w:tblW w:w="0" w:type="auto"/>
        <w:tblCellMar>
          <w:left w:w="57" w:type="dxa"/>
          <w:right w:w="57" w:type="dxa"/>
        </w:tblCellMar>
        <w:tblLook w:val="01E0" w:firstRow="1" w:lastRow="1" w:firstColumn="1" w:lastColumn="1" w:noHBand="0" w:noVBand="0"/>
      </w:tblPr>
      <w:tblGrid>
        <w:gridCol w:w="908"/>
        <w:gridCol w:w="2268"/>
        <w:gridCol w:w="992"/>
        <w:gridCol w:w="971"/>
        <w:gridCol w:w="872"/>
        <w:gridCol w:w="992"/>
        <w:gridCol w:w="1276"/>
        <w:gridCol w:w="1047"/>
      </w:tblGrid>
      <w:tr w:rsidR="004B6609" w:rsidRPr="00DD47DF" w14:paraId="229689D4" w14:textId="77777777">
        <w:trPr>
          <w:trHeight w:hRule="exact" w:val="1029"/>
        </w:trPr>
        <w:tc>
          <w:tcPr>
            <w:tcW w:w="9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07A74F0" w14:textId="77777777" w:rsidR="004B6609" w:rsidRPr="00DD47DF" w:rsidRDefault="004B6609" w:rsidP="00DD2263">
            <w:pPr>
              <w:pStyle w:val="Tabulka"/>
              <w:keepNext/>
              <w:keepLines/>
              <w:rPr>
                <w:rFonts w:cs="Calibri"/>
              </w:rPr>
            </w:pPr>
            <w:r w:rsidRPr="00DD47DF">
              <w:rPr>
                <w:rFonts w:cs="Calibri"/>
                <w:b/>
                <w:bCs/>
              </w:rPr>
              <w:t>ID</w:t>
            </w:r>
          </w:p>
        </w:tc>
        <w:tc>
          <w:tcPr>
            <w:tcW w:w="226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4E4ED63" w14:textId="77777777" w:rsidR="004B6609" w:rsidRPr="00DD47DF" w:rsidRDefault="00DD2263" w:rsidP="00DD2263">
            <w:pPr>
              <w:pStyle w:val="Tabulka"/>
              <w:keepNext/>
              <w:keepLines/>
              <w:rPr>
                <w:rFonts w:cs="Calibri"/>
              </w:rPr>
            </w:pPr>
            <w:r w:rsidRPr="00DD47DF">
              <w:rPr>
                <w:rFonts w:cs="Calibri"/>
                <w:b/>
                <w:bCs/>
              </w:rPr>
              <w:t>Ukazatel</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D73AC68" w14:textId="77777777" w:rsidR="004B6609" w:rsidRPr="00DD47DF" w:rsidRDefault="004B6609" w:rsidP="00720FD1">
            <w:pPr>
              <w:pStyle w:val="Tabulka"/>
              <w:keepNext/>
              <w:keepLines/>
              <w:rPr>
                <w:rFonts w:cs="Calibri"/>
              </w:rPr>
            </w:pPr>
            <w:r w:rsidRPr="00DD47DF">
              <w:rPr>
                <w:rFonts w:cs="Calibri"/>
                <w:b/>
                <w:bCs/>
              </w:rPr>
              <w:t>Měrná</w:t>
            </w:r>
            <w:r w:rsidR="00720FD1" w:rsidRPr="00DD47DF">
              <w:rPr>
                <w:rFonts w:cs="Calibri"/>
                <w:b/>
                <w:bCs/>
              </w:rPr>
              <w:t xml:space="preserve"> </w:t>
            </w:r>
            <w:r w:rsidRPr="00DD47DF">
              <w:rPr>
                <w:rFonts w:cs="Calibri"/>
                <w:b/>
                <w:bCs/>
              </w:rPr>
              <w:t>jednotka</w:t>
            </w:r>
          </w:p>
        </w:tc>
        <w:tc>
          <w:tcPr>
            <w:tcW w:w="97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9A9E986" w14:textId="77777777" w:rsidR="004B6609" w:rsidRPr="00DD47DF" w:rsidRDefault="004B0854" w:rsidP="00DD2263">
            <w:pPr>
              <w:pStyle w:val="Tabulka"/>
              <w:keepNext/>
              <w:keepLines/>
              <w:rPr>
                <w:rFonts w:cs="Calibri"/>
              </w:rPr>
            </w:pPr>
            <w:r w:rsidRPr="00DD47DF">
              <w:rPr>
                <w:rFonts w:cs="Calibri"/>
                <w:b/>
                <w:bCs/>
              </w:rPr>
              <w:t>Výchozí hodnota</w:t>
            </w:r>
          </w:p>
        </w:tc>
        <w:tc>
          <w:tcPr>
            <w:tcW w:w="87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670880E" w14:textId="77777777" w:rsidR="004B6609" w:rsidRPr="00DD47DF" w:rsidRDefault="004B0854" w:rsidP="004B0854">
            <w:pPr>
              <w:pStyle w:val="Tabulka"/>
              <w:keepNext/>
              <w:keepLines/>
              <w:rPr>
                <w:rFonts w:cs="Calibri"/>
              </w:rPr>
            </w:pPr>
            <w:r w:rsidRPr="00DD47DF">
              <w:rPr>
                <w:rFonts w:cs="Calibri"/>
                <w:b/>
                <w:bCs/>
              </w:rPr>
              <w:t xml:space="preserve">Výchozí </w:t>
            </w:r>
            <w:r w:rsidR="004B6609" w:rsidRPr="00DD47DF">
              <w:rPr>
                <w:rFonts w:cs="Calibri"/>
                <w:b/>
                <w:bCs/>
              </w:rPr>
              <w:t>rok</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6205AC6" w14:textId="77777777" w:rsidR="004B6609" w:rsidRPr="00DD47DF" w:rsidRDefault="004B6609" w:rsidP="00DD2263">
            <w:pPr>
              <w:pStyle w:val="Tabulka"/>
              <w:keepNext/>
              <w:keepLines/>
              <w:rPr>
                <w:rFonts w:cs="Calibri"/>
              </w:rPr>
            </w:pPr>
            <w:r w:rsidRPr="00DD47DF">
              <w:rPr>
                <w:rFonts w:cs="Calibri"/>
                <w:b/>
                <w:bCs/>
              </w:rPr>
              <w:t>Cílová hodnota (2023)</w:t>
            </w:r>
          </w:p>
        </w:tc>
        <w:tc>
          <w:tcPr>
            <w:tcW w:w="1276"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2474808" w14:textId="77777777" w:rsidR="004B6609" w:rsidRPr="00DD47DF" w:rsidRDefault="004B6609" w:rsidP="00DD2263">
            <w:pPr>
              <w:pStyle w:val="Tabulka"/>
              <w:keepNext/>
              <w:keepLines/>
              <w:rPr>
                <w:rFonts w:cs="Calibri"/>
              </w:rPr>
            </w:pPr>
            <w:r w:rsidRPr="00DD47DF">
              <w:rPr>
                <w:rFonts w:cs="Calibri"/>
                <w:b/>
                <w:bCs/>
              </w:rPr>
              <w:t>Zdroj údajů</w:t>
            </w:r>
          </w:p>
        </w:tc>
        <w:tc>
          <w:tcPr>
            <w:tcW w:w="104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3A3162E" w14:textId="77777777" w:rsidR="004B6609" w:rsidRPr="00DD47DF" w:rsidRDefault="00DD2263" w:rsidP="00DD2263">
            <w:pPr>
              <w:pStyle w:val="Tabulka"/>
              <w:keepNext/>
              <w:keepLines/>
              <w:rPr>
                <w:rFonts w:cs="Calibri"/>
              </w:rPr>
            </w:pPr>
            <w:r w:rsidRPr="00DD47DF">
              <w:rPr>
                <w:rFonts w:cs="Calibri"/>
                <w:b/>
                <w:bCs/>
              </w:rPr>
              <w:t>Četnost podávání zpráv</w:t>
            </w:r>
          </w:p>
        </w:tc>
      </w:tr>
      <w:tr w:rsidR="006A5D3E" w:rsidRPr="00DD47DF" w14:paraId="1EEB4AB4" w14:textId="77777777">
        <w:trPr>
          <w:trHeight w:hRule="exact" w:val="756"/>
        </w:trPr>
        <w:tc>
          <w:tcPr>
            <w:tcW w:w="908" w:type="dxa"/>
            <w:tcBorders>
              <w:top w:val="single" w:sz="4" w:space="0" w:color="000000"/>
              <w:left w:val="single" w:sz="4" w:space="0" w:color="000000"/>
              <w:bottom w:val="single" w:sz="4" w:space="0" w:color="000000"/>
              <w:right w:val="single" w:sz="4" w:space="0" w:color="000000"/>
            </w:tcBorders>
            <w:vAlign w:val="center"/>
          </w:tcPr>
          <w:p w14:paraId="04324D72" w14:textId="77777777" w:rsidR="006A5D3E" w:rsidRPr="00DD47DF" w:rsidDel="006A5D3E" w:rsidRDefault="002900B4" w:rsidP="00EA2881">
            <w:pPr>
              <w:pStyle w:val="Tabulka"/>
              <w:rPr>
                <w:rFonts w:cs="Calibri"/>
              </w:rPr>
            </w:pPr>
            <w:r w:rsidRPr="00DD47DF">
              <w:rPr>
                <w:rFonts w:cs="Calibri"/>
              </w:rPr>
              <w:t>80210</w:t>
            </w:r>
          </w:p>
        </w:tc>
        <w:tc>
          <w:tcPr>
            <w:tcW w:w="2268" w:type="dxa"/>
            <w:tcBorders>
              <w:top w:val="single" w:sz="4" w:space="0" w:color="000000"/>
              <w:left w:val="single" w:sz="4" w:space="0" w:color="000000"/>
              <w:bottom w:val="single" w:sz="4" w:space="0" w:color="000000"/>
              <w:right w:val="single" w:sz="4" w:space="0" w:color="000000"/>
            </w:tcBorders>
            <w:vAlign w:val="center"/>
          </w:tcPr>
          <w:p w14:paraId="18D1C4ED" w14:textId="77777777" w:rsidR="006A5D3E" w:rsidRPr="00DD47DF" w:rsidDel="006A5D3E" w:rsidRDefault="002900B4" w:rsidP="00EA2881">
            <w:pPr>
              <w:pStyle w:val="Tabulka"/>
              <w:jc w:val="left"/>
              <w:rPr>
                <w:rFonts w:cs="Calibri"/>
              </w:rPr>
            </w:pPr>
            <w:r w:rsidRPr="00DD47DF">
              <w:rPr>
                <w:rFonts w:cs="Calibri"/>
              </w:rPr>
              <w:t>Míra úspěšnosti projektových žádostí</w:t>
            </w:r>
          </w:p>
        </w:tc>
        <w:tc>
          <w:tcPr>
            <w:tcW w:w="992" w:type="dxa"/>
            <w:tcBorders>
              <w:top w:val="single" w:sz="4" w:space="0" w:color="000000"/>
              <w:left w:val="single" w:sz="4" w:space="0" w:color="000000"/>
              <w:bottom w:val="single" w:sz="4" w:space="0" w:color="000000"/>
              <w:right w:val="single" w:sz="4" w:space="0" w:color="000000"/>
            </w:tcBorders>
            <w:vAlign w:val="center"/>
          </w:tcPr>
          <w:p w14:paraId="427C8443" w14:textId="77777777" w:rsidR="006A5D3E" w:rsidRPr="00DD47DF" w:rsidDel="006A5D3E" w:rsidRDefault="002900B4" w:rsidP="00EA2881">
            <w:pPr>
              <w:pStyle w:val="Tabulka"/>
              <w:rPr>
                <w:rFonts w:cs="Calibri"/>
              </w:rPr>
            </w:pPr>
            <w:r w:rsidRPr="00DD47DF">
              <w:rPr>
                <w:rFonts w:cs="Calibri"/>
              </w:rPr>
              <w:t>%</w:t>
            </w:r>
          </w:p>
        </w:tc>
        <w:tc>
          <w:tcPr>
            <w:tcW w:w="971" w:type="dxa"/>
            <w:tcBorders>
              <w:top w:val="single" w:sz="4" w:space="0" w:color="000000"/>
              <w:left w:val="single" w:sz="4" w:space="0" w:color="000000"/>
              <w:bottom w:val="single" w:sz="4" w:space="0" w:color="000000"/>
              <w:right w:val="single" w:sz="4" w:space="0" w:color="000000"/>
            </w:tcBorders>
            <w:vAlign w:val="center"/>
          </w:tcPr>
          <w:p w14:paraId="3DEADD76" w14:textId="77777777" w:rsidR="006A5D3E" w:rsidRPr="00DD47DF" w:rsidDel="006A5D3E" w:rsidRDefault="00BC18A3" w:rsidP="00EA2881">
            <w:pPr>
              <w:pStyle w:val="Tabulka"/>
              <w:rPr>
                <w:rFonts w:cs="Calibri"/>
              </w:rPr>
            </w:pPr>
            <w:r w:rsidRPr="00DD47DF">
              <w:rPr>
                <w:rFonts w:cs="Calibri"/>
              </w:rPr>
              <w:t>94,37</w:t>
            </w:r>
          </w:p>
        </w:tc>
        <w:tc>
          <w:tcPr>
            <w:tcW w:w="872" w:type="dxa"/>
            <w:tcBorders>
              <w:top w:val="single" w:sz="4" w:space="0" w:color="000000"/>
              <w:left w:val="single" w:sz="4" w:space="0" w:color="000000"/>
              <w:bottom w:val="single" w:sz="4" w:space="0" w:color="000000"/>
              <w:right w:val="single" w:sz="4" w:space="0" w:color="000000"/>
            </w:tcBorders>
            <w:vAlign w:val="center"/>
          </w:tcPr>
          <w:p w14:paraId="763ED53A" w14:textId="77777777" w:rsidR="006A5D3E" w:rsidRPr="00DD47DF" w:rsidDel="006A5D3E" w:rsidRDefault="002900B4" w:rsidP="00EA2881">
            <w:pPr>
              <w:pStyle w:val="Tabulka"/>
              <w:rPr>
                <w:rFonts w:cs="Calibri"/>
              </w:rPr>
            </w:pPr>
            <w:r w:rsidRPr="00DD47DF">
              <w:rPr>
                <w:rFonts w:cs="Calibri"/>
              </w:rPr>
              <w:t>2014</w:t>
            </w:r>
          </w:p>
        </w:tc>
        <w:tc>
          <w:tcPr>
            <w:tcW w:w="992" w:type="dxa"/>
            <w:tcBorders>
              <w:top w:val="single" w:sz="4" w:space="0" w:color="000000"/>
              <w:left w:val="single" w:sz="4" w:space="0" w:color="000000"/>
              <w:bottom w:val="single" w:sz="4" w:space="0" w:color="000000"/>
              <w:right w:val="single" w:sz="4" w:space="0" w:color="000000"/>
            </w:tcBorders>
            <w:vAlign w:val="center"/>
          </w:tcPr>
          <w:p w14:paraId="6386F858" w14:textId="77777777" w:rsidR="006A5D3E" w:rsidRPr="00DD47DF" w:rsidDel="006A5D3E" w:rsidRDefault="00483D70" w:rsidP="00EA2881">
            <w:pPr>
              <w:pStyle w:val="Tabulka"/>
              <w:rPr>
                <w:rFonts w:cs="Calibri"/>
              </w:rPr>
            </w:pPr>
            <w:r w:rsidRPr="00DD47DF">
              <w:rPr>
                <w:rFonts w:cs="Calibri"/>
              </w:rPr>
              <w:t>95</w:t>
            </w:r>
          </w:p>
        </w:tc>
        <w:tc>
          <w:tcPr>
            <w:tcW w:w="1276" w:type="dxa"/>
            <w:tcBorders>
              <w:top w:val="single" w:sz="4" w:space="0" w:color="000000"/>
              <w:left w:val="single" w:sz="4" w:space="0" w:color="000000"/>
              <w:bottom w:val="single" w:sz="4" w:space="0" w:color="000000"/>
              <w:right w:val="single" w:sz="4" w:space="0" w:color="000000"/>
            </w:tcBorders>
            <w:vAlign w:val="center"/>
          </w:tcPr>
          <w:p w14:paraId="4BF245EC" w14:textId="77777777" w:rsidR="006A5D3E" w:rsidRPr="00DD47DF" w:rsidDel="006A5D3E" w:rsidRDefault="002900B4" w:rsidP="00EA2881">
            <w:pPr>
              <w:pStyle w:val="Tabulka"/>
              <w:rPr>
                <w:rFonts w:cs="Calibri"/>
              </w:rPr>
            </w:pPr>
            <w:r w:rsidRPr="00DD47DF">
              <w:rPr>
                <w:rFonts w:cs="Calibri"/>
              </w:rPr>
              <w:t>ŘO</w:t>
            </w:r>
          </w:p>
        </w:tc>
        <w:tc>
          <w:tcPr>
            <w:tcW w:w="1047" w:type="dxa"/>
            <w:tcBorders>
              <w:top w:val="single" w:sz="4" w:space="0" w:color="000000"/>
              <w:left w:val="single" w:sz="4" w:space="0" w:color="000000"/>
              <w:bottom w:val="single" w:sz="4" w:space="0" w:color="000000"/>
              <w:right w:val="single" w:sz="4" w:space="0" w:color="000000"/>
            </w:tcBorders>
            <w:vAlign w:val="center"/>
          </w:tcPr>
          <w:p w14:paraId="2871558A" w14:textId="77777777" w:rsidR="006A5D3E" w:rsidRPr="00DD47DF" w:rsidDel="006A5D3E" w:rsidRDefault="002900B4" w:rsidP="00EA2881">
            <w:pPr>
              <w:pStyle w:val="Tabulka"/>
              <w:rPr>
                <w:rFonts w:cs="Calibri"/>
              </w:rPr>
            </w:pPr>
            <w:r w:rsidRPr="00DD47DF">
              <w:rPr>
                <w:rFonts w:cs="Calibri"/>
              </w:rPr>
              <w:t>ročně</w:t>
            </w:r>
          </w:p>
        </w:tc>
      </w:tr>
    </w:tbl>
    <w:p w14:paraId="439D9E60" w14:textId="77777777" w:rsidR="00CF5E63" w:rsidRPr="00DD47DF" w:rsidRDefault="00DD2263" w:rsidP="005F43DF">
      <w:pPr>
        <w:pStyle w:val="kapitola2B"/>
        <w:numPr>
          <w:ilvl w:val="2"/>
          <w:numId w:val="12"/>
        </w:numPr>
        <w:ind w:left="709"/>
      </w:pPr>
      <w:bookmarkStart w:id="110" w:name="_Toc506885051"/>
      <w:r w:rsidRPr="00DD47DF">
        <w:lastRenderedPageBreak/>
        <w:t>Opatření, která mají být podpořena, a jejich očekávaný přínos ke specifickým cílům</w:t>
      </w:r>
      <w:bookmarkEnd w:id="110"/>
    </w:p>
    <w:p w14:paraId="10D1B18E" w14:textId="77777777" w:rsidR="00C969F4" w:rsidRPr="00DD47DF" w:rsidRDefault="00DD2263" w:rsidP="005F43DF">
      <w:pPr>
        <w:pStyle w:val="Nadpis5"/>
        <w:numPr>
          <w:ilvl w:val="4"/>
          <w:numId w:val="13"/>
        </w:numPr>
      </w:pPr>
      <w:r w:rsidRPr="00DD47DF">
        <w:t>Popis opatření, která mají bý</w:t>
      </w:r>
      <w:r w:rsidR="008C1E31" w:rsidRPr="00DD47DF">
        <w:t>t</w:t>
      </w:r>
      <w:r w:rsidRPr="00DD47DF">
        <w:t xml:space="preserve"> podpořena, a jejich očekávaný přínos ke specifickým cílům</w:t>
      </w:r>
    </w:p>
    <w:p w14:paraId="57953E8B" w14:textId="77777777" w:rsidR="000E7F90" w:rsidRPr="00DD47DF" w:rsidRDefault="000E7F90" w:rsidP="000E7F90">
      <w:pPr>
        <w:pStyle w:val="Modrnadpis"/>
        <w:rPr>
          <w:rFonts w:cs="Calibri"/>
          <w:szCs w:val="24"/>
        </w:rPr>
      </w:pPr>
      <w:r w:rsidRPr="00DD47DF">
        <w:t>SPECIFICKÝ CÍL 5.1: Zajištění efektivního řízení a administrace operačního programu</w:t>
      </w:r>
    </w:p>
    <w:p w14:paraId="138D4FE9" w14:textId="57969B88" w:rsidR="0049001E" w:rsidRPr="00DD47DF" w:rsidRDefault="0049001E" w:rsidP="0049001E">
      <w:pPr>
        <w:spacing w:before="120" w:after="60"/>
        <w:jc w:val="both"/>
        <w:rPr>
          <w:bCs/>
          <w:sz w:val="24"/>
        </w:rPr>
      </w:pPr>
      <w:r w:rsidRPr="00DD47DF">
        <w:rPr>
          <w:bCs/>
          <w:sz w:val="24"/>
        </w:rPr>
        <w:t xml:space="preserve">Jedná se o aktivity operačního programu, které jsou zaměřeny na jeho přípravu, řízení, implementaci, vzdělávání implementační struktury, monitorování, hodnocení a kontrolu. Z prostředků technické pomoci OP PIK budou rovněž hrazeny náklady spojené se zasedáním </w:t>
      </w:r>
      <w:r w:rsidR="00BA68C1">
        <w:rPr>
          <w:bCs/>
          <w:sz w:val="24"/>
        </w:rPr>
        <w:t>výběrových</w:t>
      </w:r>
      <w:r w:rsidR="00BA68C1" w:rsidRPr="00DD47DF">
        <w:rPr>
          <w:bCs/>
          <w:sz w:val="24"/>
        </w:rPr>
        <w:t xml:space="preserve"> </w:t>
      </w:r>
      <w:r w:rsidRPr="00DD47DF">
        <w:rPr>
          <w:bCs/>
          <w:sz w:val="24"/>
        </w:rPr>
        <w:t>komisí a Monitorovacího výboru a dále aktivity spojené se zpracováním odborných externích posudků a analýz.  V neposlední řadě bude hrazena příprava nového programovacího období po roce 2020 a výdaje související s realizací SC 4.1.</w:t>
      </w:r>
    </w:p>
    <w:p w14:paraId="2F3F6953" w14:textId="77777777" w:rsidR="0049001E" w:rsidRPr="00DD47DF" w:rsidRDefault="0049001E" w:rsidP="0049001E">
      <w:pPr>
        <w:pStyle w:val="Standardntext"/>
        <w:rPr>
          <w:b/>
        </w:rPr>
      </w:pPr>
      <w:r w:rsidRPr="00DD47DF">
        <w:rPr>
          <w:bCs/>
          <w:szCs w:val="20"/>
        </w:rPr>
        <w:t>Jde o veškeré potřebné podpůrné aktivity prováděné Řídicím orgánem OP PIK a subjekty implementační struktury s cílem zvýšit účinnost prováděné podpory.</w:t>
      </w:r>
    </w:p>
    <w:p w14:paraId="2EB85A2A" w14:textId="77777777" w:rsidR="000E7F90" w:rsidRPr="00DD47DF" w:rsidRDefault="000E7F90" w:rsidP="000E7F90">
      <w:pPr>
        <w:pStyle w:val="Standardntext"/>
        <w:rPr>
          <w:b/>
        </w:rPr>
      </w:pPr>
      <w:r w:rsidRPr="00DD47DF">
        <w:rPr>
          <w:b/>
        </w:rPr>
        <w:t>Podporovan</w:t>
      </w:r>
      <w:r w:rsidR="00C05A7E" w:rsidRPr="00DD47DF">
        <w:rPr>
          <w:b/>
        </w:rPr>
        <w:t>é aktivity</w:t>
      </w:r>
      <w:r w:rsidRPr="00DD47DF">
        <w:rPr>
          <w:b/>
        </w:rPr>
        <w:t xml:space="preserve">: </w:t>
      </w:r>
    </w:p>
    <w:p w14:paraId="7167BBE5" w14:textId="77777777" w:rsidR="000E7F90" w:rsidRPr="00DD47DF" w:rsidRDefault="000E7F90" w:rsidP="00DA3512">
      <w:pPr>
        <w:pStyle w:val="Standardntext"/>
        <w:numPr>
          <w:ilvl w:val="0"/>
          <w:numId w:val="61"/>
        </w:numPr>
      </w:pPr>
      <w:r w:rsidRPr="00DD47DF">
        <w:t xml:space="preserve">Příprava, řízení, administrace, monitorování programu (činnosti bezprostředně související s implementací programu), tj.: </w:t>
      </w:r>
    </w:p>
    <w:p w14:paraId="33A03AB3" w14:textId="77777777" w:rsidR="000E7F90" w:rsidRPr="00DD47DF" w:rsidRDefault="0049001E" w:rsidP="00DA3512">
      <w:pPr>
        <w:pStyle w:val="Standardntext"/>
        <w:numPr>
          <w:ilvl w:val="1"/>
          <w:numId w:val="61"/>
        </w:numPr>
      </w:pPr>
      <w:r w:rsidRPr="00DD47DF">
        <w:t xml:space="preserve">audity a </w:t>
      </w:r>
      <w:r w:rsidR="000E7F90" w:rsidRPr="00DD47DF">
        <w:t>veřejnosprávní kontroly na místě</w:t>
      </w:r>
    </w:p>
    <w:p w14:paraId="24F8BE45" w14:textId="77777777" w:rsidR="000E7F90" w:rsidRPr="00DD47DF" w:rsidRDefault="000E7F90" w:rsidP="00DA3512">
      <w:pPr>
        <w:pStyle w:val="Standardntext"/>
        <w:numPr>
          <w:ilvl w:val="1"/>
          <w:numId w:val="61"/>
        </w:numPr>
      </w:pPr>
      <w:r w:rsidRPr="00DD47DF">
        <w:t>technické a provozní zajištění funkcí řídicího orgánu, zprostředkující</w:t>
      </w:r>
      <w:r w:rsidR="00B72B46" w:rsidRPr="00DD47DF">
        <w:t>ho</w:t>
      </w:r>
      <w:r w:rsidRPr="00DD47DF">
        <w:t xml:space="preserve"> subjekt</w:t>
      </w:r>
      <w:r w:rsidR="00B72B46" w:rsidRPr="00DD47DF">
        <w:t>u</w:t>
      </w:r>
    </w:p>
    <w:p w14:paraId="75A81D5A" w14:textId="77777777" w:rsidR="000E7F90" w:rsidRPr="00DD47DF" w:rsidRDefault="000E7F90" w:rsidP="00DA3512">
      <w:pPr>
        <w:pStyle w:val="Standardntext"/>
        <w:numPr>
          <w:ilvl w:val="1"/>
          <w:numId w:val="61"/>
        </w:numPr>
      </w:pPr>
      <w:r w:rsidRPr="00DD47DF">
        <w:t>odměňování zaměstnanců (včetně zákonných odvodů podílejí</w:t>
      </w:r>
      <w:r w:rsidR="00C05A7E" w:rsidRPr="00DD47DF">
        <w:t>cích se</w:t>
      </w:r>
      <w:r w:rsidRPr="00DD47DF">
        <w:t xml:space="preserve"> na přípravě, </w:t>
      </w:r>
      <w:r w:rsidR="00C05A7E" w:rsidRPr="00DD47DF">
        <w:t>implementaci</w:t>
      </w:r>
      <w:r w:rsidR="007300F9" w:rsidRPr="00DD47DF">
        <w:t>,</w:t>
      </w:r>
      <w:r w:rsidRPr="00DD47DF">
        <w:t xml:space="preserve"> hodnocení a monitorování programu a kontrolách</w:t>
      </w:r>
    </w:p>
    <w:p w14:paraId="4D7B000D" w14:textId="77777777" w:rsidR="000E7F90" w:rsidRPr="00DD47DF" w:rsidRDefault="0049001E" w:rsidP="00DA3512">
      <w:pPr>
        <w:pStyle w:val="Standardntext"/>
        <w:numPr>
          <w:ilvl w:val="1"/>
          <w:numId w:val="61"/>
        </w:numPr>
      </w:pPr>
      <w:r w:rsidRPr="00DD47DF">
        <w:t xml:space="preserve">vzdělávání implementační struktury: </w:t>
      </w:r>
      <w:r w:rsidR="000E7F90" w:rsidRPr="00DD47DF">
        <w:t>školení, semináře, workshopy</w:t>
      </w:r>
      <w:r w:rsidR="00870B7F" w:rsidRPr="00DD47DF">
        <w:t>,</w:t>
      </w:r>
      <w:r w:rsidR="000E7F90" w:rsidRPr="00DD47DF">
        <w:t xml:space="preserve"> vzdělávání pracovníků implementačních orgánů</w:t>
      </w:r>
    </w:p>
    <w:p w14:paraId="02BDE465" w14:textId="039E7644" w:rsidR="000E7F90" w:rsidRPr="00DD47DF" w:rsidRDefault="000E7F90" w:rsidP="00DA3512">
      <w:pPr>
        <w:pStyle w:val="Standardntext"/>
        <w:numPr>
          <w:ilvl w:val="1"/>
          <w:numId w:val="61"/>
        </w:numPr>
      </w:pPr>
      <w:r w:rsidRPr="00DD47DF">
        <w:t xml:space="preserve">zasedání </w:t>
      </w:r>
      <w:r w:rsidR="00BA68C1">
        <w:t>výběrových</w:t>
      </w:r>
      <w:r w:rsidR="00BA68C1" w:rsidRPr="00DD47DF">
        <w:t xml:space="preserve"> </w:t>
      </w:r>
      <w:r w:rsidRPr="00DD47DF">
        <w:t>komisí, včetně nákladů na činnost externích odborníků</w:t>
      </w:r>
    </w:p>
    <w:p w14:paraId="49EF98DC" w14:textId="77777777" w:rsidR="000E7F90" w:rsidRPr="00DD47DF" w:rsidRDefault="000E7F90" w:rsidP="00DA3512">
      <w:pPr>
        <w:pStyle w:val="Standardntext"/>
        <w:numPr>
          <w:ilvl w:val="1"/>
          <w:numId w:val="61"/>
        </w:numPr>
      </w:pPr>
      <w:r w:rsidRPr="00DD47DF">
        <w:t xml:space="preserve">činnost </w:t>
      </w:r>
      <w:r w:rsidR="007300F9" w:rsidRPr="00DD47DF">
        <w:t xml:space="preserve">Monitorovacího </w:t>
      </w:r>
      <w:r w:rsidRPr="00DD47DF">
        <w:t xml:space="preserve">výboru </w:t>
      </w:r>
      <w:r w:rsidR="007300F9" w:rsidRPr="00DD47DF">
        <w:t>OP PIK, platformy pro plánování výzev</w:t>
      </w:r>
    </w:p>
    <w:p w14:paraId="07C8032C" w14:textId="77777777" w:rsidR="000E7F90" w:rsidRPr="00DD47DF" w:rsidRDefault="000E7F90" w:rsidP="00DA3512">
      <w:pPr>
        <w:pStyle w:val="Standardntext"/>
        <w:numPr>
          <w:ilvl w:val="1"/>
          <w:numId w:val="61"/>
        </w:numPr>
      </w:pPr>
      <w:r w:rsidRPr="00DD47DF">
        <w:t>zpracování odborných externích posudků, analýz a metodik pro posouzení správnosti nastavení a funkčnosti procesních systémů implementace</w:t>
      </w:r>
    </w:p>
    <w:p w14:paraId="1F2E71E6" w14:textId="77777777" w:rsidR="000E7F90" w:rsidRPr="00DD47DF" w:rsidRDefault="000E7F90" w:rsidP="000E7F90">
      <w:pPr>
        <w:pStyle w:val="Standardntext"/>
        <w:numPr>
          <w:ilvl w:val="0"/>
          <w:numId w:val="29"/>
        </w:numPr>
      </w:pPr>
      <w:r w:rsidRPr="00DD47DF">
        <w:t>přenos dobrých zkušeností do přípravy programovacího období 2021+</w:t>
      </w:r>
    </w:p>
    <w:p w14:paraId="53D43FE6" w14:textId="77777777" w:rsidR="000E7F90" w:rsidRPr="00DD47DF" w:rsidRDefault="000E7F90" w:rsidP="000E7F90">
      <w:pPr>
        <w:pStyle w:val="Standardntext"/>
        <w:numPr>
          <w:ilvl w:val="0"/>
          <w:numId w:val="29"/>
        </w:numPr>
      </w:pPr>
      <w:r w:rsidRPr="00DD47DF">
        <w:rPr>
          <w:iCs/>
        </w:rPr>
        <w:t xml:space="preserve">realizace opatření v souvislosti s implementací </w:t>
      </w:r>
      <w:r w:rsidR="007300F9" w:rsidRPr="00DD47DF">
        <w:rPr>
          <w:iCs/>
        </w:rPr>
        <w:t>SC</w:t>
      </w:r>
      <w:r w:rsidRPr="00DD47DF">
        <w:rPr>
          <w:iCs/>
        </w:rPr>
        <w:t xml:space="preserve"> 4.1 zejména s ohledem na mapování infrastruktury</w:t>
      </w:r>
      <w:r w:rsidR="00783C22" w:rsidRPr="00DD47DF">
        <w:rPr>
          <w:iCs/>
        </w:rPr>
        <w:t>, tj. s</w:t>
      </w:r>
      <w:r w:rsidR="007300F9" w:rsidRPr="00DD47DF">
        <w:rPr>
          <w:iCs/>
        </w:rPr>
        <w:t>tanovení lokalit, které mohou být předmětem podpory</w:t>
      </w:r>
      <w:r w:rsidR="00783C22" w:rsidRPr="00DD47DF">
        <w:rPr>
          <w:iCs/>
        </w:rPr>
        <w:t xml:space="preserve"> (blíže viz SC 4.1</w:t>
      </w:r>
      <w:r w:rsidR="007300F9" w:rsidRPr="00DD47DF">
        <w:rPr>
          <w:iCs/>
        </w:rPr>
        <w:t>)</w:t>
      </w:r>
    </w:p>
    <w:p w14:paraId="10A42F01" w14:textId="77777777" w:rsidR="00C47A18" w:rsidRPr="00DD47DF" w:rsidRDefault="00C47A18" w:rsidP="00C47A18">
      <w:pPr>
        <w:pStyle w:val="Standardntext"/>
        <w:numPr>
          <w:ilvl w:val="0"/>
          <w:numId w:val="29"/>
        </w:numPr>
      </w:pPr>
      <w:r w:rsidRPr="00DD47DF">
        <w:t>dokončení implementace programového období 2007-2013, včetně ex-post evaluace OPPI</w:t>
      </w:r>
    </w:p>
    <w:p w14:paraId="05ABE1AE" w14:textId="77777777" w:rsidR="000E7F90" w:rsidRPr="00DD47DF" w:rsidRDefault="000E7F90" w:rsidP="00284818">
      <w:pPr>
        <w:pStyle w:val="Standardntext"/>
      </w:pPr>
      <w:r w:rsidRPr="00DD47DF">
        <w:rPr>
          <w:u w:val="single"/>
        </w:rPr>
        <w:t xml:space="preserve">Vybrané oblasti </w:t>
      </w:r>
      <w:r w:rsidR="007300F9" w:rsidRPr="00DD47DF">
        <w:rPr>
          <w:u w:val="single"/>
        </w:rPr>
        <w:t>SC 5.1</w:t>
      </w:r>
      <w:r w:rsidRPr="00DD47DF">
        <w:rPr>
          <w:u w:val="single"/>
        </w:rPr>
        <w:t xml:space="preserve"> v kontextu vyhodnocení zkušeností z implementace OPPI</w:t>
      </w:r>
      <w:r w:rsidRPr="00DD47DF">
        <w:t xml:space="preserve"> (dále </w:t>
      </w:r>
      <w:r w:rsidR="001A4D0A" w:rsidRPr="00DD47DF">
        <w:t xml:space="preserve">Nepovinná </w:t>
      </w:r>
      <w:r w:rsidRPr="00DD47DF">
        <w:t xml:space="preserve">příloha č. 1): </w:t>
      </w:r>
    </w:p>
    <w:p w14:paraId="2DFD790C" w14:textId="77777777" w:rsidR="000E7F90" w:rsidRPr="00DD47DF" w:rsidRDefault="000E7F90" w:rsidP="00284818">
      <w:pPr>
        <w:pStyle w:val="Standardntext"/>
      </w:pPr>
      <w:r w:rsidRPr="00DD47DF">
        <w:t xml:space="preserve">(i) Stabilizace zaměstnanců, snížení fluktuace: Zajištění stálé zaměstnanecké sestavy řídícího orgánu, proškolování pracovníků, zajištění dostatečné administrativní kapacity řídícího orgánu a </w:t>
      </w:r>
      <w:r w:rsidR="00B72B46" w:rsidRPr="00DD47DF">
        <w:t xml:space="preserve">zprostředkujícího </w:t>
      </w:r>
      <w:r w:rsidRPr="00DD47DF">
        <w:t>subjekt</w:t>
      </w:r>
      <w:r w:rsidR="00B72B46" w:rsidRPr="00DD47DF">
        <w:t>u</w:t>
      </w:r>
      <w:r w:rsidRPr="00DD47DF">
        <w:t xml:space="preserve">. </w:t>
      </w:r>
      <w:r w:rsidR="00FA33B7" w:rsidRPr="00DD47DF">
        <w:t xml:space="preserve">Řídící orgán </w:t>
      </w:r>
      <w:r w:rsidR="007300F9" w:rsidRPr="00DD47DF">
        <w:t>zde</w:t>
      </w:r>
      <w:r w:rsidR="00FA33B7" w:rsidRPr="00DD47DF">
        <w:t xml:space="preserve"> spolupracuje s NOK a naplňuje povinnosti, které </w:t>
      </w:r>
      <w:r w:rsidR="00FA33B7" w:rsidRPr="00DD47DF">
        <w:lastRenderedPageBreak/>
        <w:t>stanovuje Metodický pokyn pro rozvoj lidských zdrojů</w:t>
      </w:r>
      <w:r w:rsidR="006E0874" w:rsidRPr="00DD47DF">
        <w:rPr>
          <w:rStyle w:val="Znakapoznpodarou"/>
        </w:rPr>
        <w:t xml:space="preserve"> </w:t>
      </w:r>
      <w:r w:rsidR="006E0874" w:rsidRPr="00DD47DF">
        <w:t>schválený vládou ČR v červnu 2014</w:t>
      </w:r>
      <w:r w:rsidR="00BA7741" w:rsidRPr="00DD47DF">
        <w:rPr>
          <w:rStyle w:val="Znakapoznpodarou"/>
        </w:rPr>
        <w:footnoteReference w:id="77"/>
      </w:r>
      <w:r w:rsidR="00FA33B7" w:rsidRPr="00DD47DF">
        <w:t xml:space="preserve">. Metodický pokyn pokrývá problematiku nastavení administrativní kapacity </w:t>
      </w:r>
      <w:r w:rsidR="007300F9" w:rsidRPr="00DD47DF">
        <w:t xml:space="preserve">a vychází z </w:t>
      </w:r>
      <w:r w:rsidR="00FA33B7" w:rsidRPr="00DD47DF">
        <w:t>analýz</w:t>
      </w:r>
      <w:r w:rsidR="007300F9" w:rsidRPr="00DD47DF">
        <w:t>y</w:t>
      </w:r>
      <w:r w:rsidR="00FA33B7" w:rsidRPr="00DD47DF">
        <w:t xml:space="preserve"> administrativní kapacity v programovém období 2007 - 2013. Cílem opatření v Metodickém pokynu je </w:t>
      </w:r>
      <w:r w:rsidR="00BA7741" w:rsidRPr="00DD47DF">
        <w:t xml:space="preserve">vytvoření ucelené metodiky rozvoje lidských zdrojů v rámci implementační struktury fondů EU, </w:t>
      </w:r>
      <w:r w:rsidR="00FA33B7" w:rsidRPr="00DD47DF">
        <w:t xml:space="preserve">stabilizace </w:t>
      </w:r>
      <w:r w:rsidR="00BA7741" w:rsidRPr="00DD47DF">
        <w:t xml:space="preserve">a motivace </w:t>
      </w:r>
      <w:r w:rsidR="00FA33B7" w:rsidRPr="00DD47DF">
        <w:t>zaměstnanců</w:t>
      </w:r>
      <w:r w:rsidR="007300F9" w:rsidRPr="00DD47DF">
        <w:t xml:space="preserve"> </w:t>
      </w:r>
      <w:r w:rsidR="00BA7741" w:rsidRPr="00DD47DF">
        <w:t>v návaznosti na potřeby jejich odborného růstu a zvyšování znalostí a dovedností prostřednictvím finanční i nefinanční motivace,</w:t>
      </w:r>
      <w:r w:rsidR="007300F9" w:rsidRPr="00DD47DF">
        <w:t xml:space="preserve"> </w:t>
      </w:r>
      <w:r w:rsidR="00FA33B7" w:rsidRPr="00DD47DF">
        <w:t xml:space="preserve">snižování fluktuace, </w:t>
      </w:r>
      <w:r w:rsidR="00BA7741" w:rsidRPr="00DD47DF">
        <w:t xml:space="preserve">vytvoření systému vzdělávání odpovídajícímu potřebám pro výkon funkce na pozicích popsaných v řídicích dokumentech programů, řízení a koordinace DoP/NSRR, který zajistí podmínky pro prosazování principu transparentnosti a protikorupčního jednání, v neposlední řadě také zajištění transparentního </w:t>
      </w:r>
      <w:r w:rsidR="00FA33B7" w:rsidRPr="00DD47DF">
        <w:t>výběr</w:t>
      </w:r>
      <w:r w:rsidR="00BA7741" w:rsidRPr="00DD47DF">
        <w:t>u</w:t>
      </w:r>
      <w:r w:rsidR="00FA33B7" w:rsidRPr="00DD47DF">
        <w:t xml:space="preserve"> kvalifikovaných zaměstnanců </w:t>
      </w:r>
      <w:r w:rsidR="00BA7741" w:rsidRPr="00DD47DF">
        <w:t xml:space="preserve">se zřetelem na obsazování manažerských pozic a s ohledem na zajištění rovných příležitostí a nediskriminaci uchazečů </w:t>
      </w:r>
      <w:r w:rsidR="00FA33B7" w:rsidRPr="00DD47DF">
        <w:t>a nastavení pravidel odměňování</w:t>
      </w:r>
      <w:r w:rsidR="007300F9" w:rsidRPr="00DD47DF">
        <w:t xml:space="preserve"> zaměstnanců</w:t>
      </w:r>
      <w:r w:rsidR="00FA33B7" w:rsidRPr="00DD47DF">
        <w:t>.</w:t>
      </w:r>
      <w:r w:rsidR="002C1372" w:rsidRPr="00DD47DF">
        <w:t xml:space="preserve"> Výhodou ŘO je nízká míra fluktuace (v roce 2013 méně než 10%) a udržování tzv. institucionální paměti, kdy se na přípravě OP PIK podílejí pracovníci, kteří mají zkušenost s přípravou OPPP a OPPI.</w:t>
      </w:r>
    </w:p>
    <w:p w14:paraId="70199AF9" w14:textId="77777777" w:rsidR="008525FB" w:rsidRPr="00DD47DF" w:rsidRDefault="008525FB" w:rsidP="00284818">
      <w:pPr>
        <w:pStyle w:val="Standardntext"/>
      </w:pPr>
      <w:r w:rsidRPr="00DD47DF">
        <w:t>Pokud jde o předpokládaný nárůst počtu zaměstnanců v souvislosti s postupným náběhem implementace OP PIK</w:t>
      </w:r>
      <w:r w:rsidR="00D9644E" w:rsidRPr="00DD47DF">
        <w:t xml:space="preserve"> (zhruba o 13 % dle provedené analýzy administrativní kapacity</w:t>
      </w:r>
      <w:r w:rsidR="000F38A4" w:rsidRPr="00DD47DF">
        <w:rPr>
          <w:rStyle w:val="Znakapoznpodarou"/>
        </w:rPr>
        <w:footnoteReference w:id="78"/>
      </w:r>
      <w:r w:rsidR="00D9644E" w:rsidRPr="00DD47DF">
        <w:t>)</w:t>
      </w:r>
      <w:r w:rsidRPr="00DD47DF">
        <w:t>, je potřeba uvést, že</w:t>
      </w:r>
      <w:r w:rsidR="00781A90" w:rsidRPr="00DD47DF">
        <w:t xml:space="preserve"> budou posilováni zejména odborní interní hodnotitelé projektů pro jednotlivé prioritní osy (při souběžném výrazném omezení externích hodnotitelů prakticky jen na případy nezbytného ad-hoc vyžádání externího posudku ve zcela specifických oblastech, kde interní hodnotitel nebude schopen daný projekt odborně posoudit), posílena bude také kapacita kontrolorů u Řídícího orgánu OP PIK, zejména ve vztahu k ex-ante kontrole zadávacích řízení pro následná výběrová řízení konaná podle pravidel pro výběr dodavatelů, s cílem zamezit budoucím nesrovnalostem.</w:t>
      </w:r>
      <w:r w:rsidR="00BA7741" w:rsidRPr="00DD47DF">
        <w:t xml:space="preserve"> Předpokládaný počet zaměstnanců implementační struktury je 350, kteří budou rovnoměrně rozděleni mezi Řídící orgán a Zprostředkující subjekt.</w:t>
      </w:r>
    </w:p>
    <w:p w14:paraId="215B2597" w14:textId="77777777" w:rsidR="000E7F90" w:rsidRPr="00DD47DF" w:rsidRDefault="000E7F90" w:rsidP="000E7F90">
      <w:pPr>
        <w:pStyle w:val="Standardntext"/>
      </w:pPr>
      <w:r w:rsidRPr="00DD47DF">
        <w:t>(ii) Veřejné zakázky</w:t>
      </w:r>
      <w:r w:rsidR="007300F9" w:rsidRPr="00DD47DF">
        <w:t>,</w:t>
      </w:r>
      <w:r w:rsidRPr="00DD47DF">
        <w:t xml:space="preserve"> outsourcing služeb: Nebudou outsourcovány služby </w:t>
      </w:r>
      <w:r w:rsidR="007300F9" w:rsidRPr="00DD47DF">
        <w:t xml:space="preserve">typu </w:t>
      </w:r>
      <w:r w:rsidRPr="00DD47DF">
        <w:t xml:space="preserve">externí spolupráce na výkonu kontrol, právní poradenství, řídící orgán si je ponechá ve své kompetenci. Je potřeba zohlednit skutečnost, že řídící orgán nemá administrativní a odbornou kapacitu, aby od outsourcování některých služeb mohl plně odstoupit. Zadávány budou pouze vysoce specializované zakázky v oblastech, které není schopen řídící orgán pokrýt vlastní administrativou. V oblasti publicity budou zakázky zadávány dle finančních limitů v souladu se zákonem o veřejných zakázkách. Kontrolní činnost nebude outsourcována. </w:t>
      </w:r>
    </w:p>
    <w:p w14:paraId="40BDD152" w14:textId="77777777" w:rsidR="000E7F90" w:rsidRPr="00DD47DF" w:rsidRDefault="000E7F90" w:rsidP="000E7F90">
      <w:pPr>
        <w:pStyle w:val="Standardntext"/>
      </w:pPr>
      <w:r w:rsidRPr="00DD47DF">
        <w:t>(i</w:t>
      </w:r>
      <w:r w:rsidR="00CB2164" w:rsidRPr="00DD47DF">
        <w:t>ii</w:t>
      </w:r>
      <w:r w:rsidRPr="00DD47DF">
        <w:t>) Řízení a administrace programu, zejména opatření v oblasti elektronické administrace projektů (</w:t>
      </w:r>
      <w:r w:rsidRPr="00DD47DF">
        <w:rPr>
          <w:szCs w:val="22"/>
        </w:rPr>
        <w:t>systém elektronického podávání žádostí s cílem jednodušších administrativních úkonů u řídícího orgánu a žadatelů a příjemců), optimalizace administrativních procesů, plánování a vyhlašování výzev.</w:t>
      </w:r>
    </w:p>
    <w:p w14:paraId="4D140ADC" w14:textId="77777777" w:rsidR="000E7F90" w:rsidRPr="00DD47DF" w:rsidRDefault="000E7F90" w:rsidP="000E7F90">
      <w:pPr>
        <w:pStyle w:val="Modrnadpis"/>
      </w:pPr>
      <w:r w:rsidRPr="00DD47DF">
        <w:t>SPECIFICKÝ CÍL 5.2: Zajištění informovanosti, publicity a absorpční kapacity operačního programu</w:t>
      </w:r>
    </w:p>
    <w:p w14:paraId="14F16C1F" w14:textId="77777777" w:rsidR="0049001E" w:rsidRPr="00DD47DF" w:rsidRDefault="0049001E" w:rsidP="000E7F90">
      <w:pPr>
        <w:pStyle w:val="Standardntext"/>
        <w:rPr>
          <w:b/>
        </w:rPr>
      </w:pPr>
      <w:r w:rsidRPr="00DD47DF">
        <w:t xml:space="preserve">Řídicí orgán je odpovědný za zajištění propagace podpory a zejména za to, že budou informováni potenciální příjemci / uživatelé, obchodní a profesní subjekty, hospodářští a </w:t>
      </w:r>
      <w:r w:rsidRPr="00DD47DF">
        <w:lastRenderedPageBreak/>
        <w:t>sociální partneři o možnostech, které podpora nabízí, a veřejnost o úloze, kterou hraje Evropská unie v dotyčné pomoci a o jejích výsledcích.</w:t>
      </w:r>
    </w:p>
    <w:p w14:paraId="0CCD9EB5" w14:textId="77777777" w:rsidR="000E7F90" w:rsidRPr="00DD47DF" w:rsidRDefault="005D5EB8" w:rsidP="000E7F90">
      <w:pPr>
        <w:pStyle w:val="Standardntext"/>
        <w:rPr>
          <w:b/>
        </w:rPr>
      </w:pPr>
      <w:r w:rsidRPr="00DD47DF">
        <w:rPr>
          <w:b/>
        </w:rPr>
        <w:t>Podporované aktivity</w:t>
      </w:r>
      <w:r w:rsidR="000E7F90" w:rsidRPr="00DD47DF">
        <w:rPr>
          <w:b/>
        </w:rPr>
        <w:t xml:space="preserve">: </w:t>
      </w:r>
    </w:p>
    <w:p w14:paraId="474E3722" w14:textId="77777777" w:rsidR="000E7F90" w:rsidRPr="00DD47DF" w:rsidRDefault="0049001E" w:rsidP="0049001E">
      <w:pPr>
        <w:pStyle w:val="Standardntext"/>
        <w:numPr>
          <w:ilvl w:val="0"/>
          <w:numId w:val="29"/>
        </w:numPr>
      </w:pPr>
      <w:r w:rsidRPr="00DD47DF">
        <w:t>Zajištění informovanosti příjemců podpory a široké, především podnikatelské veřejnosti </w:t>
      </w:r>
    </w:p>
    <w:p w14:paraId="1EA5E1BB" w14:textId="77777777" w:rsidR="0049001E" w:rsidRPr="00DD47DF" w:rsidRDefault="0049001E" w:rsidP="0049001E">
      <w:pPr>
        <w:pStyle w:val="Standardntext"/>
        <w:numPr>
          <w:ilvl w:val="0"/>
          <w:numId w:val="29"/>
        </w:numPr>
      </w:pPr>
      <w:r w:rsidRPr="00DD47DF">
        <w:t>komunikace s příjemci podpory a veřejností</w:t>
      </w:r>
    </w:p>
    <w:p w14:paraId="5CD17642" w14:textId="77777777" w:rsidR="000E7F90" w:rsidRPr="00DD47DF" w:rsidRDefault="000E7F90" w:rsidP="000E7F90">
      <w:pPr>
        <w:pStyle w:val="Standardntext"/>
        <w:numPr>
          <w:ilvl w:val="0"/>
          <w:numId w:val="29"/>
        </w:numPr>
      </w:pPr>
      <w:r w:rsidRPr="00DD47DF">
        <w:t>vypracování výzkumných studií a šetření zaměřených na další rozvoj programu</w:t>
      </w:r>
    </w:p>
    <w:p w14:paraId="6AB2AC13" w14:textId="77777777" w:rsidR="0049001E" w:rsidRPr="00DD47DF" w:rsidRDefault="000E7F90" w:rsidP="000E7F90">
      <w:pPr>
        <w:pStyle w:val="Standardntext"/>
        <w:numPr>
          <w:ilvl w:val="0"/>
          <w:numId w:val="29"/>
        </w:numPr>
      </w:pPr>
      <w:r w:rsidRPr="00DD47DF">
        <w:t>propagace programu na veřejnosti</w:t>
      </w:r>
      <w:r w:rsidR="0049001E" w:rsidRPr="00DD47DF">
        <w:t xml:space="preserve"> prostřednictvím</w:t>
      </w:r>
      <w:r w:rsidRPr="00DD47DF">
        <w:t xml:space="preserve"> seminář</w:t>
      </w:r>
      <w:r w:rsidR="0049001E" w:rsidRPr="00DD47DF">
        <w:t>ů</w:t>
      </w:r>
      <w:r w:rsidRPr="00DD47DF">
        <w:t>, informační</w:t>
      </w:r>
      <w:r w:rsidR="0049001E" w:rsidRPr="00DD47DF">
        <w:t>ch</w:t>
      </w:r>
      <w:r w:rsidRPr="00DD47DF">
        <w:t xml:space="preserve"> akc</w:t>
      </w:r>
      <w:r w:rsidR="0049001E" w:rsidRPr="00DD47DF">
        <w:t>í</w:t>
      </w:r>
      <w:r w:rsidRPr="00DD47DF">
        <w:t>, komunikace</w:t>
      </w:r>
      <w:r w:rsidR="0049001E" w:rsidRPr="00DD47DF">
        <w:t xml:space="preserve"> přes média</w:t>
      </w:r>
    </w:p>
    <w:p w14:paraId="63803688" w14:textId="77777777" w:rsidR="000E7F90" w:rsidRPr="00DD47DF" w:rsidRDefault="0049001E" w:rsidP="000E7F90">
      <w:pPr>
        <w:pStyle w:val="Standardntext"/>
        <w:numPr>
          <w:ilvl w:val="0"/>
          <w:numId w:val="29"/>
        </w:numPr>
      </w:pPr>
      <w:r w:rsidRPr="00DD47DF">
        <w:t xml:space="preserve">zajištění </w:t>
      </w:r>
      <w:r w:rsidR="000E7F90" w:rsidRPr="00DD47DF">
        <w:t>publicit</w:t>
      </w:r>
      <w:r w:rsidRPr="00DD47DF">
        <w:t>y programu prostřednictvím vhodných propagačních materiálů</w:t>
      </w:r>
    </w:p>
    <w:p w14:paraId="48B8F33F" w14:textId="77777777" w:rsidR="000E7F90" w:rsidRPr="00DD47DF" w:rsidRDefault="000E7F90" w:rsidP="000E7F90">
      <w:pPr>
        <w:pStyle w:val="Standardntext"/>
        <w:numPr>
          <w:ilvl w:val="0"/>
          <w:numId w:val="29"/>
        </w:numPr>
      </w:pPr>
      <w:r w:rsidRPr="00DD47DF">
        <w:t>výměna zkušeností, best practises, networking</w:t>
      </w:r>
    </w:p>
    <w:p w14:paraId="7A588AAE" w14:textId="77777777" w:rsidR="000E7F90" w:rsidRPr="00DD47DF" w:rsidRDefault="000E7F90" w:rsidP="000E7F90">
      <w:pPr>
        <w:pStyle w:val="Standardntext"/>
        <w:numPr>
          <w:ilvl w:val="0"/>
          <w:numId w:val="29"/>
        </w:numPr>
      </w:pPr>
      <w:r w:rsidRPr="00DD47DF">
        <w:t>vypracování evalua</w:t>
      </w:r>
      <w:r w:rsidR="005D5EB8" w:rsidRPr="00DD47DF">
        <w:t>cí</w:t>
      </w:r>
      <w:r w:rsidRPr="00DD47DF">
        <w:t xml:space="preserve"> dle čl. 54-57 obecného nařízení, realizace Evaluačního plánu </w:t>
      </w:r>
      <w:r w:rsidR="005D5EB8" w:rsidRPr="00DD47DF">
        <w:t>OP PIK</w:t>
      </w:r>
      <w:r w:rsidRPr="00DD47DF">
        <w:t>, podpůrných studií a analýz</w:t>
      </w:r>
    </w:p>
    <w:p w14:paraId="31CD2A66" w14:textId="77777777" w:rsidR="000E7F90" w:rsidRPr="00DD47DF" w:rsidRDefault="000E7F90" w:rsidP="000E7F90">
      <w:pPr>
        <w:pStyle w:val="Standardntext"/>
        <w:numPr>
          <w:ilvl w:val="0"/>
          <w:numId w:val="29"/>
        </w:numPr>
      </w:pPr>
      <w:r w:rsidRPr="00DD47DF">
        <w:t>opatření ke snižování administrativní zátěže žadatelů, příjemců a subjektů implementační struktury, poradenství žadatelům vedoucí ke zvyšování absorpční kapacity programu</w:t>
      </w:r>
    </w:p>
    <w:p w14:paraId="26E06831" w14:textId="77777777" w:rsidR="000E7F90" w:rsidRPr="00DD47DF" w:rsidRDefault="000E7F90" w:rsidP="000E7F90">
      <w:pPr>
        <w:pStyle w:val="Standardntext"/>
        <w:numPr>
          <w:ilvl w:val="0"/>
          <w:numId w:val="29"/>
        </w:numPr>
      </w:pPr>
      <w:r w:rsidRPr="00DD47DF">
        <w:t>konzultační služby a poradenství žadatelům a potenciálním příjemcům při přípravě projektů</w:t>
      </w:r>
    </w:p>
    <w:p w14:paraId="0A09F12D" w14:textId="77777777" w:rsidR="000E7F90" w:rsidRPr="00DD47DF" w:rsidRDefault="000E7F90" w:rsidP="000E7F90">
      <w:pPr>
        <w:pStyle w:val="Standardntext"/>
        <w:numPr>
          <w:ilvl w:val="0"/>
          <w:numId w:val="29"/>
        </w:numPr>
      </w:pPr>
      <w:r w:rsidRPr="00DD47DF">
        <w:t>pilotní projekty a hodnocení</w:t>
      </w:r>
    </w:p>
    <w:p w14:paraId="3A7608DD" w14:textId="77777777" w:rsidR="000E7F90" w:rsidRPr="00DD47DF" w:rsidRDefault="000E7F90" w:rsidP="000E7F90">
      <w:pPr>
        <w:pStyle w:val="Standardntext"/>
        <w:numPr>
          <w:ilvl w:val="0"/>
          <w:numId w:val="29"/>
        </w:numPr>
      </w:pPr>
      <w:r w:rsidRPr="00DD47DF">
        <w:t>příprava programových dokumentů pro programovací období 2021+, vč. ex-ante hodnocení a hodnocení SEA</w:t>
      </w:r>
    </w:p>
    <w:p w14:paraId="5D3EE4FE" w14:textId="77777777" w:rsidR="000E7F90" w:rsidRPr="00DD47DF" w:rsidRDefault="000E7F90" w:rsidP="000E7F90">
      <w:pPr>
        <w:pStyle w:val="Standardntext"/>
      </w:pPr>
      <w:r w:rsidRPr="00DD47DF">
        <w:rPr>
          <w:u w:val="single"/>
        </w:rPr>
        <w:t xml:space="preserve">Vybrané oblasti </w:t>
      </w:r>
      <w:r w:rsidR="005D5EB8" w:rsidRPr="00DD47DF">
        <w:rPr>
          <w:u w:val="single"/>
        </w:rPr>
        <w:t>SC 5.2</w:t>
      </w:r>
      <w:r w:rsidRPr="00DD47DF">
        <w:rPr>
          <w:u w:val="single"/>
        </w:rPr>
        <w:t xml:space="preserve"> v kontextu vyhodnocení zkušeností z implementace OPPI</w:t>
      </w:r>
      <w:r w:rsidRPr="00DD47DF">
        <w:t xml:space="preserve"> (dále </w:t>
      </w:r>
      <w:r w:rsidR="001A4D0A" w:rsidRPr="00DD47DF">
        <w:t xml:space="preserve">Nepovinná </w:t>
      </w:r>
      <w:r w:rsidRPr="00DD47DF">
        <w:t>příloha č. 1):</w:t>
      </w:r>
    </w:p>
    <w:p w14:paraId="50E3D4E4" w14:textId="77777777" w:rsidR="00024756" w:rsidRPr="00DD47DF" w:rsidRDefault="000E7F90" w:rsidP="000E7F90">
      <w:pPr>
        <w:pStyle w:val="Standardntext"/>
      </w:pPr>
      <w:r w:rsidRPr="00DD47DF">
        <w:t xml:space="preserve">(i) Informovanost veřejnosti: </w:t>
      </w:r>
      <w:r w:rsidR="00024756" w:rsidRPr="00DD47DF">
        <w:t>Výhodou rozdělení cílových skupin komunikační strategie OPPI ve vztahu k informovanosti veřejnosti byl jeho záběr a zapojení širokého spektra zainteresovaných stran. Tyto prvky  je proto vhodné převzít. Nevýhodou pak bylo nastavení cílových skupin, které se často překrývaly a jejich vymezení bylo nejasné, kdy mezi cílovými skupinami nebyla stanovena prioritizace a celkově lze říci, že cílové skupiny byly velmi obecné. Rovněž nebylo vysvětleno, na jakém základě byly segmentům přiřazeny jednotlivé kanály a stupeň jejich důležitosti.</w:t>
      </w:r>
    </w:p>
    <w:p w14:paraId="4F6B08E4" w14:textId="77777777" w:rsidR="000E7F90" w:rsidRPr="00DD47DF" w:rsidRDefault="00024756" w:rsidP="000E7F90">
      <w:pPr>
        <w:pStyle w:val="Standardntext"/>
      </w:pPr>
      <w:r w:rsidRPr="00DD47DF">
        <w:t>Cílem tak bude z</w:t>
      </w:r>
      <w:r w:rsidR="000E7F90" w:rsidRPr="00DD47DF">
        <w:t>kvalitnit medializaci a cílení informačních a komunikačních kampaní. Nerealizovat příliš obecné a rozsáhlé kampaně, nýbrž kampaně cílit přímo na potenciální žadatele a příjemce, a to prostřednictvím přímých kontaktů. K publicitě programu patří informace o úspěšných projektech, informace o administraci projektů, úspěšnosti podaných žádostí. V omezené míře bude přistupováno k placené inzerci v tisku a médiích. V návaznosti na centrální OPTP bude technická pomoc OP PIK spoluvytvářet Společnou komunikační strategii.</w:t>
      </w:r>
      <w:r w:rsidR="00BA4E72" w:rsidRPr="00DD47DF">
        <w:t xml:space="preserve"> </w:t>
      </w:r>
    </w:p>
    <w:p w14:paraId="5840F967" w14:textId="77777777" w:rsidR="00BA7741" w:rsidRPr="00DD47DF" w:rsidRDefault="00024756" w:rsidP="000E7F90">
      <w:pPr>
        <w:pStyle w:val="Standardntext"/>
      </w:pPr>
      <w:r w:rsidRPr="00DD47DF">
        <w:t xml:space="preserve"> </w:t>
      </w:r>
      <w:r w:rsidR="000E7F90" w:rsidRPr="00DD47DF">
        <w:t xml:space="preserve">(ii) Protikorupční opatření: Veřejnost má mnohdy negativní povědomí o fondech EU a dosažených výsledcích, neboť si často tuto problematiku spojuje s podvody a korupcí. Česká republika přijala Strategii pro boj s podvody a korupcí a pro její naplnění byl připraven Akční </w:t>
      </w:r>
      <w:r w:rsidR="000E7F90" w:rsidRPr="00DD47DF">
        <w:lastRenderedPageBreak/>
        <w:t>plán. Řídící orgán OP PIK se bude řídit touto strategií, resp. Akčním plánem.</w:t>
      </w:r>
      <w:r w:rsidR="00FA33B7" w:rsidRPr="00DD47DF">
        <w:t xml:space="preserve"> Nad rámec tohoto Akčního plánu </w:t>
      </w:r>
      <w:r w:rsidR="005D5EB8" w:rsidRPr="00DD47DF">
        <w:t xml:space="preserve">postupuje </w:t>
      </w:r>
      <w:r w:rsidR="00FA33B7" w:rsidRPr="00DD47DF">
        <w:t xml:space="preserve">Řídící orgán </w:t>
      </w:r>
      <w:r w:rsidR="005D5EB8" w:rsidRPr="00DD47DF">
        <w:t xml:space="preserve">OP PIK </w:t>
      </w:r>
      <w:r w:rsidR="00FA33B7" w:rsidRPr="00DD47DF">
        <w:t>v souladu s Interním protikorupčním programem M</w:t>
      </w:r>
      <w:r w:rsidR="005D5EB8" w:rsidRPr="00DD47DF">
        <w:t>PO</w:t>
      </w:r>
      <w:r w:rsidR="00FA33B7" w:rsidRPr="00DD47DF">
        <w:t xml:space="preserve">. Cílem protikorupčního programu je odstranit nebo v maximální možné míře omezit předpoklady pro vznik korupčního jednání v rámci MPO. </w:t>
      </w:r>
      <w:r w:rsidR="00BA7741" w:rsidRPr="00DD47DF">
        <w:t>Mezi konkrétní protikorupční opatření na straně ŘO patří a) zapracování prvků bránících vzniku korupčního prostředí (výběrová řízení, rozhodování více osobami, jednoznačný a jednotný výklad sporných zákonných ustanovení, vyloučení střetu zájmů a možné podjatosti, kontrolní mechanismy aj.) do systému řízení formou interních předpisů, b) důsledné provádění kontroly jejich aktuálnosti a dodržování, c) jednoznačné určení kompetencí - vymezení pravomocí a odpovědností za činnosti s možným korupčním jednáním, d) proškolování zaměstnanců, e) poskytování maxima možných informací o rozhodovacích procesech v implementační struktuře veřejnosti, f) zajištění otevřeného a rovného přístupu k informacím a g) důsledné prošetřování podnětů signalizujících podezření na korupci.</w:t>
      </w:r>
    </w:p>
    <w:p w14:paraId="4FACD7CF" w14:textId="77777777" w:rsidR="000E7F90" w:rsidRPr="00DD47DF" w:rsidRDefault="000E79E7" w:rsidP="000E7F90">
      <w:pPr>
        <w:pStyle w:val="Standardntext"/>
      </w:pPr>
      <w:r w:rsidRPr="00DD47DF">
        <w:t>ŘO OP PIK zohlední při implementaci operačního programu etický kodex a zajistí seznámení s ním všech zaměstnanců implementační struktury a členů Monitorovacího výboru OP PIK, kteří jej podepíší společně s čestným prohlášením  vylučujícím korupční jednání z jejich strany.</w:t>
      </w:r>
      <w:r w:rsidR="002C1372" w:rsidRPr="00DD47DF">
        <w:rPr>
          <w:rStyle w:val="Znakapoznpodarou"/>
        </w:rPr>
        <w:footnoteReference w:id="79"/>
      </w:r>
    </w:p>
    <w:p w14:paraId="34DFEF8D" w14:textId="77777777" w:rsidR="00597E55" w:rsidRPr="00DD47DF" w:rsidRDefault="00597E55" w:rsidP="000E7F90">
      <w:pPr>
        <w:pStyle w:val="Standardntext"/>
      </w:pPr>
      <w:r w:rsidRPr="00DD47DF">
        <w:t>ŘO OP PIK bude i nadále využívat nástroje Arachne, který odkrývá vlastnickou strukturu potencionálních žadatelů a předchází tak případnému střetu zájmů.</w:t>
      </w:r>
    </w:p>
    <w:p w14:paraId="0DF5B56A" w14:textId="77777777" w:rsidR="000E7F90" w:rsidRPr="00DD47DF" w:rsidRDefault="000E7F90" w:rsidP="004A282B">
      <w:pPr>
        <w:pStyle w:val="Standardntext"/>
        <w:keepNext/>
        <w:keepLines/>
        <w:rPr>
          <w:b/>
        </w:rPr>
      </w:pPr>
      <w:r w:rsidRPr="00DD47DF">
        <w:rPr>
          <w:b/>
        </w:rPr>
        <w:t>Vazby mezi OPTP a OP PIK:</w:t>
      </w:r>
      <w:r w:rsidR="00BA4E72" w:rsidRPr="00DD47DF">
        <w:rPr>
          <w:b/>
        </w:rPr>
        <w:t xml:space="preserve"> </w:t>
      </w:r>
    </w:p>
    <w:p w14:paraId="263D5809" w14:textId="77777777" w:rsidR="000E7F90" w:rsidRPr="00DD47DF" w:rsidRDefault="000E7F90" w:rsidP="004A282B">
      <w:pPr>
        <w:pStyle w:val="Standardntext"/>
        <w:keepNext/>
        <w:keepLines/>
      </w:pPr>
      <w:r w:rsidRPr="00DD47DF">
        <w:t xml:space="preserve">V návaznosti na OPTP bude OP PIK spoluvytvářet Společnou komunikační strategii. Komunikační aktivity nebudou roztříštěné, ale cílené efektivně dle charakteru cílové skupiny. Z OPTP bude řízen jednotný metodický přístup. Mzdové prostředky pracovníků implementační struktury OP PIK budou hrazeny z technické pomoci programu, stejně jako část vzdělávání. Obecné vzdělávání zaměstnanců implementujících ESI fondy bude hrazeno i z OPTP. </w:t>
      </w:r>
      <w:r w:rsidR="00E35B78" w:rsidRPr="00DD47DF">
        <w:t>Jedná se zejména o vzdělávání potřebná napříč operačními programy, jako jsou legislativní školení, např. veřejné zakázky. Z </w:t>
      </w:r>
      <w:r w:rsidR="005D5EB8" w:rsidRPr="00DD47DF">
        <w:t>technické pomoci</w:t>
      </w:r>
      <w:r w:rsidR="00E35B78" w:rsidRPr="00DD47DF">
        <w:t xml:space="preserve"> OP</w:t>
      </w:r>
      <w:r w:rsidR="00870B7F" w:rsidRPr="00DD47DF">
        <w:t xml:space="preserve"> </w:t>
      </w:r>
      <w:r w:rsidR="00E35B78" w:rsidRPr="00DD47DF">
        <w:t xml:space="preserve">PIK budou hrazena školení zaměřená specificky na potřeby žadatelů v programu, a to s ohledem na zajištění </w:t>
      </w:r>
      <w:r w:rsidR="005D5EB8" w:rsidRPr="00DD47DF">
        <w:t xml:space="preserve">jeho </w:t>
      </w:r>
      <w:r w:rsidR="00E35B78" w:rsidRPr="00DD47DF">
        <w:t>bezproblémové</w:t>
      </w:r>
      <w:r w:rsidR="005D5EB8" w:rsidRPr="00DD47DF">
        <w:t>ho</w:t>
      </w:r>
      <w:r w:rsidR="00E35B78" w:rsidRPr="00DD47DF">
        <w:t xml:space="preserve"> čerpání </w:t>
      </w:r>
      <w:r w:rsidR="005D5EB8" w:rsidRPr="00DD47DF">
        <w:t>(</w:t>
      </w:r>
      <w:r w:rsidR="00E35B78" w:rsidRPr="00DD47DF">
        <w:t>např. školení na žádosti o platbu</w:t>
      </w:r>
      <w:r w:rsidR="005D5EB8" w:rsidRPr="00DD47DF">
        <w:t>)</w:t>
      </w:r>
      <w:r w:rsidR="00E35B78" w:rsidRPr="00DD47DF">
        <w:t xml:space="preserve">. </w:t>
      </w:r>
      <w:r w:rsidRPr="00DD47DF">
        <w:t>Publicita bude jak společná (hrazená z OPTP, společná strategie, obecné a rozsáhlejší komunikační kampaně), tak specifická pro OP PIK hrazená z technické pomoci OP PIK. Publicita OP PIK, návrhy ročních komunikačních plánů budou schvalovány ze strany ŘO OPTP. Koordinace implementace technické pomoci programu s OPTP probíhá prostřednictvím PS pro informovanost a publicitu.</w:t>
      </w:r>
    </w:p>
    <w:p w14:paraId="1A671169" w14:textId="77777777" w:rsidR="000E7F90" w:rsidRPr="00DD47DF" w:rsidRDefault="000E7F90" w:rsidP="000E7F90">
      <w:pPr>
        <w:spacing w:after="120"/>
        <w:jc w:val="both"/>
        <w:rPr>
          <w:rFonts w:cs="Calibri"/>
          <w:sz w:val="24"/>
          <w:szCs w:val="24"/>
        </w:rPr>
      </w:pPr>
      <w:r w:rsidRPr="00DD47DF">
        <w:rPr>
          <w:rFonts w:cs="Calibri"/>
          <w:b/>
          <w:sz w:val="24"/>
          <w:szCs w:val="24"/>
        </w:rPr>
        <w:t xml:space="preserve">Příjemci podpory </w:t>
      </w:r>
      <w:r w:rsidRPr="00DD47DF">
        <w:rPr>
          <w:rFonts w:cs="Calibri"/>
          <w:sz w:val="24"/>
          <w:szCs w:val="24"/>
        </w:rPr>
        <w:t>v </w:t>
      </w:r>
      <w:r w:rsidR="00E35B78" w:rsidRPr="00DD47DF">
        <w:rPr>
          <w:rFonts w:cs="Calibri"/>
          <w:sz w:val="24"/>
          <w:szCs w:val="24"/>
        </w:rPr>
        <w:t>PO</w:t>
      </w:r>
      <w:r w:rsidR="005D5EB8" w:rsidRPr="00DD47DF">
        <w:rPr>
          <w:rFonts w:cs="Calibri"/>
          <w:sz w:val="24"/>
          <w:szCs w:val="24"/>
        </w:rPr>
        <w:t xml:space="preserve"> 5:</w:t>
      </w:r>
      <w:r w:rsidRPr="00DD47DF">
        <w:rPr>
          <w:rFonts w:cs="Calibri"/>
          <w:sz w:val="24"/>
          <w:szCs w:val="24"/>
        </w:rPr>
        <w:t xml:space="preserve"> Říd</w:t>
      </w:r>
      <w:r w:rsidR="00870B7F" w:rsidRPr="00DD47DF">
        <w:rPr>
          <w:rFonts w:cs="Calibri"/>
          <w:sz w:val="24"/>
          <w:szCs w:val="24"/>
        </w:rPr>
        <w:t>í</w:t>
      </w:r>
      <w:r w:rsidRPr="00DD47DF">
        <w:rPr>
          <w:rFonts w:cs="Calibri"/>
          <w:sz w:val="24"/>
          <w:szCs w:val="24"/>
        </w:rPr>
        <w:t>cí orgán OP PIK</w:t>
      </w:r>
      <w:r w:rsidR="00F229AC" w:rsidRPr="00DD47DF">
        <w:rPr>
          <w:rFonts w:cs="Calibri"/>
          <w:sz w:val="24"/>
          <w:szCs w:val="24"/>
        </w:rPr>
        <w:t xml:space="preserve">, </w:t>
      </w:r>
      <w:r w:rsidRPr="00DD47DF">
        <w:rPr>
          <w:rFonts w:cs="Calibri"/>
          <w:sz w:val="24"/>
          <w:szCs w:val="24"/>
        </w:rPr>
        <w:t xml:space="preserve">zprostředkující subjekt </w:t>
      </w:r>
      <w:r w:rsidR="00F229AC" w:rsidRPr="00DD47DF">
        <w:rPr>
          <w:rFonts w:cs="Calibri"/>
          <w:sz w:val="24"/>
          <w:szCs w:val="24"/>
        </w:rPr>
        <w:t xml:space="preserve">(charakterizován v tab. 23, kapitole 7.1). </w:t>
      </w:r>
      <w:r w:rsidRPr="00DD47DF">
        <w:rPr>
          <w:rFonts w:cs="Calibri"/>
          <w:sz w:val="24"/>
          <w:szCs w:val="24"/>
        </w:rPr>
        <w:t xml:space="preserve"> </w:t>
      </w:r>
    </w:p>
    <w:p w14:paraId="7F13AF33" w14:textId="77777777" w:rsidR="000E7F90" w:rsidRPr="00DD47DF" w:rsidRDefault="000E7F90" w:rsidP="000E7F90">
      <w:pPr>
        <w:spacing w:after="120"/>
        <w:jc w:val="both"/>
        <w:rPr>
          <w:rFonts w:cs="Calibri"/>
          <w:b/>
          <w:sz w:val="24"/>
          <w:szCs w:val="24"/>
        </w:rPr>
      </w:pPr>
      <w:r w:rsidRPr="00DD47DF">
        <w:rPr>
          <w:rFonts w:cs="Calibri"/>
          <w:b/>
          <w:sz w:val="24"/>
          <w:szCs w:val="24"/>
        </w:rPr>
        <w:t>Monitoring technické pomoci:</w:t>
      </w:r>
    </w:p>
    <w:p w14:paraId="3135315D" w14:textId="77777777" w:rsidR="000E7F90" w:rsidRPr="00DD47DF" w:rsidRDefault="00E1181F" w:rsidP="000E7F90">
      <w:pPr>
        <w:spacing w:after="120"/>
        <w:jc w:val="both"/>
        <w:rPr>
          <w:rFonts w:cs="Calibri"/>
          <w:sz w:val="24"/>
          <w:szCs w:val="24"/>
        </w:rPr>
      </w:pPr>
      <w:r w:rsidRPr="00DD47DF">
        <w:rPr>
          <w:rFonts w:cs="Calibri"/>
          <w:sz w:val="24"/>
          <w:szCs w:val="24"/>
        </w:rPr>
        <w:t xml:space="preserve">Závazně bude sledován indikátor výstupu pro plnění aktivit školení žadatelů OP PIK, stejně jako implementační struktury, seminářů, workshopů, konferencí, a dále indikátor sledující zrealizované analytické studie a evaluace. Tyto aktivity mají přispět ke zvýšení absorpční kapacity programu s pevnou vazbou na zvýšení míry povědomí veřejnosti o fondech EU. Tím je plněn výsledkový indikátor navržený MMR-NOK a zakomponovaný do textu OPTP, </w:t>
      </w:r>
      <w:r w:rsidRPr="00DD47DF">
        <w:rPr>
          <w:rFonts w:cs="Calibri"/>
          <w:sz w:val="24"/>
          <w:szCs w:val="24"/>
        </w:rPr>
        <w:lastRenderedPageBreak/>
        <w:t>sledovaný centrálně na úrovni MMR-NOK. Ve vztahu k interním potřebám programu pak plnění výstupových indikátorů programu směřuje na vyšší míru stabilizace zaměstnanců implementační struktury (indikátor výsledku) a vyšší míru úspěšnosti projektových žádostí.</w:t>
      </w:r>
    </w:p>
    <w:p w14:paraId="60B37DBF" w14:textId="77777777" w:rsidR="00CF5E63" w:rsidRPr="00DD47DF" w:rsidRDefault="00DD2263" w:rsidP="005F43DF">
      <w:pPr>
        <w:pStyle w:val="Nadpis5"/>
        <w:numPr>
          <w:ilvl w:val="4"/>
          <w:numId w:val="13"/>
        </w:numPr>
      </w:pPr>
      <w:r w:rsidRPr="00DD47DF">
        <w:t>Ukazatele výstupů, které by podle očekávání měly přispět k dosažení výsledků</w:t>
      </w:r>
    </w:p>
    <w:p w14:paraId="60EBF4BB" w14:textId="77777777" w:rsidR="005359A1" w:rsidRPr="00DD47DF" w:rsidRDefault="005359A1" w:rsidP="00720FD1">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13</w:t>
      </w:r>
      <w:r w:rsidR="002756E7" w:rsidRPr="00DD47DF">
        <w:rPr>
          <w:noProof/>
        </w:rPr>
        <w:fldChar w:fldCharType="end"/>
      </w:r>
      <w:r w:rsidRPr="00DD47DF">
        <w:t xml:space="preserve">: </w:t>
      </w:r>
      <w:r w:rsidR="00DD2263" w:rsidRPr="00DD47DF">
        <w:t>Ukazatele výstupu</w:t>
      </w:r>
    </w:p>
    <w:tbl>
      <w:tblPr>
        <w:tblW w:w="0" w:type="auto"/>
        <w:tblCellMar>
          <w:left w:w="57" w:type="dxa"/>
          <w:right w:w="57" w:type="dxa"/>
        </w:tblCellMar>
        <w:tblLook w:val="01E0" w:firstRow="1" w:lastRow="1" w:firstColumn="1" w:lastColumn="1" w:noHBand="0" w:noVBand="0"/>
      </w:tblPr>
      <w:tblGrid>
        <w:gridCol w:w="907"/>
        <w:gridCol w:w="4518"/>
        <w:gridCol w:w="1153"/>
        <w:gridCol w:w="1984"/>
        <w:gridCol w:w="764"/>
      </w:tblGrid>
      <w:tr w:rsidR="005359A1" w:rsidRPr="00DD47DF" w14:paraId="4BD2A60F" w14:textId="77777777">
        <w:trPr>
          <w:trHeight w:hRule="exact" w:val="808"/>
        </w:trPr>
        <w:tc>
          <w:tcPr>
            <w:tcW w:w="90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7189CCC" w14:textId="77777777" w:rsidR="005359A1" w:rsidRPr="00DD47DF" w:rsidRDefault="005359A1" w:rsidP="00720FD1">
            <w:pPr>
              <w:pStyle w:val="Tabulka"/>
              <w:keepNext/>
              <w:keepLines/>
              <w:rPr>
                <w:rFonts w:cs="Calibri"/>
              </w:rPr>
            </w:pPr>
            <w:r w:rsidRPr="00DD47DF">
              <w:rPr>
                <w:rFonts w:cs="Calibri"/>
                <w:b/>
                <w:bCs/>
              </w:rPr>
              <w:t>ID</w:t>
            </w:r>
          </w:p>
        </w:tc>
        <w:tc>
          <w:tcPr>
            <w:tcW w:w="451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6442968" w14:textId="77777777" w:rsidR="005359A1" w:rsidRPr="00DD47DF" w:rsidRDefault="00DD2263" w:rsidP="00720FD1">
            <w:pPr>
              <w:pStyle w:val="Tabulka"/>
              <w:keepNext/>
              <w:keepLines/>
              <w:rPr>
                <w:rFonts w:cs="Calibri"/>
              </w:rPr>
            </w:pPr>
            <w:r w:rsidRPr="00DD47DF">
              <w:rPr>
                <w:rFonts w:cs="Calibri"/>
                <w:b/>
                <w:bCs/>
              </w:rPr>
              <w:t>Ukazatel</w:t>
            </w:r>
          </w:p>
        </w:tc>
        <w:tc>
          <w:tcPr>
            <w:tcW w:w="115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FF558D1" w14:textId="77777777" w:rsidR="005359A1" w:rsidRPr="00DD47DF" w:rsidRDefault="005359A1" w:rsidP="00720FD1">
            <w:pPr>
              <w:pStyle w:val="Tabulka"/>
              <w:keepNext/>
              <w:keepLines/>
              <w:rPr>
                <w:rFonts w:cs="Calibri"/>
              </w:rPr>
            </w:pPr>
            <w:r w:rsidRPr="00DD47DF">
              <w:rPr>
                <w:rFonts w:cs="Calibri"/>
                <w:b/>
                <w:bCs/>
              </w:rPr>
              <w:t>Měrná</w:t>
            </w:r>
            <w:r w:rsidR="00720FD1" w:rsidRPr="00DD47DF">
              <w:rPr>
                <w:rFonts w:cs="Calibri"/>
                <w:b/>
                <w:bCs/>
              </w:rPr>
              <w:t xml:space="preserve"> </w:t>
            </w:r>
            <w:r w:rsidRPr="00DD47DF">
              <w:rPr>
                <w:rFonts w:cs="Calibri"/>
                <w:b/>
                <w:bCs/>
              </w:rPr>
              <w:t>jednotka</w:t>
            </w:r>
          </w:p>
        </w:tc>
        <w:tc>
          <w:tcPr>
            <w:tcW w:w="198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25D2231" w14:textId="77777777" w:rsidR="005359A1" w:rsidRPr="00DD47DF" w:rsidRDefault="009E5CFE" w:rsidP="00720FD1">
            <w:pPr>
              <w:pStyle w:val="Tabulka"/>
              <w:keepNext/>
              <w:keepLines/>
              <w:rPr>
                <w:rFonts w:cs="Calibri"/>
              </w:rPr>
            </w:pPr>
            <w:r w:rsidRPr="00DD47DF">
              <w:rPr>
                <w:rFonts w:cs="Calibri"/>
                <w:b/>
                <w:bCs/>
              </w:rPr>
              <w:t>Cílová hodnota (2023)</w:t>
            </w:r>
            <w:r w:rsidR="005359A1" w:rsidRPr="00DD47DF">
              <w:rPr>
                <w:rFonts w:cs="Calibri"/>
                <w:b/>
                <w:bCs/>
              </w:rPr>
              <w:t xml:space="preserve"> (</w:t>
            </w:r>
            <w:r w:rsidR="00DD2263" w:rsidRPr="00DD47DF">
              <w:rPr>
                <w:rFonts w:cs="Calibri"/>
                <w:b/>
                <w:bCs/>
              </w:rPr>
              <w:t>nepovinné</w:t>
            </w:r>
            <w:r w:rsidR="005359A1" w:rsidRPr="00DD47DF">
              <w:rPr>
                <w:rFonts w:cs="Calibri"/>
                <w:b/>
                <w:bCs/>
              </w:rPr>
              <w:t>)</w:t>
            </w:r>
          </w:p>
        </w:tc>
        <w:tc>
          <w:tcPr>
            <w:tcW w:w="76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9F58A98" w14:textId="77777777" w:rsidR="005359A1" w:rsidRPr="00DD47DF" w:rsidRDefault="005359A1" w:rsidP="00720FD1">
            <w:pPr>
              <w:pStyle w:val="Tabulka"/>
              <w:keepNext/>
              <w:keepLines/>
              <w:rPr>
                <w:rFonts w:cs="Calibri"/>
              </w:rPr>
            </w:pPr>
            <w:r w:rsidRPr="00DD47DF">
              <w:rPr>
                <w:rFonts w:cs="Calibri"/>
                <w:b/>
                <w:bCs/>
              </w:rPr>
              <w:t xml:space="preserve">Zdroj </w:t>
            </w:r>
            <w:r w:rsidR="00DD2263" w:rsidRPr="00DD47DF">
              <w:rPr>
                <w:rFonts w:cs="Calibri"/>
                <w:b/>
                <w:bCs/>
              </w:rPr>
              <w:t>údajů</w:t>
            </w:r>
          </w:p>
        </w:tc>
      </w:tr>
      <w:tr w:rsidR="005359A1" w:rsidRPr="00DD47DF" w14:paraId="12EF2916" w14:textId="77777777" w:rsidTr="00342AA5">
        <w:trPr>
          <w:trHeight w:val="680"/>
        </w:trPr>
        <w:tc>
          <w:tcPr>
            <w:tcW w:w="907" w:type="dxa"/>
            <w:tcBorders>
              <w:top w:val="single" w:sz="4" w:space="0" w:color="000000"/>
              <w:left w:val="single" w:sz="4" w:space="0" w:color="000000"/>
              <w:bottom w:val="single" w:sz="4" w:space="0" w:color="000000"/>
              <w:right w:val="single" w:sz="4" w:space="0" w:color="000000"/>
            </w:tcBorders>
            <w:vAlign w:val="center"/>
          </w:tcPr>
          <w:p w14:paraId="6B397A2B" w14:textId="77777777" w:rsidR="005359A1" w:rsidRPr="00DD47DF" w:rsidRDefault="0065318C" w:rsidP="00720FD1">
            <w:pPr>
              <w:pStyle w:val="Tabulka"/>
              <w:keepNext/>
              <w:keepLines/>
              <w:rPr>
                <w:rFonts w:cs="Calibri"/>
              </w:rPr>
            </w:pPr>
            <w:r w:rsidRPr="00DD47DF">
              <w:rPr>
                <w:rFonts w:cs="Calibri"/>
              </w:rPr>
              <w:t>82000</w:t>
            </w:r>
          </w:p>
        </w:tc>
        <w:tc>
          <w:tcPr>
            <w:tcW w:w="4518" w:type="dxa"/>
            <w:tcBorders>
              <w:top w:val="single" w:sz="4" w:space="0" w:color="000000"/>
              <w:left w:val="single" w:sz="4" w:space="0" w:color="000000"/>
              <w:bottom w:val="single" w:sz="4" w:space="0" w:color="000000"/>
              <w:right w:val="single" w:sz="4" w:space="0" w:color="000000"/>
            </w:tcBorders>
            <w:vAlign w:val="center"/>
          </w:tcPr>
          <w:p w14:paraId="1710B2F8" w14:textId="77777777" w:rsidR="005359A1" w:rsidRPr="00DD47DF" w:rsidRDefault="00946A81" w:rsidP="0097571A">
            <w:pPr>
              <w:pStyle w:val="Tabulka"/>
              <w:keepNext/>
              <w:keepLines/>
              <w:jc w:val="left"/>
              <w:rPr>
                <w:rFonts w:cs="Calibri"/>
              </w:rPr>
            </w:pPr>
            <w:r w:rsidRPr="00DD47DF">
              <w:rPr>
                <w:rFonts w:cs="Calibri"/>
              </w:rPr>
              <w:t>Počet uskutečněnýc</w:t>
            </w:r>
            <w:r w:rsidR="00B44F8D" w:rsidRPr="00DD47DF">
              <w:rPr>
                <w:rFonts w:cs="Calibri"/>
              </w:rPr>
              <w:t xml:space="preserve">h školení, seminářů, workshopů a </w:t>
            </w:r>
            <w:r w:rsidRPr="00DD47DF">
              <w:rPr>
                <w:rFonts w:cs="Calibri"/>
              </w:rPr>
              <w:t>konferencí</w:t>
            </w:r>
          </w:p>
        </w:tc>
        <w:tc>
          <w:tcPr>
            <w:tcW w:w="1153" w:type="dxa"/>
            <w:tcBorders>
              <w:top w:val="single" w:sz="4" w:space="0" w:color="000000"/>
              <w:left w:val="single" w:sz="4" w:space="0" w:color="000000"/>
              <w:bottom w:val="single" w:sz="4" w:space="0" w:color="000000"/>
              <w:right w:val="single" w:sz="4" w:space="0" w:color="000000"/>
            </w:tcBorders>
            <w:vAlign w:val="center"/>
          </w:tcPr>
          <w:p w14:paraId="76AE8492" w14:textId="77777777" w:rsidR="005359A1" w:rsidRPr="00DD47DF" w:rsidRDefault="006B31B5" w:rsidP="00720FD1">
            <w:pPr>
              <w:pStyle w:val="Tabulka"/>
              <w:keepNext/>
              <w:keepLines/>
              <w:rPr>
                <w:rFonts w:cs="Calibri"/>
              </w:rPr>
            </w:pPr>
            <w:r w:rsidRPr="00DD47DF">
              <w:rPr>
                <w:rFonts w:cs="Calibri"/>
              </w:rPr>
              <w:t>Aktivity</w:t>
            </w:r>
          </w:p>
        </w:tc>
        <w:tc>
          <w:tcPr>
            <w:tcW w:w="1984" w:type="dxa"/>
            <w:tcBorders>
              <w:top w:val="single" w:sz="4" w:space="0" w:color="000000"/>
              <w:left w:val="single" w:sz="4" w:space="0" w:color="000000"/>
              <w:bottom w:val="single" w:sz="4" w:space="0" w:color="000000"/>
              <w:right w:val="single" w:sz="4" w:space="0" w:color="000000"/>
            </w:tcBorders>
            <w:vAlign w:val="center"/>
          </w:tcPr>
          <w:p w14:paraId="2020C2E3" w14:textId="77777777" w:rsidR="005359A1" w:rsidRPr="00DD47DF" w:rsidRDefault="00DA2ECC" w:rsidP="00720FD1">
            <w:pPr>
              <w:pStyle w:val="Tabulka"/>
              <w:keepNext/>
              <w:keepLines/>
              <w:rPr>
                <w:rFonts w:cs="Calibri"/>
              </w:rPr>
            </w:pPr>
            <w:r w:rsidRPr="00DD47DF">
              <w:rPr>
                <w:rFonts w:cs="Calibri"/>
              </w:rPr>
              <w:t>970</w:t>
            </w:r>
          </w:p>
        </w:tc>
        <w:tc>
          <w:tcPr>
            <w:tcW w:w="764" w:type="dxa"/>
            <w:tcBorders>
              <w:top w:val="single" w:sz="4" w:space="0" w:color="000000"/>
              <w:left w:val="single" w:sz="4" w:space="0" w:color="000000"/>
              <w:bottom w:val="single" w:sz="4" w:space="0" w:color="000000"/>
              <w:right w:val="single" w:sz="4" w:space="0" w:color="000000"/>
            </w:tcBorders>
            <w:vAlign w:val="center"/>
          </w:tcPr>
          <w:p w14:paraId="23E13D08" w14:textId="77777777" w:rsidR="005359A1" w:rsidRPr="00DD47DF" w:rsidRDefault="00CB5255" w:rsidP="00720FD1">
            <w:pPr>
              <w:pStyle w:val="Tabulka"/>
              <w:keepNext/>
              <w:keepLines/>
              <w:rPr>
                <w:rFonts w:cs="Calibri"/>
              </w:rPr>
            </w:pPr>
            <w:r w:rsidRPr="00DD47DF">
              <w:rPr>
                <w:rFonts w:cs="Calibri"/>
              </w:rPr>
              <w:t xml:space="preserve">Ž/P </w:t>
            </w:r>
          </w:p>
        </w:tc>
      </w:tr>
      <w:tr w:rsidR="005359A1" w:rsidRPr="00DD47DF" w14:paraId="40629DDF" w14:textId="77777777" w:rsidTr="00342AA5">
        <w:trPr>
          <w:trHeight w:val="680"/>
        </w:trPr>
        <w:tc>
          <w:tcPr>
            <w:tcW w:w="907" w:type="dxa"/>
            <w:tcBorders>
              <w:top w:val="single" w:sz="4" w:space="0" w:color="000000"/>
              <w:left w:val="single" w:sz="4" w:space="0" w:color="000000"/>
              <w:bottom w:val="single" w:sz="4" w:space="0" w:color="000000"/>
              <w:right w:val="single" w:sz="4" w:space="0" w:color="000000"/>
            </w:tcBorders>
            <w:vAlign w:val="center"/>
          </w:tcPr>
          <w:p w14:paraId="7C07E7E9" w14:textId="77777777" w:rsidR="005359A1" w:rsidRPr="00DD47DF" w:rsidRDefault="0065318C" w:rsidP="004E6DD3">
            <w:pPr>
              <w:pStyle w:val="Tabulka"/>
              <w:rPr>
                <w:rFonts w:cs="Calibri"/>
              </w:rPr>
            </w:pPr>
            <w:r w:rsidRPr="00DD47DF">
              <w:rPr>
                <w:rFonts w:cs="Calibri"/>
              </w:rPr>
              <w:t>80500</w:t>
            </w:r>
          </w:p>
        </w:tc>
        <w:tc>
          <w:tcPr>
            <w:tcW w:w="4518" w:type="dxa"/>
            <w:tcBorders>
              <w:top w:val="single" w:sz="4" w:space="0" w:color="000000"/>
              <w:left w:val="single" w:sz="4" w:space="0" w:color="000000"/>
              <w:bottom w:val="single" w:sz="4" w:space="0" w:color="000000"/>
              <w:right w:val="single" w:sz="4" w:space="0" w:color="000000"/>
            </w:tcBorders>
            <w:vAlign w:val="center"/>
          </w:tcPr>
          <w:p w14:paraId="5658DB51" w14:textId="77777777" w:rsidR="005359A1" w:rsidRPr="00DD47DF" w:rsidRDefault="00946A81" w:rsidP="004E6DD3">
            <w:pPr>
              <w:pStyle w:val="Tabulka"/>
              <w:jc w:val="left"/>
              <w:rPr>
                <w:rFonts w:cs="Calibri"/>
              </w:rPr>
            </w:pPr>
            <w:r w:rsidRPr="00DD47DF">
              <w:rPr>
                <w:rFonts w:cs="Calibri"/>
              </w:rPr>
              <w:t xml:space="preserve">Počet napsaných a zveřejněných analytických </w:t>
            </w:r>
            <w:r w:rsidR="00EC248D" w:rsidRPr="00DD47DF">
              <w:rPr>
                <w:rFonts w:cs="Calibri"/>
              </w:rPr>
              <w:t xml:space="preserve">a strategických </w:t>
            </w:r>
            <w:r w:rsidRPr="00DD47DF">
              <w:rPr>
                <w:rFonts w:cs="Calibri"/>
              </w:rPr>
              <w:t>dokumentů (vč. evaluačních)</w:t>
            </w:r>
          </w:p>
        </w:tc>
        <w:tc>
          <w:tcPr>
            <w:tcW w:w="1153" w:type="dxa"/>
            <w:tcBorders>
              <w:top w:val="single" w:sz="4" w:space="0" w:color="000000"/>
              <w:left w:val="single" w:sz="4" w:space="0" w:color="000000"/>
              <w:bottom w:val="single" w:sz="4" w:space="0" w:color="000000"/>
              <w:right w:val="single" w:sz="4" w:space="0" w:color="000000"/>
            </w:tcBorders>
            <w:vAlign w:val="center"/>
          </w:tcPr>
          <w:p w14:paraId="29E28E11" w14:textId="77777777" w:rsidR="005359A1" w:rsidRPr="00DD47DF" w:rsidRDefault="006B31B5" w:rsidP="004E6DD3">
            <w:pPr>
              <w:pStyle w:val="Tabulka"/>
              <w:rPr>
                <w:rFonts w:cs="Calibri"/>
              </w:rPr>
            </w:pPr>
            <w:r w:rsidRPr="00DD47DF">
              <w:rPr>
                <w:rFonts w:cs="Calibri"/>
              </w:rPr>
              <w:t>Dokumenty</w:t>
            </w:r>
          </w:p>
        </w:tc>
        <w:tc>
          <w:tcPr>
            <w:tcW w:w="1984" w:type="dxa"/>
            <w:tcBorders>
              <w:top w:val="single" w:sz="4" w:space="0" w:color="000000"/>
              <w:left w:val="single" w:sz="4" w:space="0" w:color="000000"/>
              <w:bottom w:val="single" w:sz="4" w:space="0" w:color="000000"/>
              <w:right w:val="single" w:sz="4" w:space="0" w:color="000000"/>
            </w:tcBorders>
            <w:vAlign w:val="center"/>
          </w:tcPr>
          <w:p w14:paraId="7370DB45" w14:textId="77777777" w:rsidR="005359A1" w:rsidRPr="00DD47DF" w:rsidRDefault="00DA2ECC" w:rsidP="004E6DD3">
            <w:pPr>
              <w:pStyle w:val="Tabulka"/>
              <w:rPr>
                <w:rFonts w:cs="Calibri"/>
              </w:rPr>
            </w:pPr>
            <w:r w:rsidRPr="00DD47DF">
              <w:rPr>
                <w:rFonts w:cs="Calibri"/>
              </w:rPr>
              <w:t>30</w:t>
            </w:r>
          </w:p>
        </w:tc>
        <w:tc>
          <w:tcPr>
            <w:tcW w:w="764" w:type="dxa"/>
            <w:tcBorders>
              <w:top w:val="single" w:sz="4" w:space="0" w:color="000000"/>
              <w:left w:val="single" w:sz="4" w:space="0" w:color="000000"/>
              <w:bottom w:val="single" w:sz="4" w:space="0" w:color="000000"/>
              <w:right w:val="single" w:sz="4" w:space="0" w:color="000000"/>
            </w:tcBorders>
            <w:vAlign w:val="center"/>
          </w:tcPr>
          <w:p w14:paraId="4B98CFA4" w14:textId="77777777" w:rsidR="005359A1" w:rsidRPr="00DD47DF" w:rsidRDefault="00CB5255" w:rsidP="004E6DD3">
            <w:pPr>
              <w:pStyle w:val="Tabulka"/>
              <w:rPr>
                <w:rFonts w:cs="Calibri"/>
              </w:rPr>
            </w:pPr>
            <w:r w:rsidRPr="00DD47DF">
              <w:rPr>
                <w:rFonts w:cs="Calibri"/>
              </w:rPr>
              <w:t>Ž/P</w:t>
            </w:r>
          </w:p>
        </w:tc>
      </w:tr>
      <w:tr w:rsidR="008155D6" w:rsidRPr="00DD47DF" w14:paraId="5AA3FD50" w14:textId="77777777" w:rsidTr="00342AA5">
        <w:trPr>
          <w:trHeight w:val="680"/>
        </w:trPr>
        <w:tc>
          <w:tcPr>
            <w:tcW w:w="907" w:type="dxa"/>
            <w:tcBorders>
              <w:top w:val="single" w:sz="4" w:space="0" w:color="000000"/>
              <w:left w:val="single" w:sz="4" w:space="0" w:color="000000"/>
              <w:bottom w:val="single" w:sz="4" w:space="0" w:color="000000"/>
              <w:right w:val="single" w:sz="4" w:space="0" w:color="000000"/>
            </w:tcBorders>
            <w:vAlign w:val="center"/>
          </w:tcPr>
          <w:p w14:paraId="224F3EF1" w14:textId="77777777" w:rsidR="008155D6" w:rsidRPr="00DD47DF" w:rsidRDefault="00802863" w:rsidP="004E6DD3">
            <w:pPr>
              <w:pStyle w:val="Tabulka"/>
              <w:rPr>
                <w:rFonts w:cs="Calibri"/>
              </w:rPr>
            </w:pPr>
            <w:r w:rsidRPr="00DD47DF">
              <w:rPr>
                <w:rFonts w:cs="Calibri"/>
              </w:rPr>
              <w:t>82500</w:t>
            </w:r>
          </w:p>
        </w:tc>
        <w:tc>
          <w:tcPr>
            <w:tcW w:w="4518" w:type="dxa"/>
            <w:tcBorders>
              <w:top w:val="single" w:sz="4" w:space="0" w:color="000000"/>
              <w:left w:val="single" w:sz="4" w:space="0" w:color="000000"/>
              <w:bottom w:val="single" w:sz="4" w:space="0" w:color="000000"/>
              <w:right w:val="single" w:sz="4" w:space="0" w:color="000000"/>
            </w:tcBorders>
            <w:vAlign w:val="center"/>
          </w:tcPr>
          <w:p w14:paraId="552E6F9A" w14:textId="77777777" w:rsidR="008155D6" w:rsidRPr="00DD47DF" w:rsidRDefault="008155D6" w:rsidP="004E6DD3">
            <w:pPr>
              <w:pStyle w:val="Tabulka"/>
              <w:jc w:val="left"/>
              <w:rPr>
                <w:rFonts w:cs="Calibri"/>
              </w:rPr>
            </w:pPr>
            <w:r w:rsidRPr="00DD47DF">
              <w:rPr>
                <w:rFonts w:cs="Calibri"/>
              </w:rPr>
              <w:t>Počet pracovních míst financovaných z programu</w:t>
            </w:r>
          </w:p>
        </w:tc>
        <w:tc>
          <w:tcPr>
            <w:tcW w:w="1153" w:type="dxa"/>
            <w:tcBorders>
              <w:top w:val="single" w:sz="4" w:space="0" w:color="000000"/>
              <w:left w:val="single" w:sz="4" w:space="0" w:color="000000"/>
              <w:bottom w:val="single" w:sz="4" w:space="0" w:color="000000"/>
              <w:right w:val="single" w:sz="4" w:space="0" w:color="000000"/>
            </w:tcBorders>
            <w:vAlign w:val="center"/>
          </w:tcPr>
          <w:p w14:paraId="717C4ECB" w14:textId="77777777" w:rsidR="008155D6" w:rsidRPr="00DD47DF" w:rsidRDefault="008155D6" w:rsidP="004E6DD3">
            <w:pPr>
              <w:pStyle w:val="Tabulka"/>
              <w:rPr>
                <w:rFonts w:cs="Calibri"/>
              </w:rPr>
            </w:pPr>
            <w:r w:rsidRPr="00DD47DF">
              <w:rPr>
                <w:rFonts w:cs="Calibri"/>
              </w:rPr>
              <w:t>FTE</w:t>
            </w:r>
          </w:p>
        </w:tc>
        <w:tc>
          <w:tcPr>
            <w:tcW w:w="1984" w:type="dxa"/>
            <w:tcBorders>
              <w:top w:val="single" w:sz="4" w:space="0" w:color="000000"/>
              <w:left w:val="single" w:sz="4" w:space="0" w:color="000000"/>
              <w:bottom w:val="single" w:sz="4" w:space="0" w:color="000000"/>
              <w:right w:val="single" w:sz="4" w:space="0" w:color="000000"/>
            </w:tcBorders>
            <w:vAlign w:val="center"/>
          </w:tcPr>
          <w:p w14:paraId="48E7B882" w14:textId="77777777" w:rsidR="008155D6" w:rsidRPr="00DD47DF" w:rsidRDefault="00AE01CD" w:rsidP="00AE01CD">
            <w:pPr>
              <w:pStyle w:val="Tabulka"/>
              <w:rPr>
                <w:rFonts w:cs="Calibri"/>
              </w:rPr>
            </w:pPr>
            <w:r w:rsidRPr="00DD47DF">
              <w:rPr>
                <w:rFonts w:cs="Calibri"/>
              </w:rPr>
              <w:t>N/R</w:t>
            </w:r>
          </w:p>
        </w:tc>
        <w:tc>
          <w:tcPr>
            <w:tcW w:w="764" w:type="dxa"/>
            <w:tcBorders>
              <w:top w:val="single" w:sz="4" w:space="0" w:color="000000"/>
              <w:left w:val="single" w:sz="4" w:space="0" w:color="000000"/>
              <w:bottom w:val="single" w:sz="4" w:space="0" w:color="000000"/>
              <w:right w:val="single" w:sz="4" w:space="0" w:color="000000"/>
            </w:tcBorders>
            <w:vAlign w:val="center"/>
          </w:tcPr>
          <w:p w14:paraId="7C9E2951" w14:textId="77777777" w:rsidR="008155D6" w:rsidRPr="00DD47DF" w:rsidRDefault="008155D6" w:rsidP="004E6DD3">
            <w:pPr>
              <w:pStyle w:val="Tabulka"/>
              <w:rPr>
                <w:rFonts w:cs="Calibri"/>
              </w:rPr>
            </w:pPr>
            <w:r w:rsidRPr="00DD47DF">
              <w:rPr>
                <w:rFonts w:cs="Calibri"/>
              </w:rPr>
              <w:t>Ž/P</w:t>
            </w:r>
          </w:p>
        </w:tc>
      </w:tr>
      <w:tr w:rsidR="00790493" w:rsidRPr="00DD47DF" w14:paraId="7B4258A4" w14:textId="77777777" w:rsidTr="00342AA5">
        <w:trPr>
          <w:trHeight w:val="680"/>
        </w:trPr>
        <w:tc>
          <w:tcPr>
            <w:tcW w:w="907" w:type="dxa"/>
            <w:tcBorders>
              <w:top w:val="single" w:sz="4" w:space="0" w:color="000000"/>
              <w:left w:val="single" w:sz="4" w:space="0" w:color="000000"/>
              <w:bottom w:val="single" w:sz="4" w:space="0" w:color="000000"/>
              <w:right w:val="single" w:sz="4" w:space="0" w:color="000000"/>
            </w:tcBorders>
            <w:vAlign w:val="center"/>
          </w:tcPr>
          <w:p w14:paraId="6039CDB0" w14:textId="77777777" w:rsidR="00790493" w:rsidRPr="00DD47DF" w:rsidRDefault="006E18B4" w:rsidP="004E6DD3">
            <w:pPr>
              <w:pStyle w:val="Tabulka"/>
              <w:rPr>
                <w:rFonts w:cs="Calibri"/>
              </w:rPr>
            </w:pPr>
            <w:r w:rsidRPr="00DD47DF">
              <w:rPr>
                <w:rFonts w:cs="Calibri"/>
              </w:rPr>
              <w:t>80901</w:t>
            </w:r>
          </w:p>
        </w:tc>
        <w:tc>
          <w:tcPr>
            <w:tcW w:w="4518" w:type="dxa"/>
            <w:tcBorders>
              <w:top w:val="single" w:sz="4" w:space="0" w:color="000000"/>
              <w:left w:val="single" w:sz="4" w:space="0" w:color="000000"/>
              <w:bottom w:val="single" w:sz="4" w:space="0" w:color="000000"/>
              <w:right w:val="single" w:sz="4" w:space="0" w:color="000000"/>
            </w:tcBorders>
            <w:vAlign w:val="center"/>
          </w:tcPr>
          <w:p w14:paraId="2494BACC" w14:textId="77777777" w:rsidR="00790493" w:rsidRPr="00DD47DF" w:rsidRDefault="00790493" w:rsidP="004E6DD3">
            <w:pPr>
              <w:pStyle w:val="Tabulka"/>
              <w:jc w:val="left"/>
              <w:rPr>
                <w:rFonts w:cs="Calibri"/>
              </w:rPr>
            </w:pPr>
            <w:r w:rsidRPr="00DD47DF">
              <w:rPr>
                <w:rFonts w:cs="Calibri"/>
              </w:rPr>
              <w:t>Počet uskutečněných kontrol na místě</w:t>
            </w:r>
          </w:p>
        </w:tc>
        <w:tc>
          <w:tcPr>
            <w:tcW w:w="1153" w:type="dxa"/>
            <w:tcBorders>
              <w:top w:val="single" w:sz="4" w:space="0" w:color="000000"/>
              <w:left w:val="single" w:sz="4" w:space="0" w:color="000000"/>
              <w:bottom w:val="single" w:sz="4" w:space="0" w:color="000000"/>
              <w:right w:val="single" w:sz="4" w:space="0" w:color="000000"/>
            </w:tcBorders>
            <w:vAlign w:val="center"/>
          </w:tcPr>
          <w:p w14:paraId="78CEE020" w14:textId="77777777" w:rsidR="00790493" w:rsidRPr="00DD47DF" w:rsidRDefault="00790493" w:rsidP="004E6DD3">
            <w:pPr>
              <w:pStyle w:val="Tabulka"/>
              <w:rPr>
                <w:rFonts w:cs="Calibri"/>
              </w:rPr>
            </w:pPr>
            <w:r w:rsidRPr="00DD47DF">
              <w:rPr>
                <w:rFonts w:cs="Calibri"/>
              </w:rPr>
              <w:t>kontroly</w:t>
            </w:r>
          </w:p>
        </w:tc>
        <w:tc>
          <w:tcPr>
            <w:tcW w:w="1984" w:type="dxa"/>
            <w:tcBorders>
              <w:top w:val="single" w:sz="4" w:space="0" w:color="000000"/>
              <w:left w:val="single" w:sz="4" w:space="0" w:color="000000"/>
              <w:bottom w:val="single" w:sz="4" w:space="0" w:color="000000"/>
              <w:right w:val="single" w:sz="4" w:space="0" w:color="000000"/>
            </w:tcBorders>
            <w:vAlign w:val="center"/>
          </w:tcPr>
          <w:p w14:paraId="3379186C" w14:textId="77777777" w:rsidR="00790493" w:rsidRPr="00DD47DF" w:rsidRDefault="00226BC2" w:rsidP="004E6DD3">
            <w:pPr>
              <w:pStyle w:val="Tabulka"/>
              <w:rPr>
                <w:rFonts w:cs="Calibri"/>
              </w:rPr>
            </w:pPr>
            <w:r w:rsidRPr="00DD47DF">
              <w:rPr>
                <w:rFonts w:cs="Calibri"/>
              </w:rPr>
              <w:t>2 400</w:t>
            </w:r>
          </w:p>
        </w:tc>
        <w:tc>
          <w:tcPr>
            <w:tcW w:w="764" w:type="dxa"/>
            <w:tcBorders>
              <w:top w:val="single" w:sz="4" w:space="0" w:color="000000"/>
              <w:left w:val="single" w:sz="4" w:space="0" w:color="000000"/>
              <w:bottom w:val="single" w:sz="4" w:space="0" w:color="000000"/>
              <w:right w:val="single" w:sz="4" w:space="0" w:color="000000"/>
            </w:tcBorders>
            <w:vAlign w:val="center"/>
          </w:tcPr>
          <w:p w14:paraId="47AAB72F" w14:textId="77777777" w:rsidR="00790493" w:rsidRPr="00DD47DF" w:rsidRDefault="00790493" w:rsidP="004E6DD3">
            <w:pPr>
              <w:pStyle w:val="Tabulka"/>
              <w:rPr>
                <w:rFonts w:cs="Calibri"/>
              </w:rPr>
            </w:pPr>
            <w:r w:rsidRPr="00DD47DF">
              <w:rPr>
                <w:rFonts w:cs="Calibri"/>
              </w:rPr>
              <w:t>ŘO</w:t>
            </w:r>
          </w:p>
        </w:tc>
      </w:tr>
    </w:tbl>
    <w:p w14:paraId="3B4F923A" w14:textId="77777777" w:rsidR="00CF5E63" w:rsidRPr="00DD47DF" w:rsidRDefault="00564523" w:rsidP="005F43DF">
      <w:pPr>
        <w:pStyle w:val="kapitola2B"/>
        <w:numPr>
          <w:ilvl w:val="2"/>
          <w:numId w:val="12"/>
        </w:numPr>
        <w:ind w:left="709"/>
      </w:pPr>
      <w:bookmarkStart w:id="111" w:name="_Toc506885052"/>
      <w:r w:rsidRPr="00DD47DF">
        <w:t xml:space="preserve">Kategorie </w:t>
      </w:r>
      <w:r w:rsidR="00F2469F" w:rsidRPr="00DD47DF">
        <w:t>zásahů</w:t>
      </w:r>
      <w:bookmarkEnd w:id="111"/>
    </w:p>
    <w:p w14:paraId="76A97E47" w14:textId="77777777" w:rsidR="005359A1" w:rsidRPr="00DD47DF" w:rsidRDefault="005359A1" w:rsidP="004E6DD3">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14</w:t>
      </w:r>
      <w:r w:rsidR="002756E7" w:rsidRPr="00DD47DF">
        <w:rPr>
          <w:noProof/>
        </w:rPr>
        <w:fldChar w:fldCharType="end"/>
      </w:r>
      <w:r w:rsidRPr="00DD47DF">
        <w:t xml:space="preserve"> - </w:t>
      </w:r>
      <w:r w:rsidR="002756E7" w:rsidRPr="00DD47DF">
        <w:fldChar w:fldCharType="begin"/>
      </w:r>
      <w:r w:rsidR="000E35F2" w:rsidRPr="00DD47DF">
        <w:instrText xml:space="preserve"> SEQ Tabulka \* ARABIC \r16 </w:instrText>
      </w:r>
      <w:r w:rsidR="002756E7" w:rsidRPr="00DD47DF">
        <w:fldChar w:fldCharType="separate"/>
      </w:r>
      <w:r w:rsidR="00117847">
        <w:rPr>
          <w:noProof/>
        </w:rPr>
        <w:t>16</w:t>
      </w:r>
      <w:r w:rsidR="002756E7" w:rsidRPr="00DD47DF">
        <w:rPr>
          <w:noProof/>
        </w:rPr>
        <w:fldChar w:fldCharType="end"/>
      </w:r>
      <w:r w:rsidRPr="00DD47DF">
        <w:t xml:space="preserve">: Kategorie </w:t>
      </w:r>
      <w:r w:rsidR="00F2469F" w:rsidRPr="00DD47DF">
        <w:t>zásahů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6"/>
        <w:gridCol w:w="2128"/>
        <w:gridCol w:w="851"/>
        <w:gridCol w:w="2270"/>
        <w:gridCol w:w="849"/>
        <w:gridCol w:w="2322"/>
      </w:tblGrid>
      <w:tr w:rsidR="00BA5EF7" w:rsidRPr="00DD47DF" w14:paraId="67D78EEA" w14:textId="77777777">
        <w:tc>
          <w:tcPr>
            <w:tcW w:w="5000" w:type="pct"/>
            <w:gridSpan w:val="6"/>
            <w:shd w:val="clear" w:color="auto" w:fill="B8CCE4"/>
            <w:vAlign w:val="center"/>
          </w:tcPr>
          <w:p w14:paraId="5F5E675F" w14:textId="77777777" w:rsidR="009F18F5" w:rsidRPr="00DD47DF" w:rsidRDefault="009F18F5" w:rsidP="009F18F5">
            <w:pPr>
              <w:pStyle w:val="Tabulka"/>
              <w:keepNext/>
              <w:keepLines/>
              <w:rPr>
                <w:rFonts w:cs="Calibri"/>
                <w:b/>
              </w:rPr>
            </w:pPr>
            <w:r w:rsidRPr="00DD47DF">
              <w:rPr>
                <w:rFonts w:cs="Calibri"/>
                <w:b/>
              </w:rPr>
              <w:t xml:space="preserve">Fond: </w:t>
            </w:r>
            <w:r w:rsidRPr="00DD47DF">
              <w:rPr>
                <w:rFonts w:cs="Calibri"/>
              </w:rPr>
              <w:t>EFRR</w:t>
            </w:r>
          </w:p>
          <w:p w14:paraId="43B091D6" w14:textId="77777777" w:rsidR="00BA5EF7" w:rsidRPr="00DD47DF" w:rsidRDefault="009F18F5" w:rsidP="009F18F5">
            <w:pPr>
              <w:pStyle w:val="Tabulka"/>
              <w:keepNext/>
              <w:keepLines/>
              <w:rPr>
                <w:rFonts w:cs="Calibri"/>
                <w:i/>
              </w:rPr>
            </w:pPr>
            <w:r w:rsidRPr="00DD47DF">
              <w:rPr>
                <w:rFonts w:cs="Calibri"/>
                <w:b/>
              </w:rPr>
              <w:t xml:space="preserve">Kategorie regionů: </w:t>
            </w:r>
            <w:r w:rsidRPr="00DD47DF">
              <w:rPr>
                <w:rFonts w:cs="Calibri"/>
              </w:rPr>
              <w:t>Méně rozvinuté regiony</w:t>
            </w:r>
          </w:p>
        </w:tc>
      </w:tr>
      <w:tr w:rsidR="005359A1" w:rsidRPr="00DD47DF" w14:paraId="62C4DF32" w14:textId="77777777">
        <w:tc>
          <w:tcPr>
            <w:tcW w:w="1627" w:type="pct"/>
            <w:gridSpan w:val="2"/>
            <w:shd w:val="clear" w:color="auto" w:fill="B8CCE4"/>
            <w:vAlign w:val="center"/>
          </w:tcPr>
          <w:p w14:paraId="53928E7C" w14:textId="77777777" w:rsidR="005359A1" w:rsidRPr="00DD47DF" w:rsidRDefault="005359A1" w:rsidP="004E6DD3">
            <w:pPr>
              <w:pStyle w:val="Tabulka"/>
              <w:keepNext/>
              <w:keepLines/>
              <w:rPr>
                <w:rFonts w:cs="Calibri"/>
              </w:rPr>
            </w:pPr>
            <w:r w:rsidRPr="00DD47DF">
              <w:rPr>
                <w:rFonts w:cs="Calibri"/>
              </w:rPr>
              <w:t>Tabulka č. 14:</w:t>
            </w:r>
          </w:p>
          <w:p w14:paraId="3870FEF8" w14:textId="77777777" w:rsidR="005359A1" w:rsidRPr="00DD47DF" w:rsidRDefault="005359A1" w:rsidP="004E6DD3">
            <w:pPr>
              <w:pStyle w:val="Tabulka"/>
              <w:keepNext/>
              <w:keepLines/>
              <w:rPr>
                <w:rFonts w:cs="Calibri"/>
              </w:rPr>
            </w:pPr>
            <w:r w:rsidRPr="00DD47DF">
              <w:rPr>
                <w:rFonts w:cs="Calibri"/>
              </w:rPr>
              <w:t>Dimenze 1</w:t>
            </w:r>
          </w:p>
          <w:p w14:paraId="61F2345A" w14:textId="77777777" w:rsidR="005359A1" w:rsidRPr="00DD47DF" w:rsidRDefault="00DF23DE" w:rsidP="004E6DD3">
            <w:pPr>
              <w:pStyle w:val="Tabulka"/>
              <w:keepNext/>
              <w:keepLines/>
              <w:rPr>
                <w:rFonts w:cs="Calibri"/>
              </w:rPr>
            </w:pPr>
            <w:r w:rsidRPr="00DD47DF">
              <w:rPr>
                <w:rFonts w:cs="Calibri"/>
              </w:rPr>
              <w:t>Oblast zásahů</w:t>
            </w:r>
          </w:p>
        </w:tc>
        <w:tc>
          <w:tcPr>
            <w:tcW w:w="1673" w:type="pct"/>
            <w:gridSpan w:val="2"/>
            <w:shd w:val="clear" w:color="auto" w:fill="B8CCE4"/>
            <w:vAlign w:val="center"/>
          </w:tcPr>
          <w:p w14:paraId="23CF4CBE" w14:textId="77777777" w:rsidR="005359A1" w:rsidRPr="00DD47DF" w:rsidRDefault="005359A1" w:rsidP="004E6DD3">
            <w:pPr>
              <w:pStyle w:val="Tabulka"/>
              <w:keepNext/>
              <w:keepLines/>
              <w:rPr>
                <w:rFonts w:cs="Calibri"/>
              </w:rPr>
            </w:pPr>
            <w:r w:rsidRPr="00DD47DF">
              <w:rPr>
                <w:rFonts w:cs="Calibri"/>
              </w:rPr>
              <w:t>Tabulka č. 15:</w:t>
            </w:r>
          </w:p>
          <w:p w14:paraId="62BFEC03" w14:textId="77777777" w:rsidR="005359A1" w:rsidRPr="00DD47DF" w:rsidRDefault="005359A1" w:rsidP="004E6DD3">
            <w:pPr>
              <w:pStyle w:val="Tabulka"/>
              <w:keepNext/>
              <w:keepLines/>
              <w:rPr>
                <w:rFonts w:cs="Calibri"/>
              </w:rPr>
            </w:pPr>
            <w:r w:rsidRPr="00DD47DF">
              <w:rPr>
                <w:rFonts w:cs="Calibri"/>
              </w:rPr>
              <w:t>Dimenze 2</w:t>
            </w:r>
          </w:p>
          <w:p w14:paraId="77CE2ADE" w14:textId="77777777" w:rsidR="005359A1" w:rsidRPr="00DD47DF" w:rsidRDefault="005359A1" w:rsidP="00DF23DE">
            <w:pPr>
              <w:pStyle w:val="Tabulka"/>
              <w:keepNext/>
              <w:keepLines/>
              <w:rPr>
                <w:rFonts w:cs="Calibri"/>
              </w:rPr>
            </w:pPr>
            <w:r w:rsidRPr="00DD47DF">
              <w:rPr>
                <w:rFonts w:cs="Calibri"/>
              </w:rPr>
              <w:t>Forma finan</w:t>
            </w:r>
            <w:r w:rsidR="00DF23DE" w:rsidRPr="00DD47DF">
              <w:rPr>
                <w:rFonts w:cs="Calibri"/>
              </w:rPr>
              <w:t>čních prostředků</w:t>
            </w:r>
          </w:p>
        </w:tc>
        <w:tc>
          <w:tcPr>
            <w:tcW w:w="1700" w:type="pct"/>
            <w:gridSpan w:val="2"/>
            <w:shd w:val="clear" w:color="auto" w:fill="B8CCE4"/>
            <w:vAlign w:val="center"/>
          </w:tcPr>
          <w:p w14:paraId="3B4F898C" w14:textId="77777777" w:rsidR="005359A1" w:rsidRPr="00DD47DF" w:rsidRDefault="005359A1" w:rsidP="004E6DD3">
            <w:pPr>
              <w:pStyle w:val="Tabulka"/>
              <w:keepNext/>
              <w:keepLines/>
              <w:rPr>
                <w:rFonts w:cs="Calibri"/>
              </w:rPr>
            </w:pPr>
            <w:r w:rsidRPr="00DD47DF">
              <w:rPr>
                <w:rFonts w:cs="Calibri"/>
              </w:rPr>
              <w:t>Tabulka č. 16:</w:t>
            </w:r>
          </w:p>
          <w:p w14:paraId="755CA649" w14:textId="77777777" w:rsidR="005359A1" w:rsidRPr="00DD47DF" w:rsidRDefault="005359A1" w:rsidP="004E6DD3">
            <w:pPr>
              <w:pStyle w:val="Tabulka"/>
              <w:keepNext/>
              <w:keepLines/>
              <w:rPr>
                <w:rFonts w:cs="Calibri"/>
              </w:rPr>
            </w:pPr>
            <w:r w:rsidRPr="00DD47DF">
              <w:rPr>
                <w:rFonts w:cs="Calibri"/>
              </w:rPr>
              <w:t>Dimenze 3</w:t>
            </w:r>
          </w:p>
          <w:p w14:paraId="7E6423F8" w14:textId="77777777" w:rsidR="005359A1" w:rsidRPr="00DD47DF" w:rsidRDefault="00DF23DE" w:rsidP="004E6DD3">
            <w:pPr>
              <w:pStyle w:val="Tabulka"/>
              <w:keepNext/>
              <w:keepLines/>
              <w:rPr>
                <w:rFonts w:cs="Calibri"/>
              </w:rPr>
            </w:pPr>
            <w:r w:rsidRPr="00DD47DF">
              <w:rPr>
                <w:rFonts w:cs="Calibri"/>
              </w:rPr>
              <w:t>Typ ú</w:t>
            </w:r>
            <w:r w:rsidR="005359A1" w:rsidRPr="00DD47DF">
              <w:rPr>
                <w:rFonts w:cs="Calibri"/>
              </w:rPr>
              <w:t>zemí</w:t>
            </w:r>
          </w:p>
        </w:tc>
      </w:tr>
      <w:tr w:rsidR="00C00E7A" w:rsidRPr="00DD47DF" w14:paraId="4CFAF319" w14:textId="77777777">
        <w:tc>
          <w:tcPr>
            <w:tcW w:w="486" w:type="pct"/>
            <w:shd w:val="clear" w:color="auto" w:fill="DBE5F1"/>
            <w:vAlign w:val="center"/>
          </w:tcPr>
          <w:p w14:paraId="35B375FA" w14:textId="77777777" w:rsidR="005359A1" w:rsidRPr="00DD47DF" w:rsidRDefault="005359A1" w:rsidP="004E6DD3">
            <w:pPr>
              <w:pStyle w:val="Tabulka"/>
              <w:keepNext/>
              <w:keepLines/>
              <w:rPr>
                <w:rFonts w:cs="Calibri"/>
              </w:rPr>
            </w:pPr>
            <w:r w:rsidRPr="00DD47DF">
              <w:rPr>
                <w:rFonts w:cs="Calibri"/>
              </w:rPr>
              <w:t>Kód</w:t>
            </w:r>
          </w:p>
        </w:tc>
        <w:tc>
          <w:tcPr>
            <w:tcW w:w="1141" w:type="pct"/>
            <w:shd w:val="clear" w:color="auto" w:fill="DBE5F1"/>
            <w:vAlign w:val="center"/>
          </w:tcPr>
          <w:p w14:paraId="40C1D87A" w14:textId="77777777" w:rsidR="005359A1" w:rsidRPr="00DD47DF" w:rsidRDefault="00D16DE9" w:rsidP="004E6DD3">
            <w:pPr>
              <w:pStyle w:val="Tabulka"/>
              <w:keepNext/>
              <w:keepLines/>
              <w:rPr>
                <w:rFonts w:cs="Calibri"/>
              </w:rPr>
            </w:pPr>
            <w:r w:rsidRPr="00DD47DF">
              <w:rPr>
                <w:rFonts w:cs="Calibri"/>
              </w:rPr>
              <w:t>Částka (v EUR)</w:t>
            </w:r>
          </w:p>
        </w:tc>
        <w:tc>
          <w:tcPr>
            <w:tcW w:w="456" w:type="pct"/>
            <w:shd w:val="clear" w:color="auto" w:fill="DBE5F1"/>
            <w:vAlign w:val="center"/>
          </w:tcPr>
          <w:p w14:paraId="679AA64C" w14:textId="77777777" w:rsidR="005359A1" w:rsidRPr="00DD47DF" w:rsidRDefault="005359A1" w:rsidP="004E6DD3">
            <w:pPr>
              <w:pStyle w:val="Tabulka"/>
              <w:keepNext/>
              <w:keepLines/>
              <w:rPr>
                <w:rFonts w:cs="Calibri"/>
              </w:rPr>
            </w:pPr>
            <w:r w:rsidRPr="00DD47DF">
              <w:rPr>
                <w:rFonts w:cs="Calibri"/>
              </w:rPr>
              <w:t>Kód</w:t>
            </w:r>
          </w:p>
        </w:tc>
        <w:tc>
          <w:tcPr>
            <w:tcW w:w="1217" w:type="pct"/>
            <w:shd w:val="clear" w:color="auto" w:fill="DBE5F1"/>
            <w:vAlign w:val="center"/>
          </w:tcPr>
          <w:p w14:paraId="32EA939E" w14:textId="77777777" w:rsidR="005359A1" w:rsidRPr="00DD47DF" w:rsidRDefault="00D16DE9" w:rsidP="004E6DD3">
            <w:pPr>
              <w:pStyle w:val="Tabulka"/>
              <w:keepNext/>
              <w:keepLines/>
              <w:rPr>
                <w:rFonts w:cs="Calibri"/>
              </w:rPr>
            </w:pPr>
            <w:r w:rsidRPr="00DD47DF">
              <w:rPr>
                <w:rFonts w:cs="Calibri"/>
              </w:rPr>
              <w:t>Částka (v EUR)</w:t>
            </w:r>
          </w:p>
        </w:tc>
        <w:tc>
          <w:tcPr>
            <w:tcW w:w="455" w:type="pct"/>
            <w:shd w:val="clear" w:color="auto" w:fill="DBE5F1"/>
            <w:vAlign w:val="center"/>
          </w:tcPr>
          <w:p w14:paraId="6C2DDE5A" w14:textId="77777777" w:rsidR="005359A1" w:rsidRPr="00DD47DF" w:rsidRDefault="005359A1" w:rsidP="004E6DD3">
            <w:pPr>
              <w:pStyle w:val="Tabulka"/>
              <w:keepNext/>
              <w:keepLines/>
              <w:rPr>
                <w:rFonts w:cs="Calibri"/>
              </w:rPr>
            </w:pPr>
            <w:r w:rsidRPr="00DD47DF">
              <w:rPr>
                <w:rFonts w:cs="Calibri"/>
              </w:rPr>
              <w:t>Kód</w:t>
            </w:r>
          </w:p>
        </w:tc>
        <w:tc>
          <w:tcPr>
            <w:tcW w:w="1245" w:type="pct"/>
            <w:shd w:val="clear" w:color="auto" w:fill="DBE5F1"/>
            <w:vAlign w:val="center"/>
          </w:tcPr>
          <w:p w14:paraId="36B80740" w14:textId="77777777" w:rsidR="005359A1" w:rsidRPr="00DD47DF" w:rsidRDefault="00D16DE9" w:rsidP="004E6DD3">
            <w:pPr>
              <w:pStyle w:val="Tabulka"/>
              <w:keepNext/>
              <w:keepLines/>
              <w:rPr>
                <w:rFonts w:cs="Calibri"/>
              </w:rPr>
            </w:pPr>
            <w:r w:rsidRPr="00DD47DF">
              <w:rPr>
                <w:rFonts w:cs="Calibri"/>
              </w:rPr>
              <w:t>Částka (v EUR)</w:t>
            </w:r>
          </w:p>
        </w:tc>
      </w:tr>
      <w:tr w:rsidR="002E2FA8" w:rsidRPr="00DD47DF" w14:paraId="2978E586" w14:textId="77777777">
        <w:tc>
          <w:tcPr>
            <w:tcW w:w="486" w:type="pct"/>
            <w:shd w:val="clear" w:color="auto" w:fill="auto"/>
            <w:vAlign w:val="center"/>
          </w:tcPr>
          <w:p w14:paraId="524CDF8C" w14:textId="77777777" w:rsidR="002E2FA8" w:rsidRPr="00DD47DF" w:rsidRDefault="002E2FA8" w:rsidP="00DD63AD">
            <w:pPr>
              <w:pStyle w:val="Tabulka"/>
              <w:rPr>
                <w:rFonts w:cs="Calibri"/>
              </w:rPr>
            </w:pPr>
            <w:r w:rsidRPr="00DD47DF">
              <w:rPr>
                <w:rFonts w:cs="Calibri"/>
              </w:rPr>
              <w:t>121</w:t>
            </w:r>
          </w:p>
        </w:tc>
        <w:tc>
          <w:tcPr>
            <w:tcW w:w="1141" w:type="pct"/>
            <w:shd w:val="clear" w:color="auto" w:fill="auto"/>
            <w:vAlign w:val="center"/>
          </w:tcPr>
          <w:p w14:paraId="6A28D30D" w14:textId="77777777" w:rsidR="002E2FA8" w:rsidRPr="00DD47DF" w:rsidRDefault="002E2FA8" w:rsidP="00720FD1">
            <w:pPr>
              <w:pStyle w:val="Tabulka"/>
              <w:jc w:val="right"/>
              <w:rPr>
                <w:rFonts w:cs="Calibri"/>
              </w:rPr>
            </w:pPr>
            <w:r w:rsidRPr="00DD47DF">
              <w:rPr>
                <w:rFonts w:cs="Calibri"/>
              </w:rPr>
              <w:t>106 825 944</w:t>
            </w:r>
          </w:p>
        </w:tc>
        <w:tc>
          <w:tcPr>
            <w:tcW w:w="456" w:type="pct"/>
            <w:shd w:val="clear" w:color="auto" w:fill="auto"/>
            <w:vAlign w:val="center"/>
          </w:tcPr>
          <w:p w14:paraId="3B3587B8" w14:textId="77777777" w:rsidR="002E2FA8" w:rsidRPr="00DD47DF" w:rsidRDefault="002E2FA8" w:rsidP="00DD63AD">
            <w:pPr>
              <w:pStyle w:val="Tabulka"/>
              <w:rPr>
                <w:rFonts w:cs="Calibri"/>
              </w:rPr>
            </w:pPr>
            <w:r w:rsidRPr="00DD47DF">
              <w:rPr>
                <w:rFonts w:cs="Calibri"/>
              </w:rPr>
              <w:t>01</w:t>
            </w:r>
          </w:p>
        </w:tc>
        <w:tc>
          <w:tcPr>
            <w:tcW w:w="1217" w:type="pct"/>
            <w:shd w:val="clear" w:color="auto" w:fill="auto"/>
            <w:vAlign w:val="center"/>
          </w:tcPr>
          <w:p w14:paraId="0FA46A33" w14:textId="77777777" w:rsidR="002E2FA8" w:rsidRPr="00DD47DF" w:rsidRDefault="002E2FA8" w:rsidP="00720FD1">
            <w:pPr>
              <w:pStyle w:val="Tabulka"/>
              <w:jc w:val="right"/>
              <w:rPr>
                <w:rFonts w:cs="Calibri"/>
              </w:rPr>
            </w:pPr>
            <w:r w:rsidRPr="00DD47DF">
              <w:rPr>
                <w:rFonts w:cs="Calibri"/>
              </w:rPr>
              <w:t>125 600 816</w:t>
            </w:r>
          </w:p>
        </w:tc>
        <w:tc>
          <w:tcPr>
            <w:tcW w:w="455" w:type="pct"/>
            <w:shd w:val="clear" w:color="auto" w:fill="auto"/>
            <w:vAlign w:val="center"/>
          </w:tcPr>
          <w:p w14:paraId="318ADD87" w14:textId="5B820005" w:rsidR="002E2FA8" w:rsidRPr="00DD47DF" w:rsidRDefault="003E0063" w:rsidP="003E0063">
            <w:pPr>
              <w:pStyle w:val="Tabulka"/>
              <w:rPr>
                <w:rFonts w:cs="Calibri"/>
              </w:rPr>
            </w:pPr>
            <w:r w:rsidRPr="00DD47DF">
              <w:rPr>
                <w:rFonts w:cs="Calibri"/>
              </w:rPr>
              <w:t>0</w:t>
            </w:r>
            <w:r>
              <w:rPr>
                <w:rFonts w:cs="Calibri"/>
              </w:rPr>
              <w:t>7</w:t>
            </w:r>
          </w:p>
        </w:tc>
        <w:tc>
          <w:tcPr>
            <w:tcW w:w="1245" w:type="pct"/>
            <w:shd w:val="clear" w:color="auto" w:fill="auto"/>
            <w:vAlign w:val="center"/>
          </w:tcPr>
          <w:p w14:paraId="376143F5" w14:textId="77777777" w:rsidR="002E2FA8" w:rsidRPr="00DD47DF" w:rsidRDefault="002E2FA8" w:rsidP="00720FD1">
            <w:pPr>
              <w:pStyle w:val="Tabulka"/>
              <w:jc w:val="right"/>
              <w:rPr>
                <w:rFonts w:cs="Calibri"/>
              </w:rPr>
            </w:pPr>
            <w:r w:rsidRPr="00DD47DF">
              <w:rPr>
                <w:rFonts w:cs="Calibri"/>
              </w:rPr>
              <w:t>125 600 816</w:t>
            </w:r>
          </w:p>
        </w:tc>
      </w:tr>
      <w:tr w:rsidR="002E2FA8" w:rsidRPr="00DD47DF" w14:paraId="53DF7C8A" w14:textId="77777777">
        <w:tc>
          <w:tcPr>
            <w:tcW w:w="486" w:type="pct"/>
            <w:shd w:val="clear" w:color="auto" w:fill="auto"/>
            <w:vAlign w:val="center"/>
          </w:tcPr>
          <w:p w14:paraId="1E09FF27" w14:textId="77777777" w:rsidR="002E2FA8" w:rsidRPr="00DD47DF" w:rsidRDefault="002E2FA8" w:rsidP="00DD63AD">
            <w:pPr>
              <w:pStyle w:val="Tabulka"/>
              <w:rPr>
                <w:rFonts w:cs="Calibri"/>
              </w:rPr>
            </w:pPr>
            <w:r w:rsidRPr="00DD47DF">
              <w:rPr>
                <w:rFonts w:cs="Calibri"/>
              </w:rPr>
              <w:t>122</w:t>
            </w:r>
          </w:p>
        </w:tc>
        <w:tc>
          <w:tcPr>
            <w:tcW w:w="1141" w:type="pct"/>
            <w:shd w:val="clear" w:color="auto" w:fill="auto"/>
            <w:vAlign w:val="center"/>
          </w:tcPr>
          <w:p w14:paraId="008E3ADC" w14:textId="77777777" w:rsidR="002E2FA8" w:rsidRPr="00DD47DF" w:rsidRDefault="002E2FA8" w:rsidP="00720FD1">
            <w:pPr>
              <w:pStyle w:val="Tabulka"/>
              <w:jc w:val="right"/>
              <w:rPr>
                <w:rFonts w:cs="Calibri"/>
              </w:rPr>
            </w:pPr>
            <w:r w:rsidRPr="00DD47DF">
              <w:rPr>
                <w:rFonts w:cs="Calibri"/>
              </w:rPr>
              <w:t>3 754 974</w:t>
            </w:r>
          </w:p>
        </w:tc>
        <w:tc>
          <w:tcPr>
            <w:tcW w:w="456" w:type="pct"/>
            <w:shd w:val="clear" w:color="auto" w:fill="auto"/>
            <w:vAlign w:val="center"/>
          </w:tcPr>
          <w:p w14:paraId="6B74CC88" w14:textId="77777777" w:rsidR="002E2FA8" w:rsidRPr="00DD47DF" w:rsidRDefault="002E2FA8" w:rsidP="00DD63AD">
            <w:pPr>
              <w:pStyle w:val="Tabulka"/>
              <w:rPr>
                <w:rFonts w:cs="Calibri"/>
              </w:rPr>
            </w:pPr>
          </w:p>
        </w:tc>
        <w:tc>
          <w:tcPr>
            <w:tcW w:w="1217" w:type="pct"/>
            <w:shd w:val="clear" w:color="auto" w:fill="auto"/>
            <w:vAlign w:val="center"/>
          </w:tcPr>
          <w:p w14:paraId="7AD7699A" w14:textId="77777777" w:rsidR="002E2FA8" w:rsidRPr="00DD47DF" w:rsidRDefault="002E2FA8" w:rsidP="00720FD1">
            <w:pPr>
              <w:pStyle w:val="Tabulka"/>
              <w:jc w:val="right"/>
              <w:rPr>
                <w:rFonts w:cs="Calibri"/>
              </w:rPr>
            </w:pPr>
          </w:p>
        </w:tc>
        <w:tc>
          <w:tcPr>
            <w:tcW w:w="455" w:type="pct"/>
            <w:shd w:val="clear" w:color="auto" w:fill="auto"/>
            <w:vAlign w:val="center"/>
          </w:tcPr>
          <w:p w14:paraId="34FB296A" w14:textId="77777777" w:rsidR="002E2FA8" w:rsidRPr="00DD47DF" w:rsidRDefault="002E2FA8" w:rsidP="00DD63AD">
            <w:pPr>
              <w:pStyle w:val="Tabulka"/>
              <w:rPr>
                <w:rFonts w:cs="Calibri"/>
              </w:rPr>
            </w:pPr>
          </w:p>
        </w:tc>
        <w:tc>
          <w:tcPr>
            <w:tcW w:w="1245" w:type="pct"/>
            <w:shd w:val="clear" w:color="auto" w:fill="auto"/>
            <w:vAlign w:val="center"/>
          </w:tcPr>
          <w:p w14:paraId="227093B6" w14:textId="77777777" w:rsidR="002E2FA8" w:rsidRPr="00DD47DF" w:rsidRDefault="002E2FA8" w:rsidP="00720FD1">
            <w:pPr>
              <w:pStyle w:val="Tabulka"/>
              <w:jc w:val="right"/>
              <w:rPr>
                <w:rFonts w:cs="Calibri"/>
              </w:rPr>
            </w:pPr>
          </w:p>
        </w:tc>
      </w:tr>
      <w:tr w:rsidR="002E2FA8" w:rsidRPr="00DD47DF" w14:paraId="2BE8F632" w14:textId="77777777">
        <w:tc>
          <w:tcPr>
            <w:tcW w:w="486" w:type="pct"/>
            <w:shd w:val="clear" w:color="auto" w:fill="auto"/>
            <w:vAlign w:val="center"/>
          </w:tcPr>
          <w:p w14:paraId="3FB9A8A7" w14:textId="77777777" w:rsidR="002E2FA8" w:rsidRPr="00DD47DF" w:rsidRDefault="002E2FA8" w:rsidP="00DD63AD">
            <w:pPr>
              <w:pStyle w:val="Tabulka"/>
              <w:rPr>
                <w:rFonts w:cs="Calibri"/>
              </w:rPr>
            </w:pPr>
            <w:r w:rsidRPr="00DD47DF">
              <w:rPr>
                <w:rFonts w:cs="Calibri"/>
              </w:rPr>
              <w:t>123</w:t>
            </w:r>
          </w:p>
        </w:tc>
        <w:tc>
          <w:tcPr>
            <w:tcW w:w="1141" w:type="pct"/>
            <w:shd w:val="clear" w:color="auto" w:fill="auto"/>
            <w:vAlign w:val="center"/>
          </w:tcPr>
          <w:p w14:paraId="5087E56F" w14:textId="77777777" w:rsidR="002E2FA8" w:rsidRPr="00DD47DF" w:rsidRDefault="002E2FA8" w:rsidP="00720FD1">
            <w:pPr>
              <w:pStyle w:val="Tabulka"/>
              <w:jc w:val="right"/>
              <w:rPr>
                <w:rFonts w:cs="Calibri"/>
              </w:rPr>
            </w:pPr>
            <w:r w:rsidRPr="00DD47DF">
              <w:rPr>
                <w:rFonts w:cs="Calibri"/>
              </w:rPr>
              <w:t>15 019 898</w:t>
            </w:r>
          </w:p>
        </w:tc>
        <w:tc>
          <w:tcPr>
            <w:tcW w:w="456" w:type="pct"/>
            <w:shd w:val="clear" w:color="auto" w:fill="auto"/>
            <w:vAlign w:val="center"/>
          </w:tcPr>
          <w:p w14:paraId="0879BA34" w14:textId="77777777" w:rsidR="002E2FA8" w:rsidRPr="00DD47DF" w:rsidRDefault="002E2FA8" w:rsidP="00DD63AD">
            <w:pPr>
              <w:pStyle w:val="Tabulka"/>
              <w:rPr>
                <w:rFonts w:cs="Calibri"/>
              </w:rPr>
            </w:pPr>
          </w:p>
        </w:tc>
        <w:tc>
          <w:tcPr>
            <w:tcW w:w="1217" w:type="pct"/>
            <w:shd w:val="clear" w:color="auto" w:fill="auto"/>
            <w:vAlign w:val="center"/>
          </w:tcPr>
          <w:p w14:paraId="40E91F6D" w14:textId="77777777" w:rsidR="002E2FA8" w:rsidRPr="00DD47DF" w:rsidRDefault="002E2FA8" w:rsidP="00720FD1">
            <w:pPr>
              <w:pStyle w:val="Tabulka"/>
              <w:jc w:val="right"/>
              <w:rPr>
                <w:rFonts w:cs="Calibri"/>
              </w:rPr>
            </w:pPr>
          </w:p>
        </w:tc>
        <w:tc>
          <w:tcPr>
            <w:tcW w:w="455" w:type="pct"/>
            <w:shd w:val="clear" w:color="auto" w:fill="auto"/>
            <w:vAlign w:val="center"/>
          </w:tcPr>
          <w:p w14:paraId="4A677DD3" w14:textId="77777777" w:rsidR="002E2FA8" w:rsidRPr="00DD47DF" w:rsidRDefault="002E2FA8" w:rsidP="00DD63AD">
            <w:pPr>
              <w:pStyle w:val="Tabulka"/>
              <w:rPr>
                <w:rFonts w:cs="Calibri"/>
              </w:rPr>
            </w:pPr>
          </w:p>
        </w:tc>
        <w:tc>
          <w:tcPr>
            <w:tcW w:w="1245" w:type="pct"/>
            <w:shd w:val="clear" w:color="auto" w:fill="auto"/>
            <w:vAlign w:val="center"/>
          </w:tcPr>
          <w:p w14:paraId="7F52F0B3" w14:textId="77777777" w:rsidR="002E2FA8" w:rsidRPr="00DD47DF" w:rsidRDefault="002E2FA8" w:rsidP="00720FD1">
            <w:pPr>
              <w:pStyle w:val="Tabulka"/>
              <w:jc w:val="right"/>
              <w:rPr>
                <w:rFonts w:cs="Calibri"/>
              </w:rPr>
            </w:pPr>
          </w:p>
        </w:tc>
      </w:tr>
    </w:tbl>
    <w:p w14:paraId="233996AF" w14:textId="77777777" w:rsidR="006C0BF1" w:rsidRPr="00DD47DF" w:rsidRDefault="006C0BF1" w:rsidP="006C0BF1">
      <w:pPr>
        <w:overflowPunct/>
        <w:jc w:val="both"/>
        <w:textAlignment w:val="auto"/>
        <w:rPr>
          <w:rFonts w:ascii="Calibri" w:hAnsi="Calibri" w:cs="Calibri"/>
          <w:b/>
          <w:bCs/>
          <w:color w:val="FF0000"/>
          <w:sz w:val="28"/>
          <w:szCs w:val="28"/>
        </w:rPr>
        <w:sectPr w:rsidR="006C0BF1" w:rsidRPr="00DD47DF" w:rsidSect="004126CC">
          <w:headerReference w:type="default" r:id="rId45"/>
          <w:footerReference w:type="default" r:id="rId46"/>
          <w:pgSz w:w="11906" w:h="16838"/>
          <w:pgMar w:top="1418" w:right="1276" w:bottom="1276" w:left="1418" w:header="709" w:footer="709" w:gutter="0"/>
          <w:cols w:space="708"/>
          <w:docGrid w:linePitch="272"/>
        </w:sectPr>
      </w:pPr>
      <w:r w:rsidRPr="00DD47DF">
        <w:rPr>
          <w:rFonts w:ascii="Calibri" w:hAnsi="Calibri" w:cs="Calibri"/>
          <w:bCs/>
          <w:color w:val="FF0000"/>
          <w:sz w:val="24"/>
          <w:szCs w:val="24"/>
        </w:rPr>
        <w:t xml:space="preserve"> </w:t>
      </w:r>
    </w:p>
    <w:p w14:paraId="73568C17" w14:textId="77777777" w:rsidR="008428E3" w:rsidRPr="00DD47DF" w:rsidRDefault="00DD2263" w:rsidP="008428E3">
      <w:pPr>
        <w:pStyle w:val="Nadpis1"/>
      </w:pPr>
      <w:bookmarkStart w:id="112" w:name="_Toc506885053"/>
      <w:r w:rsidRPr="00DD47DF">
        <w:lastRenderedPageBreak/>
        <w:t>Plán financování</w:t>
      </w:r>
      <w:bookmarkEnd w:id="112"/>
    </w:p>
    <w:p w14:paraId="5A494A5C" w14:textId="77777777" w:rsidR="00D97F09" w:rsidRPr="00DD47DF" w:rsidRDefault="00DD2263" w:rsidP="00DD2263">
      <w:pPr>
        <w:pStyle w:val="Nadpis2"/>
        <w:rPr>
          <w:rFonts w:cs="Calibri"/>
        </w:rPr>
      </w:pPr>
      <w:bookmarkStart w:id="113" w:name="_Toc506885054"/>
      <w:r w:rsidRPr="00DD47DF">
        <w:rPr>
          <w:rFonts w:cs="Calibri"/>
        </w:rPr>
        <w:t>Finanční podpora z každého fondu a částky týkající se výkonnostní rezervy</w:t>
      </w:r>
      <w:bookmarkEnd w:id="113"/>
    </w:p>
    <w:p w14:paraId="48B69CF0" w14:textId="77777777" w:rsidR="003520F2" w:rsidRPr="00DD47DF" w:rsidRDefault="00434475" w:rsidP="000835C2">
      <w:pPr>
        <w:pStyle w:val="Titulek"/>
        <w:rPr>
          <w:noProof/>
        </w:rPr>
      </w:pPr>
      <w:r w:rsidRPr="00DD47DF">
        <w:rPr>
          <w:rFonts w:cs="Calibri"/>
          <w:szCs w:val="24"/>
        </w:rPr>
        <w:t>Tabulka</w:t>
      </w:r>
      <w:r w:rsidR="000835C2" w:rsidRPr="00DD47DF">
        <w:rPr>
          <w:rFonts w:cs="Calibri"/>
          <w:szCs w:val="24"/>
        </w:rPr>
        <w:t xml:space="preserve"> </w:t>
      </w:r>
      <w:r w:rsidR="002756E7" w:rsidRPr="00DD47DF">
        <w:fldChar w:fldCharType="begin"/>
      </w:r>
      <w:r w:rsidR="000E35F2" w:rsidRPr="00DD47DF">
        <w:instrText xml:space="preserve"> SEQ Tabulka \* ARABIC </w:instrText>
      </w:r>
      <w:r w:rsidR="002756E7" w:rsidRPr="00DD47DF">
        <w:fldChar w:fldCharType="separate"/>
      </w:r>
      <w:r w:rsidR="00117847">
        <w:rPr>
          <w:noProof/>
        </w:rPr>
        <w:t>17</w:t>
      </w:r>
      <w:r w:rsidR="002756E7" w:rsidRPr="00DD47DF">
        <w:rPr>
          <w:noProof/>
        </w:rPr>
        <w:fldChar w:fldCharType="end"/>
      </w:r>
    </w:p>
    <w:tbl>
      <w:tblPr>
        <w:tblW w:w="50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531"/>
        <w:gridCol w:w="660"/>
        <w:gridCol w:w="965"/>
        <w:gridCol w:w="742"/>
        <w:gridCol w:w="854"/>
        <w:gridCol w:w="651"/>
        <w:gridCol w:w="854"/>
        <w:gridCol w:w="651"/>
        <w:gridCol w:w="854"/>
        <w:gridCol w:w="651"/>
        <w:gridCol w:w="854"/>
        <w:gridCol w:w="651"/>
        <w:gridCol w:w="854"/>
        <w:gridCol w:w="651"/>
        <w:gridCol w:w="854"/>
        <w:gridCol w:w="651"/>
        <w:gridCol w:w="854"/>
        <w:gridCol w:w="651"/>
        <w:gridCol w:w="842"/>
      </w:tblGrid>
      <w:tr w:rsidR="00CE6DD0" w:rsidRPr="00DD47DF" w14:paraId="3E6F0FBD" w14:textId="77777777" w:rsidTr="000435CB">
        <w:trPr>
          <w:trHeight w:val="525"/>
        </w:trPr>
        <w:tc>
          <w:tcPr>
            <w:tcW w:w="186" w:type="pct"/>
            <w:vMerge w:val="restart"/>
            <w:shd w:val="clear" w:color="auto" w:fill="auto"/>
          </w:tcPr>
          <w:p w14:paraId="20AF8426" w14:textId="77777777" w:rsidR="00CE6DD0" w:rsidRPr="00DD47DF" w:rsidRDefault="00CE6DD0" w:rsidP="000435CB">
            <w:pPr>
              <w:pStyle w:val="Tabulka"/>
              <w:rPr>
                <w:rFonts w:cs="Calibri"/>
                <w:b/>
                <w:sz w:val="16"/>
                <w:szCs w:val="16"/>
              </w:rPr>
            </w:pPr>
          </w:p>
          <w:p w14:paraId="086D5AEF" w14:textId="77777777" w:rsidR="00CE6DD0" w:rsidRPr="00DD47DF" w:rsidRDefault="00CE6DD0" w:rsidP="000435CB">
            <w:pPr>
              <w:pStyle w:val="Tabulka"/>
              <w:rPr>
                <w:rFonts w:cs="Calibri"/>
                <w:b/>
                <w:sz w:val="16"/>
                <w:szCs w:val="16"/>
              </w:rPr>
            </w:pPr>
          </w:p>
        </w:tc>
        <w:tc>
          <w:tcPr>
            <w:tcW w:w="231" w:type="pct"/>
            <w:vMerge w:val="restart"/>
            <w:shd w:val="clear" w:color="auto" w:fill="B8CCE4"/>
          </w:tcPr>
          <w:p w14:paraId="66462DFB" w14:textId="77777777" w:rsidR="00CE6DD0" w:rsidRPr="00DD47DF" w:rsidRDefault="00CE6DD0" w:rsidP="000435CB">
            <w:pPr>
              <w:pStyle w:val="Tabulka"/>
              <w:rPr>
                <w:rFonts w:cs="Calibri"/>
                <w:b/>
                <w:sz w:val="16"/>
                <w:szCs w:val="16"/>
              </w:rPr>
            </w:pPr>
            <w:r w:rsidRPr="00DD47DF">
              <w:rPr>
                <w:rFonts w:cs="Calibri"/>
                <w:b/>
                <w:sz w:val="16"/>
                <w:szCs w:val="16"/>
              </w:rPr>
              <w:t>Fond</w:t>
            </w:r>
          </w:p>
        </w:tc>
        <w:tc>
          <w:tcPr>
            <w:tcW w:w="338" w:type="pct"/>
            <w:vMerge w:val="restart"/>
            <w:shd w:val="clear" w:color="auto" w:fill="B8CCE4"/>
          </w:tcPr>
          <w:p w14:paraId="2D5EE800" w14:textId="77777777" w:rsidR="00CE6DD0" w:rsidRPr="00DD47DF" w:rsidRDefault="00CE6DD0" w:rsidP="000435CB">
            <w:pPr>
              <w:pStyle w:val="Tabulka"/>
              <w:rPr>
                <w:rFonts w:cs="Calibri"/>
                <w:b/>
                <w:sz w:val="16"/>
                <w:szCs w:val="16"/>
              </w:rPr>
            </w:pPr>
            <w:r w:rsidRPr="00DD47DF">
              <w:rPr>
                <w:rFonts w:cs="Calibri"/>
                <w:b/>
                <w:sz w:val="16"/>
                <w:szCs w:val="16"/>
              </w:rPr>
              <w:t> Kategorie regionu</w:t>
            </w:r>
          </w:p>
        </w:tc>
        <w:tc>
          <w:tcPr>
            <w:tcW w:w="559" w:type="pct"/>
            <w:gridSpan w:val="2"/>
            <w:shd w:val="clear" w:color="auto" w:fill="B8CCE4"/>
          </w:tcPr>
          <w:p w14:paraId="2CF71E78" w14:textId="77777777" w:rsidR="00CE6DD0" w:rsidRPr="00DD47DF" w:rsidRDefault="00CE6DD0" w:rsidP="000435CB">
            <w:pPr>
              <w:pStyle w:val="Tabulka"/>
              <w:rPr>
                <w:rFonts w:cs="Calibri"/>
                <w:b/>
                <w:sz w:val="16"/>
                <w:szCs w:val="16"/>
              </w:rPr>
            </w:pPr>
            <w:r w:rsidRPr="00DD47DF">
              <w:rPr>
                <w:rFonts w:cs="Calibri"/>
                <w:b/>
                <w:sz w:val="16"/>
                <w:szCs w:val="16"/>
              </w:rPr>
              <w:t>2014</w:t>
            </w:r>
          </w:p>
        </w:tc>
        <w:tc>
          <w:tcPr>
            <w:tcW w:w="527" w:type="pct"/>
            <w:gridSpan w:val="2"/>
            <w:shd w:val="clear" w:color="auto" w:fill="B8CCE4"/>
          </w:tcPr>
          <w:p w14:paraId="1F58AC99" w14:textId="77777777" w:rsidR="00CE6DD0" w:rsidRPr="00DD47DF" w:rsidRDefault="00CE6DD0" w:rsidP="000435CB">
            <w:pPr>
              <w:pStyle w:val="Tabulka"/>
              <w:rPr>
                <w:rFonts w:cs="Calibri"/>
                <w:b/>
                <w:sz w:val="16"/>
                <w:szCs w:val="16"/>
              </w:rPr>
            </w:pPr>
            <w:r w:rsidRPr="00DD47DF">
              <w:rPr>
                <w:rFonts w:cs="Calibri"/>
                <w:b/>
                <w:sz w:val="16"/>
                <w:szCs w:val="16"/>
              </w:rPr>
              <w:t>2015</w:t>
            </w:r>
          </w:p>
        </w:tc>
        <w:tc>
          <w:tcPr>
            <w:tcW w:w="527" w:type="pct"/>
            <w:gridSpan w:val="2"/>
            <w:shd w:val="clear" w:color="auto" w:fill="B8CCE4"/>
          </w:tcPr>
          <w:p w14:paraId="27E23C9B" w14:textId="77777777" w:rsidR="00CE6DD0" w:rsidRPr="00DD47DF" w:rsidRDefault="00CE6DD0" w:rsidP="000435CB">
            <w:pPr>
              <w:pStyle w:val="Tabulka"/>
              <w:rPr>
                <w:rFonts w:cs="Calibri"/>
                <w:b/>
                <w:sz w:val="16"/>
                <w:szCs w:val="16"/>
              </w:rPr>
            </w:pPr>
            <w:r w:rsidRPr="00DD47DF">
              <w:rPr>
                <w:rFonts w:cs="Calibri"/>
                <w:b/>
                <w:sz w:val="16"/>
                <w:szCs w:val="16"/>
              </w:rPr>
              <w:t>2016</w:t>
            </w:r>
          </w:p>
        </w:tc>
        <w:tc>
          <w:tcPr>
            <w:tcW w:w="527" w:type="pct"/>
            <w:gridSpan w:val="2"/>
            <w:shd w:val="clear" w:color="auto" w:fill="B8CCE4"/>
          </w:tcPr>
          <w:p w14:paraId="2D3BC3AD" w14:textId="77777777" w:rsidR="00CE6DD0" w:rsidRPr="00DD47DF" w:rsidRDefault="00CE6DD0" w:rsidP="000435CB">
            <w:pPr>
              <w:pStyle w:val="Tabulka"/>
              <w:rPr>
                <w:rFonts w:cs="Calibri"/>
                <w:b/>
                <w:sz w:val="16"/>
                <w:szCs w:val="16"/>
              </w:rPr>
            </w:pPr>
            <w:r w:rsidRPr="00DD47DF">
              <w:rPr>
                <w:rFonts w:cs="Calibri"/>
                <w:b/>
                <w:sz w:val="16"/>
                <w:szCs w:val="16"/>
              </w:rPr>
              <w:t>2017</w:t>
            </w:r>
          </w:p>
        </w:tc>
        <w:tc>
          <w:tcPr>
            <w:tcW w:w="527" w:type="pct"/>
            <w:gridSpan w:val="2"/>
            <w:shd w:val="clear" w:color="auto" w:fill="B8CCE4"/>
          </w:tcPr>
          <w:p w14:paraId="68CE949E" w14:textId="77777777" w:rsidR="00CE6DD0" w:rsidRPr="00DD47DF" w:rsidRDefault="00CE6DD0" w:rsidP="000435CB">
            <w:pPr>
              <w:pStyle w:val="Tabulka"/>
              <w:rPr>
                <w:rFonts w:cs="Calibri"/>
                <w:b/>
                <w:sz w:val="16"/>
                <w:szCs w:val="16"/>
              </w:rPr>
            </w:pPr>
            <w:r w:rsidRPr="00DD47DF">
              <w:rPr>
                <w:rFonts w:cs="Calibri"/>
                <w:b/>
                <w:sz w:val="16"/>
                <w:szCs w:val="16"/>
              </w:rPr>
              <w:t>2018</w:t>
            </w:r>
          </w:p>
        </w:tc>
        <w:tc>
          <w:tcPr>
            <w:tcW w:w="527" w:type="pct"/>
            <w:gridSpan w:val="2"/>
            <w:shd w:val="clear" w:color="auto" w:fill="B8CCE4"/>
          </w:tcPr>
          <w:p w14:paraId="58286A42" w14:textId="77777777" w:rsidR="00CE6DD0" w:rsidRPr="00DD47DF" w:rsidRDefault="00CE6DD0" w:rsidP="000435CB">
            <w:pPr>
              <w:pStyle w:val="Tabulka"/>
              <w:rPr>
                <w:rFonts w:cs="Calibri"/>
                <w:b/>
                <w:sz w:val="16"/>
                <w:szCs w:val="16"/>
              </w:rPr>
            </w:pPr>
            <w:r w:rsidRPr="00DD47DF">
              <w:rPr>
                <w:rFonts w:cs="Calibri"/>
                <w:b/>
                <w:sz w:val="16"/>
                <w:szCs w:val="16"/>
              </w:rPr>
              <w:t>2019</w:t>
            </w:r>
          </w:p>
        </w:tc>
        <w:tc>
          <w:tcPr>
            <w:tcW w:w="527" w:type="pct"/>
            <w:gridSpan w:val="2"/>
            <w:shd w:val="clear" w:color="auto" w:fill="B8CCE4"/>
          </w:tcPr>
          <w:p w14:paraId="21813F4B" w14:textId="77777777" w:rsidR="00CE6DD0" w:rsidRPr="00DD47DF" w:rsidRDefault="00CE6DD0" w:rsidP="000435CB">
            <w:pPr>
              <w:pStyle w:val="Tabulka"/>
              <w:rPr>
                <w:rFonts w:cs="Calibri"/>
                <w:b/>
                <w:sz w:val="16"/>
                <w:szCs w:val="16"/>
              </w:rPr>
            </w:pPr>
            <w:r w:rsidRPr="00DD47DF">
              <w:rPr>
                <w:rFonts w:cs="Calibri"/>
                <w:b/>
                <w:sz w:val="16"/>
                <w:szCs w:val="16"/>
              </w:rPr>
              <w:t>2020</w:t>
            </w:r>
          </w:p>
        </w:tc>
        <w:tc>
          <w:tcPr>
            <w:tcW w:w="523" w:type="pct"/>
            <w:gridSpan w:val="2"/>
            <w:shd w:val="clear" w:color="auto" w:fill="B8CCE4"/>
          </w:tcPr>
          <w:p w14:paraId="7665E780" w14:textId="77777777" w:rsidR="00CE6DD0" w:rsidRPr="00DD47DF" w:rsidRDefault="00CE6DD0" w:rsidP="000435CB">
            <w:pPr>
              <w:pStyle w:val="Tabulka"/>
              <w:rPr>
                <w:rFonts w:cs="Calibri"/>
                <w:b/>
                <w:sz w:val="16"/>
                <w:szCs w:val="16"/>
              </w:rPr>
            </w:pPr>
            <w:r w:rsidRPr="00DD47DF">
              <w:rPr>
                <w:rFonts w:cs="Calibri"/>
                <w:b/>
                <w:sz w:val="16"/>
                <w:szCs w:val="16"/>
              </w:rPr>
              <w:t>Celkem</w:t>
            </w:r>
          </w:p>
        </w:tc>
      </w:tr>
      <w:tr w:rsidR="00CE6DD0" w:rsidRPr="00DD47DF" w14:paraId="10556F87" w14:textId="77777777" w:rsidTr="000435CB">
        <w:trPr>
          <w:trHeight w:val="525"/>
        </w:trPr>
        <w:tc>
          <w:tcPr>
            <w:tcW w:w="186" w:type="pct"/>
            <w:vMerge/>
            <w:shd w:val="clear" w:color="auto" w:fill="auto"/>
          </w:tcPr>
          <w:p w14:paraId="45BB916A" w14:textId="77777777" w:rsidR="00CE6DD0" w:rsidRPr="00DD47DF" w:rsidRDefault="00CE6DD0" w:rsidP="000435CB">
            <w:pPr>
              <w:pStyle w:val="Tabulka"/>
              <w:rPr>
                <w:rFonts w:cs="Calibri"/>
                <w:sz w:val="16"/>
                <w:szCs w:val="16"/>
              </w:rPr>
            </w:pPr>
          </w:p>
        </w:tc>
        <w:tc>
          <w:tcPr>
            <w:tcW w:w="231" w:type="pct"/>
            <w:vMerge/>
          </w:tcPr>
          <w:p w14:paraId="47C65B7C" w14:textId="77777777" w:rsidR="00CE6DD0" w:rsidRPr="00DD47DF" w:rsidRDefault="00CE6DD0" w:rsidP="000435CB">
            <w:pPr>
              <w:pStyle w:val="Tabulka"/>
              <w:rPr>
                <w:rFonts w:cs="Calibri"/>
                <w:sz w:val="16"/>
                <w:szCs w:val="16"/>
              </w:rPr>
            </w:pPr>
          </w:p>
        </w:tc>
        <w:tc>
          <w:tcPr>
            <w:tcW w:w="338" w:type="pct"/>
            <w:vMerge/>
            <w:shd w:val="clear" w:color="auto" w:fill="auto"/>
          </w:tcPr>
          <w:p w14:paraId="1FB084EE" w14:textId="77777777" w:rsidR="00CE6DD0" w:rsidRPr="00DD47DF" w:rsidRDefault="00CE6DD0" w:rsidP="000435CB">
            <w:pPr>
              <w:pStyle w:val="Tabulka"/>
              <w:rPr>
                <w:rFonts w:cs="Calibri"/>
                <w:sz w:val="16"/>
                <w:szCs w:val="16"/>
              </w:rPr>
            </w:pPr>
          </w:p>
        </w:tc>
        <w:tc>
          <w:tcPr>
            <w:tcW w:w="260" w:type="pct"/>
            <w:shd w:val="clear" w:color="auto" w:fill="DBE5F1"/>
          </w:tcPr>
          <w:p w14:paraId="51E872FB" w14:textId="77777777" w:rsidR="00CE6DD0" w:rsidRPr="00DD47DF" w:rsidRDefault="00CE6DD0" w:rsidP="000435CB">
            <w:pPr>
              <w:pStyle w:val="Tabulka"/>
              <w:rPr>
                <w:rFonts w:cs="Calibri"/>
                <w:sz w:val="16"/>
                <w:szCs w:val="16"/>
              </w:rPr>
            </w:pPr>
            <w:r w:rsidRPr="00DD47DF">
              <w:rPr>
                <w:rFonts w:cs="Calibri"/>
                <w:sz w:val="16"/>
                <w:szCs w:val="16"/>
              </w:rPr>
              <w:t>Hlavní příděl</w:t>
            </w:r>
            <w:r w:rsidRPr="00DD47DF">
              <w:rPr>
                <w:rStyle w:val="Znakapoznpodarou"/>
                <w:rFonts w:ascii="Arial" w:hAnsi="Arial" w:cs="Arial"/>
                <w:sz w:val="16"/>
                <w:szCs w:val="16"/>
              </w:rPr>
              <w:footnoteReference w:id="80"/>
            </w:r>
          </w:p>
        </w:tc>
        <w:tc>
          <w:tcPr>
            <w:tcW w:w="299" w:type="pct"/>
            <w:shd w:val="clear" w:color="auto" w:fill="DBE5F1"/>
          </w:tcPr>
          <w:p w14:paraId="5D8FDCD3" w14:textId="77777777" w:rsidR="00CE6DD0" w:rsidRPr="00DD47DF" w:rsidRDefault="00CE6DD0" w:rsidP="000435CB">
            <w:pPr>
              <w:pStyle w:val="Tabulka"/>
              <w:rPr>
                <w:rFonts w:cs="Calibri"/>
                <w:sz w:val="16"/>
                <w:szCs w:val="16"/>
              </w:rPr>
            </w:pPr>
            <w:r w:rsidRPr="00DD47DF">
              <w:rPr>
                <w:rFonts w:cs="Calibri"/>
                <w:sz w:val="16"/>
                <w:szCs w:val="16"/>
              </w:rPr>
              <w:t xml:space="preserve">Výkonnostní rezerva </w:t>
            </w:r>
          </w:p>
        </w:tc>
        <w:tc>
          <w:tcPr>
            <w:tcW w:w="228" w:type="pct"/>
            <w:shd w:val="clear" w:color="auto" w:fill="DBE5F1"/>
          </w:tcPr>
          <w:p w14:paraId="73177C17"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67007EB5"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1909C571"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26E831CE"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34CB76B1"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7C952962"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01618094"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148E5781"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33BFAA03"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5AE9F244"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5C001399"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09FCC487"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410C30C1"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5" w:type="pct"/>
            <w:shd w:val="clear" w:color="auto" w:fill="DBE5F1"/>
          </w:tcPr>
          <w:p w14:paraId="0BB7416B"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r>
      <w:tr w:rsidR="00501978" w:rsidRPr="00DD47DF" w14:paraId="7D4AB9D1" w14:textId="77777777" w:rsidTr="00B81F2F">
        <w:trPr>
          <w:trHeight w:val="525"/>
        </w:trPr>
        <w:tc>
          <w:tcPr>
            <w:tcW w:w="186" w:type="pct"/>
            <w:vAlign w:val="center"/>
          </w:tcPr>
          <w:p w14:paraId="38A456B9" w14:textId="77777777" w:rsidR="00501978" w:rsidRPr="00DD47DF" w:rsidRDefault="00501978" w:rsidP="000435CB">
            <w:pPr>
              <w:pStyle w:val="Tabulka"/>
              <w:rPr>
                <w:rFonts w:cs="Calibri"/>
                <w:sz w:val="16"/>
                <w:szCs w:val="16"/>
              </w:rPr>
            </w:pPr>
            <w:r w:rsidRPr="00DD47DF">
              <w:rPr>
                <w:rFonts w:cs="Calibri"/>
                <w:sz w:val="16"/>
                <w:szCs w:val="16"/>
              </w:rPr>
              <w:t>(1)</w:t>
            </w:r>
          </w:p>
        </w:tc>
        <w:tc>
          <w:tcPr>
            <w:tcW w:w="231" w:type="pct"/>
            <w:tcBorders>
              <w:right w:val="single" w:sz="4" w:space="0" w:color="auto"/>
            </w:tcBorders>
            <w:vAlign w:val="center"/>
          </w:tcPr>
          <w:p w14:paraId="139FD864" w14:textId="77777777" w:rsidR="00501978" w:rsidRPr="00DD47DF" w:rsidRDefault="00501978" w:rsidP="000435CB">
            <w:pPr>
              <w:pStyle w:val="Tabulka"/>
              <w:jc w:val="left"/>
              <w:rPr>
                <w:rFonts w:cs="Calibri"/>
                <w:sz w:val="16"/>
                <w:szCs w:val="16"/>
              </w:rPr>
            </w:pPr>
            <w:r w:rsidRPr="00DD47DF">
              <w:rPr>
                <w:rFonts w:cs="Calibri"/>
                <w:sz w:val="16"/>
                <w:szCs w:val="16"/>
              </w:rPr>
              <w:t>EFRR</w:t>
            </w:r>
          </w:p>
        </w:tc>
        <w:tc>
          <w:tcPr>
            <w:tcW w:w="338" w:type="pct"/>
            <w:tcBorders>
              <w:left w:val="single" w:sz="4" w:space="0" w:color="auto"/>
            </w:tcBorders>
            <w:shd w:val="clear" w:color="auto" w:fill="auto"/>
            <w:vAlign w:val="center"/>
          </w:tcPr>
          <w:p w14:paraId="763D3E5B" w14:textId="77777777" w:rsidR="00501978" w:rsidRPr="00DD47DF" w:rsidRDefault="00501978" w:rsidP="000435CB">
            <w:pPr>
              <w:pStyle w:val="Tabulka"/>
              <w:jc w:val="left"/>
              <w:rPr>
                <w:rFonts w:cs="Calibri"/>
                <w:sz w:val="16"/>
                <w:szCs w:val="16"/>
              </w:rPr>
            </w:pPr>
            <w:r w:rsidRPr="00DD47DF">
              <w:rPr>
                <w:rFonts w:cs="Calibri"/>
                <w:sz w:val="16"/>
                <w:szCs w:val="16"/>
              </w:rPr>
              <w:t>V méně rozvinutých regionech</w:t>
            </w:r>
          </w:p>
        </w:tc>
        <w:tc>
          <w:tcPr>
            <w:tcW w:w="260" w:type="pct"/>
            <w:shd w:val="clear" w:color="auto" w:fill="auto"/>
            <w:vAlign w:val="center"/>
          </w:tcPr>
          <w:p w14:paraId="268E1495" w14:textId="77777777" w:rsidR="00501978" w:rsidRPr="00DD47DF" w:rsidRDefault="00501978" w:rsidP="00B81F2F">
            <w:pPr>
              <w:jc w:val="right"/>
              <w:rPr>
                <w:color w:val="000000"/>
                <w:sz w:val="16"/>
                <w:szCs w:val="16"/>
              </w:rPr>
            </w:pPr>
            <w:r w:rsidRPr="00DD47DF">
              <w:rPr>
                <w:color w:val="000000"/>
                <w:sz w:val="16"/>
                <w:szCs w:val="16"/>
              </w:rPr>
              <w:t>0</w:t>
            </w:r>
          </w:p>
        </w:tc>
        <w:tc>
          <w:tcPr>
            <w:tcW w:w="299" w:type="pct"/>
            <w:shd w:val="clear" w:color="auto" w:fill="auto"/>
            <w:vAlign w:val="center"/>
          </w:tcPr>
          <w:p w14:paraId="33B864C8" w14:textId="77777777" w:rsidR="00501978" w:rsidRPr="00DD47DF" w:rsidRDefault="00501978" w:rsidP="00B81F2F">
            <w:pPr>
              <w:jc w:val="right"/>
              <w:rPr>
                <w:color w:val="000000"/>
                <w:sz w:val="16"/>
                <w:szCs w:val="16"/>
              </w:rPr>
            </w:pPr>
            <w:r w:rsidRPr="00DD47DF">
              <w:rPr>
                <w:color w:val="000000"/>
                <w:sz w:val="16"/>
                <w:szCs w:val="16"/>
              </w:rPr>
              <w:t>0</w:t>
            </w:r>
          </w:p>
        </w:tc>
        <w:tc>
          <w:tcPr>
            <w:tcW w:w="228" w:type="pct"/>
            <w:shd w:val="clear" w:color="auto" w:fill="auto"/>
            <w:vAlign w:val="center"/>
          </w:tcPr>
          <w:p w14:paraId="43FF1F87" w14:textId="77777777" w:rsidR="00501978" w:rsidRPr="00DD47DF" w:rsidRDefault="00501978" w:rsidP="00B81F2F">
            <w:pPr>
              <w:jc w:val="right"/>
              <w:rPr>
                <w:color w:val="000000"/>
                <w:sz w:val="16"/>
                <w:szCs w:val="16"/>
              </w:rPr>
            </w:pPr>
            <w:r w:rsidRPr="00DD47DF">
              <w:rPr>
                <w:color w:val="000000"/>
                <w:sz w:val="16"/>
                <w:szCs w:val="16"/>
              </w:rPr>
              <w:t>1 106 160 536</w:t>
            </w:r>
          </w:p>
        </w:tc>
        <w:tc>
          <w:tcPr>
            <w:tcW w:w="299" w:type="pct"/>
            <w:shd w:val="clear" w:color="auto" w:fill="auto"/>
            <w:vAlign w:val="center"/>
          </w:tcPr>
          <w:p w14:paraId="2D6953D6" w14:textId="77777777" w:rsidR="00501978" w:rsidRPr="00DD47DF" w:rsidRDefault="00501978" w:rsidP="00B81F2F">
            <w:pPr>
              <w:jc w:val="right"/>
              <w:rPr>
                <w:color w:val="000000"/>
                <w:sz w:val="16"/>
                <w:szCs w:val="16"/>
              </w:rPr>
            </w:pPr>
            <w:r w:rsidRPr="00DD47DF">
              <w:rPr>
                <w:color w:val="000000"/>
                <w:sz w:val="16"/>
                <w:szCs w:val="16"/>
              </w:rPr>
              <w:t>70 605 992</w:t>
            </w:r>
          </w:p>
        </w:tc>
        <w:tc>
          <w:tcPr>
            <w:tcW w:w="228" w:type="pct"/>
            <w:shd w:val="clear" w:color="auto" w:fill="auto"/>
            <w:vAlign w:val="center"/>
          </w:tcPr>
          <w:p w14:paraId="3CC211C2" w14:textId="77777777" w:rsidR="00501978" w:rsidRPr="00DD47DF" w:rsidRDefault="00501978" w:rsidP="00B81F2F">
            <w:pPr>
              <w:jc w:val="right"/>
              <w:rPr>
                <w:color w:val="000000"/>
                <w:sz w:val="16"/>
                <w:szCs w:val="16"/>
              </w:rPr>
            </w:pPr>
            <w:r w:rsidRPr="00DD47DF">
              <w:rPr>
                <w:color w:val="000000"/>
                <w:sz w:val="16"/>
                <w:szCs w:val="16"/>
              </w:rPr>
              <w:t>569 742 747</w:t>
            </w:r>
          </w:p>
        </w:tc>
        <w:tc>
          <w:tcPr>
            <w:tcW w:w="299" w:type="pct"/>
            <w:shd w:val="clear" w:color="auto" w:fill="auto"/>
            <w:vAlign w:val="center"/>
          </w:tcPr>
          <w:p w14:paraId="7C301138" w14:textId="77777777" w:rsidR="00501978" w:rsidRPr="00DD47DF" w:rsidRDefault="00501978" w:rsidP="00B81F2F">
            <w:pPr>
              <w:jc w:val="right"/>
              <w:rPr>
                <w:color w:val="000000"/>
                <w:sz w:val="16"/>
                <w:szCs w:val="16"/>
              </w:rPr>
            </w:pPr>
            <w:r w:rsidRPr="00DD47DF">
              <w:rPr>
                <w:color w:val="000000"/>
                <w:sz w:val="16"/>
                <w:szCs w:val="16"/>
              </w:rPr>
              <w:t>36 366 558</w:t>
            </w:r>
          </w:p>
        </w:tc>
        <w:tc>
          <w:tcPr>
            <w:tcW w:w="228" w:type="pct"/>
            <w:shd w:val="clear" w:color="auto" w:fill="auto"/>
            <w:vAlign w:val="center"/>
          </w:tcPr>
          <w:p w14:paraId="5B119810" w14:textId="77777777" w:rsidR="00501978" w:rsidRPr="00DD47DF" w:rsidRDefault="00501978" w:rsidP="00B81F2F">
            <w:pPr>
              <w:jc w:val="right"/>
              <w:rPr>
                <w:color w:val="000000"/>
                <w:sz w:val="16"/>
                <w:szCs w:val="16"/>
              </w:rPr>
            </w:pPr>
            <w:r w:rsidRPr="00DD47DF">
              <w:rPr>
                <w:color w:val="000000"/>
                <w:sz w:val="16"/>
                <w:szCs w:val="16"/>
              </w:rPr>
              <w:t>581 145 153</w:t>
            </w:r>
          </w:p>
        </w:tc>
        <w:tc>
          <w:tcPr>
            <w:tcW w:w="299" w:type="pct"/>
            <w:shd w:val="clear" w:color="auto" w:fill="auto"/>
            <w:vAlign w:val="center"/>
          </w:tcPr>
          <w:p w14:paraId="4D038E6E" w14:textId="77777777" w:rsidR="00501978" w:rsidRPr="00DD47DF" w:rsidRDefault="00501978" w:rsidP="00B81F2F">
            <w:pPr>
              <w:jc w:val="right"/>
              <w:rPr>
                <w:color w:val="000000"/>
                <w:sz w:val="16"/>
                <w:szCs w:val="16"/>
              </w:rPr>
            </w:pPr>
            <w:r w:rsidRPr="00DD47DF">
              <w:rPr>
                <w:color w:val="000000"/>
                <w:sz w:val="16"/>
                <w:szCs w:val="16"/>
              </w:rPr>
              <w:t>37 094 372</w:t>
            </w:r>
          </w:p>
        </w:tc>
        <w:tc>
          <w:tcPr>
            <w:tcW w:w="228" w:type="pct"/>
            <w:shd w:val="clear" w:color="auto" w:fill="auto"/>
            <w:vAlign w:val="center"/>
          </w:tcPr>
          <w:p w14:paraId="1C7BEC07" w14:textId="77777777" w:rsidR="00501978" w:rsidRPr="00DD47DF" w:rsidRDefault="00501978" w:rsidP="00B81F2F">
            <w:pPr>
              <w:jc w:val="right"/>
              <w:rPr>
                <w:color w:val="000000"/>
                <w:sz w:val="16"/>
                <w:szCs w:val="16"/>
              </w:rPr>
            </w:pPr>
            <w:r w:rsidRPr="00DD47DF">
              <w:rPr>
                <w:color w:val="000000"/>
                <w:sz w:val="16"/>
                <w:szCs w:val="16"/>
              </w:rPr>
              <w:t>592 775 409</w:t>
            </w:r>
          </w:p>
        </w:tc>
        <w:tc>
          <w:tcPr>
            <w:tcW w:w="299" w:type="pct"/>
            <w:shd w:val="clear" w:color="auto" w:fill="auto"/>
            <w:vAlign w:val="center"/>
          </w:tcPr>
          <w:p w14:paraId="591A88C1" w14:textId="77777777" w:rsidR="00501978" w:rsidRPr="00DD47DF" w:rsidRDefault="00501978" w:rsidP="00B81F2F">
            <w:pPr>
              <w:jc w:val="right"/>
              <w:rPr>
                <w:color w:val="000000"/>
                <w:sz w:val="16"/>
                <w:szCs w:val="16"/>
              </w:rPr>
            </w:pPr>
            <w:r w:rsidRPr="00DD47DF">
              <w:rPr>
                <w:color w:val="000000"/>
                <w:sz w:val="16"/>
                <w:szCs w:val="16"/>
              </w:rPr>
              <w:t>37 836 728</w:t>
            </w:r>
          </w:p>
        </w:tc>
        <w:tc>
          <w:tcPr>
            <w:tcW w:w="228" w:type="pct"/>
            <w:shd w:val="clear" w:color="auto" w:fill="auto"/>
            <w:vAlign w:val="center"/>
          </w:tcPr>
          <w:p w14:paraId="69FD4780" w14:textId="77777777" w:rsidR="00501978" w:rsidRPr="00DD47DF" w:rsidRDefault="00501978" w:rsidP="00B81F2F">
            <w:pPr>
              <w:jc w:val="right"/>
              <w:rPr>
                <w:color w:val="000000"/>
                <w:sz w:val="16"/>
                <w:szCs w:val="16"/>
              </w:rPr>
            </w:pPr>
            <w:r w:rsidRPr="00DD47DF">
              <w:rPr>
                <w:color w:val="000000"/>
                <w:sz w:val="16"/>
                <w:szCs w:val="16"/>
              </w:rPr>
              <w:t>604 638 034</w:t>
            </w:r>
          </w:p>
        </w:tc>
        <w:tc>
          <w:tcPr>
            <w:tcW w:w="299" w:type="pct"/>
            <w:shd w:val="clear" w:color="auto" w:fill="auto"/>
            <w:vAlign w:val="center"/>
          </w:tcPr>
          <w:p w14:paraId="34ACEF37" w14:textId="77777777" w:rsidR="00501978" w:rsidRPr="00DD47DF" w:rsidRDefault="00501978" w:rsidP="00B81F2F">
            <w:pPr>
              <w:jc w:val="right"/>
              <w:rPr>
                <w:color w:val="000000"/>
                <w:sz w:val="16"/>
                <w:szCs w:val="16"/>
              </w:rPr>
            </w:pPr>
            <w:r w:rsidRPr="00DD47DF">
              <w:rPr>
                <w:color w:val="000000"/>
                <w:sz w:val="16"/>
                <w:szCs w:val="16"/>
              </w:rPr>
              <w:t>38 593 917</w:t>
            </w:r>
          </w:p>
        </w:tc>
        <w:tc>
          <w:tcPr>
            <w:tcW w:w="228" w:type="pct"/>
            <w:shd w:val="clear" w:color="auto" w:fill="auto"/>
            <w:vAlign w:val="center"/>
          </w:tcPr>
          <w:p w14:paraId="6961D22A" w14:textId="77777777" w:rsidR="00501978" w:rsidRPr="00DD47DF" w:rsidRDefault="00501978" w:rsidP="00B81F2F">
            <w:pPr>
              <w:jc w:val="right"/>
              <w:rPr>
                <w:color w:val="000000"/>
                <w:sz w:val="16"/>
                <w:szCs w:val="16"/>
              </w:rPr>
            </w:pPr>
            <w:r w:rsidRPr="00DD47DF">
              <w:rPr>
                <w:color w:val="000000"/>
                <w:sz w:val="16"/>
                <w:szCs w:val="16"/>
              </w:rPr>
              <w:t>616 736 981</w:t>
            </w:r>
          </w:p>
        </w:tc>
        <w:tc>
          <w:tcPr>
            <w:tcW w:w="299" w:type="pct"/>
            <w:shd w:val="clear" w:color="auto" w:fill="auto"/>
            <w:vAlign w:val="center"/>
          </w:tcPr>
          <w:p w14:paraId="68C89682" w14:textId="77777777" w:rsidR="00501978" w:rsidRPr="00DD47DF" w:rsidRDefault="00501978" w:rsidP="00B81F2F">
            <w:pPr>
              <w:jc w:val="right"/>
              <w:rPr>
                <w:color w:val="000000"/>
                <w:sz w:val="16"/>
                <w:szCs w:val="16"/>
              </w:rPr>
            </w:pPr>
            <w:r w:rsidRPr="00DD47DF">
              <w:rPr>
                <w:color w:val="000000"/>
                <w:sz w:val="16"/>
                <w:szCs w:val="16"/>
              </w:rPr>
              <w:t>39 366 190</w:t>
            </w:r>
          </w:p>
        </w:tc>
        <w:tc>
          <w:tcPr>
            <w:tcW w:w="228" w:type="pct"/>
            <w:shd w:val="clear" w:color="auto" w:fill="auto"/>
            <w:vAlign w:val="center"/>
          </w:tcPr>
          <w:p w14:paraId="7242DFBA" w14:textId="77777777" w:rsidR="00501978" w:rsidRPr="00DD47DF" w:rsidRDefault="00501978" w:rsidP="00B81F2F">
            <w:pPr>
              <w:jc w:val="right"/>
              <w:rPr>
                <w:color w:val="000000"/>
                <w:sz w:val="16"/>
                <w:szCs w:val="16"/>
              </w:rPr>
            </w:pPr>
            <w:r w:rsidRPr="00DD47DF">
              <w:rPr>
                <w:color w:val="000000"/>
                <w:sz w:val="16"/>
                <w:szCs w:val="16"/>
              </w:rPr>
              <w:t>4 071 198 860</w:t>
            </w:r>
          </w:p>
        </w:tc>
        <w:tc>
          <w:tcPr>
            <w:tcW w:w="295" w:type="pct"/>
            <w:shd w:val="clear" w:color="auto" w:fill="auto"/>
            <w:vAlign w:val="center"/>
          </w:tcPr>
          <w:p w14:paraId="0A8DCEFF" w14:textId="77777777" w:rsidR="00501978" w:rsidRPr="00DD47DF" w:rsidRDefault="00501978" w:rsidP="00B81F2F">
            <w:pPr>
              <w:jc w:val="right"/>
              <w:rPr>
                <w:color w:val="000000"/>
                <w:sz w:val="16"/>
                <w:szCs w:val="16"/>
              </w:rPr>
            </w:pPr>
            <w:r w:rsidRPr="00DD47DF">
              <w:rPr>
                <w:color w:val="000000"/>
                <w:sz w:val="16"/>
                <w:szCs w:val="16"/>
              </w:rPr>
              <w:t>259 863 757</w:t>
            </w:r>
          </w:p>
        </w:tc>
      </w:tr>
      <w:tr w:rsidR="00501978" w:rsidRPr="00DD47DF" w14:paraId="77882DFB" w14:textId="77777777" w:rsidTr="00B81F2F">
        <w:trPr>
          <w:trHeight w:val="525"/>
        </w:trPr>
        <w:tc>
          <w:tcPr>
            <w:tcW w:w="186" w:type="pct"/>
            <w:shd w:val="clear" w:color="auto" w:fill="auto"/>
            <w:vAlign w:val="center"/>
          </w:tcPr>
          <w:p w14:paraId="36C77512" w14:textId="77777777" w:rsidR="00501978" w:rsidRPr="00DD47DF" w:rsidRDefault="00501978" w:rsidP="000435CB">
            <w:pPr>
              <w:pStyle w:val="Tabulka"/>
              <w:rPr>
                <w:rFonts w:cs="Calibri"/>
                <w:sz w:val="16"/>
                <w:szCs w:val="16"/>
              </w:rPr>
            </w:pPr>
            <w:r w:rsidRPr="00DD47DF">
              <w:rPr>
                <w:rFonts w:cs="Calibri"/>
                <w:sz w:val="16"/>
                <w:szCs w:val="16"/>
              </w:rPr>
              <w:t>(12)</w:t>
            </w:r>
          </w:p>
        </w:tc>
        <w:tc>
          <w:tcPr>
            <w:tcW w:w="231" w:type="pct"/>
            <w:tcBorders>
              <w:right w:val="single" w:sz="4" w:space="0" w:color="auto"/>
            </w:tcBorders>
            <w:shd w:val="clear" w:color="auto" w:fill="DBE5F1"/>
            <w:vAlign w:val="center"/>
          </w:tcPr>
          <w:p w14:paraId="1CE30DFB" w14:textId="77777777" w:rsidR="00501978" w:rsidRPr="00DD47DF" w:rsidRDefault="00501978" w:rsidP="000435CB">
            <w:pPr>
              <w:pStyle w:val="Tabulka"/>
              <w:jc w:val="left"/>
              <w:rPr>
                <w:rFonts w:cs="Calibri"/>
                <w:sz w:val="16"/>
                <w:szCs w:val="16"/>
              </w:rPr>
            </w:pPr>
            <w:r w:rsidRPr="00DD47DF">
              <w:rPr>
                <w:rFonts w:cs="Calibri"/>
                <w:sz w:val="16"/>
                <w:szCs w:val="16"/>
              </w:rPr>
              <w:t>Celkem</w:t>
            </w:r>
          </w:p>
        </w:tc>
        <w:tc>
          <w:tcPr>
            <w:tcW w:w="338" w:type="pct"/>
            <w:tcBorders>
              <w:left w:val="single" w:sz="4" w:space="0" w:color="auto"/>
            </w:tcBorders>
            <w:shd w:val="clear" w:color="auto" w:fill="DBE5F1"/>
            <w:vAlign w:val="center"/>
          </w:tcPr>
          <w:p w14:paraId="4D9C12E0" w14:textId="77777777" w:rsidR="00501978" w:rsidRPr="00DD47DF" w:rsidRDefault="00501978" w:rsidP="000435CB">
            <w:pPr>
              <w:pStyle w:val="Tabulka"/>
              <w:jc w:val="left"/>
              <w:rPr>
                <w:rFonts w:cs="Calibri"/>
                <w:sz w:val="16"/>
                <w:szCs w:val="16"/>
              </w:rPr>
            </w:pPr>
          </w:p>
        </w:tc>
        <w:tc>
          <w:tcPr>
            <w:tcW w:w="260" w:type="pct"/>
            <w:shd w:val="clear" w:color="auto" w:fill="DBE5F1"/>
            <w:vAlign w:val="center"/>
          </w:tcPr>
          <w:p w14:paraId="778CFA28" w14:textId="77777777" w:rsidR="00501978" w:rsidRPr="00DD47DF" w:rsidRDefault="00501978" w:rsidP="00B81F2F">
            <w:pPr>
              <w:jc w:val="right"/>
              <w:rPr>
                <w:color w:val="000000"/>
                <w:sz w:val="16"/>
                <w:szCs w:val="16"/>
              </w:rPr>
            </w:pPr>
            <w:r w:rsidRPr="00DD47DF">
              <w:rPr>
                <w:color w:val="000000"/>
                <w:sz w:val="16"/>
                <w:szCs w:val="16"/>
              </w:rPr>
              <w:t>0</w:t>
            </w:r>
          </w:p>
        </w:tc>
        <w:tc>
          <w:tcPr>
            <w:tcW w:w="299" w:type="pct"/>
            <w:shd w:val="clear" w:color="auto" w:fill="DBE5F1"/>
            <w:vAlign w:val="center"/>
          </w:tcPr>
          <w:p w14:paraId="7665C81D" w14:textId="77777777" w:rsidR="00501978" w:rsidRPr="00DD47DF" w:rsidRDefault="00501978" w:rsidP="00B81F2F">
            <w:pPr>
              <w:jc w:val="right"/>
              <w:rPr>
                <w:color w:val="000000"/>
                <w:sz w:val="16"/>
                <w:szCs w:val="16"/>
              </w:rPr>
            </w:pPr>
            <w:r w:rsidRPr="00DD47DF">
              <w:rPr>
                <w:color w:val="000000"/>
                <w:sz w:val="16"/>
                <w:szCs w:val="16"/>
              </w:rPr>
              <w:t>0</w:t>
            </w:r>
          </w:p>
        </w:tc>
        <w:tc>
          <w:tcPr>
            <w:tcW w:w="228" w:type="pct"/>
            <w:shd w:val="clear" w:color="auto" w:fill="DBE5F1"/>
            <w:vAlign w:val="center"/>
          </w:tcPr>
          <w:p w14:paraId="39BAFCD8" w14:textId="77777777" w:rsidR="00501978" w:rsidRPr="00DD47DF" w:rsidRDefault="00501978" w:rsidP="00B81F2F">
            <w:pPr>
              <w:jc w:val="right"/>
              <w:rPr>
                <w:color w:val="000000"/>
                <w:sz w:val="16"/>
                <w:szCs w:val="16"/>
              </w:rPr>
            </w:pPr>
            <w:r w:rsidRPr="00DD47DF">
              <w:rPr>
                <w:color w:val="000000"/>
                <w:sz w:val="16"/>
                <w:szCs w:val="16"/>
              </w:rPr>
              <w:t>1 106 160 536</w:t>
            </w:r>
          </w:p>
        </w:tc>
        <w:tc>
          <w:tcPr>
            <w:tcW w:w="299" w:type="pct"/>
            <w:shd w:val="clear" w:color="auto" w:fill="DBE5F1"/>
            <w:vAlign w:val="center"/>
          </w:tcPr>
          <w:p w14:paraId="5582AB22" w14:textId="77777777" w:rsidR="00501978" w:rsidRPr="00DD47DF" w:rsidRDefault="00501978" w:rsidP="00B81F2F">
            <w:pPr>
              <w:jc w:val="right"/>
              <w:rPr>
                <w:color w:val="000000"/>
                <w:sz w:val="16"/>
                <w:szCs w:val="16"/>
              </w:rPr>
            </w:pPr>
            <w:r w:rsidRPr="00DD47DF">
              <w:rPr>
                <w:color w:val="000000"/>
                <w:sz w:val="16"/>
                <w:szCs w:val="16"/>
              </w:rPr>
              <w:t>70 605 992</w:t>
            </w:r>
          </w:p>
        </w:tc>
        <w:tc>
          <w:tcPr>
            <w:tcW w:w="228" w:type="pct"/>
            <w:shd w:val="clear" w:color="auto" w:fill="DBE5F1"/>
            <w:vAlign w:val="center"/>
          </w:tcPr>
          <w:p w14:paraId="10EC07D4" w14:textId="77777777" w:rsidR="00501978" w:rsidRPr="00DD47DF" w:rsidRDefault="00501978" w:rsidP="00B81F2F">
            <w:pPr>
              <w:jc w:val="right"/>
              <w:rPr>
                <w:color w:val="000000"/>
                <w:sz w:val="16"/>
                <w:szCs w:val="16"/>
              </w:rPr>
            </w:pPr>
            <w:r w:rsidRPr="00DD47DF">
              <w:rPr>
                <w:color w:val="000000"/>
                <w:sz w:val="16"/>
                <w:szCs w:val="16"/>
              </w:rPr>
              <w:t>569 742 747</w:t>
            </w:r>
          </w:p>
        </w:tc>
        <w:tc>
          <w:tcPr>
            <w:tcW w:w="299" w:type="pct"/>
            <w:shd w:val="clear" w:color="auto" w:fill="DBE5F1"/>
            <w:vAlign w:val="center"/>
          </w:tcPr>
          <w:p w14:paraId="49F506A3" w14:textId="77777777" w:rsidR="00501978" w:rsidRPr="00DD47DF" w:rsidRDefault="00501978" w:rsidP="00B81F2F">
            <w:pPr>
              <w:jc w:val="right"/>
              <w:rPr>
                <w:color w:val="000000"/>
                <w:sz w:val="16"/>
                <w:szCs w:val="16"/>
              </w:rPr>
            </w:pPr>
            <w:r w:rsidRPr="00DD47DF">
              <w:rPr>
                <w:color w:val="000000"/>
                <w:sz w:val="16"/>
                <w:szCs w:val="16"/>
              </w:rPr>
              <w:t>36 366 558</w:t>
            </w:r>
          </w:p>
        </w:tc>
        <w:tc>
          <w:tcPr>
            <w:tcW w:w="228" w:type="pct"/>
            <w:shd w:val="clear" w:color="auto" w:fill="DBE5F1"/>
            <w:vAlign w:val="center"/>
          </w:tcPr>
          <w:p w14:paraId="580C8503" w14:textId="77777777" w:rsidR="00501978" w:rsidRPr="00DD47DF" w:rsidRDefault="00501978" w:rsidP="00B81F2F">
            <w:pPr>
              <w:jc w:val="right"/>
              <w:rPr>
                <w:color w:val="000000"/>
                <w:sz w:val="16"/>
                <w:szCs w:val="16"/>
              </w:rPr>
            </w:pPr>
            <w:r w:rsidRPr="00DD47DF">
              <w:rPr>
                <w:color w:val="000000"/>
                <w:sz w:val="16"/>
                <w:szCs w:val="16"/>
              </w:rPr>
              <w:t>581 145 153</w:t>
            </w:r>
          </w:p>
        </w:tc>
        <w:tc>
          <w:tcPr>
            <w:tcW w:w="299" w:type="pct"/>
            <w:shd w:val="clear" w:color="auto" w:fill="DBE5F1"/>
            <w:vAlign w:val="center"/>
          </w:tcPr>
          <w:p w14:paraId="7357B035" w14:textId="77777777" w:rsidR="00501978" w:rsidRPr="00DD47DF" w:rsidRDefault="00501978" w:rsidP="00B81F2F">
            <w:pPr>
              <w:jc w:val="right"/>
              <w:rPr>
                <w:color w:val="000000"/>
                <w:sz w:val="16"/>
                <w:szCs w:val="16"/>
              </w:rPr>
            </w:pPr>
            <w:r w:rsidRPr="00DD47DF">
              <w:rPr>
                <w:color w:val="000000"/>
                <w:sz w:val="16"/>
                <w:szCs w:val="16"/>
              </w:rPr>
              <w:t>37 094 372</w:t>
            </w:r>
          </w:p>
        </w:tc>
        <w:tc>
          <w:tcPr>
            <w:tcW w:w="228" w:type="pct"/>
            <w:shd w:val="clear" w:color="auto" w:fill="DBE5F1"/>
            <w:vAlign w:val="center"/>
          </w:tcPr>
          <w:p w14:paraId="060FE595" w14:textId="77777777" w:rsidR="00501978" w:rsidRPr="00DD47DF" w:rsidRDefault="00501978" w:rsidP="00B81F2F">
            <w:pPr>
              <w:jc w:val="right"/>
              <w:rPr>
                <w:color w:val="000000"/>
                <w:sz w:val="16"/>
                <w:szCs w:val="16"/>
              </w:rPr>
            </w:pPr>
            <w:r w:rsidRPr="00DD47DF">
              <w:rPr>
                <w:color w:val="000000"/>
                <w:sz w:val="16"/>
                <w:szCs w:val="16"/>
              </w:rPr>
              <w:t>592 775 409</w:t>
            </w:r>
          </w:p>
        </w:tc>
        <w:tc>
          <w:tcPr>
            <w:tcW w:w="299" w:type="pct"/>
            <w:shd w:val="clear" w:color="auto" w:fill="DBE5F1"/>
            <w:vAlign w:val="center"/>
          </w:tcPr>
          <w:p w14:paraId="2AE73037" w14:textId="77777777" w:rsidR="00501978" w:rsidRPr="00DD47DF" w:rsidRDefault="00501978" w:rsidP="00B81F2F">
            <w:pPr>
              <w:jc w:val="right"/>
              <w:rPr>
                <w:color w:val="000000"/>
                <w:sz w:val="16"/>
                <w:szCs w:val="16"/>
              </w:rPr>
            </w:pPr>
            <w:r w:rsidRPr="00DD47DF">
              <w:rPr>
                <w:color w:val="000000"/>
                <w:sz w:val="16"/>
                <w:szCs w:val="16"/>
              </w:rPr>
              <w:t>37 836 728</w:t>
            </w:r>
          </w:p>
        </w:tc>
        <w:tc>
          <w:tcPr>
            <w:tcW w:w="228" w:type="pct"/>
            <w:shd w:val="clear" w:color="auto" w:fill="DBE5F1"/>
            <w:vAlign w:val="center"/>
          </w:tcPr>
          <w:p w14:paraId="02317278" w14:textId="77777777" w:rsidR="00501978" w:rsidRPr="00DD47DF" w:rsidRDefault="00501978" w:rsidP="00B81F2F">
            <w:pPr>
              <w:jc w:val="right"/>
              <w:rPr>
                <w:color w:val="000000"/>
                <w:sz w:val="16"/>
                <w:szCs w:val="16"/>
              </w:rPr>
            </w:pPr>
            <w:r w:rsidRPr="00DD47DF">
              <w:rPr>
                <w:color w:val="000000"/>
                <w:sz w:val="16"/>
                <w:szCs w:val="16"/>
              </w:rPr>
              <w:t>604 638 034</w:t>
            </w:r>
          </w:p>
        </w:tc>
        <w:tc>
          <w:tcPr>
            <w:tcW w:w="299" w:type="pct"/>
            <w:shd w:val="clear" w:color="auto" w:fill="DBE5F1"/>
            <w:vAlign w:val="center"/>
          </w:tcPr>
          <w:p w14:paraId="3E0119D2" w14:textId="77777777" w:rsidR="00501978" w:rsidRPr="00DD47DF" w:rsidRDefault="00501978" w:rsidP="00B81F2F">
            <w:pPr>
              <w:jc w:val="right"/>
              <w:rPr>
                <w:color w:val="000000"/>
                <w:sz w:val="16"/>
                <w:szCs w:val="16"/>
              </w:rPr>
            </w:pPr>
            <w:r w:rsidRPr="00DD47DF">
              <w:rPr>
                <w:color w:val="000000"/>
                <w:sz w:val="16"/>
                <w:szCs w:val="16"/>
              </w:rPr>
              <w:t>38 593 917</w:t>
            </w:r>
          </w:p>
        </w:tc>
        <w:tc>
          <w:tcPr>
            <w:tcW w:w="228" w:type="pct"/>
            <w:shd w:val="clear" w:color="auto" w:fill="DBE5F1"/>
            <w:vAlign w:val="center"/>
          </w:tcPr>
          <w:p w14:paraId="4B4857EB" w14:textId="77777777" w:rsidR="00501978" w:rsidRPr="00DD47DF" w:rsidRDefault="00501978" w:rsidP="00B81F2F">
            <w:pPr>
              <w:jc w:val="right"/>
              <w:rPr>
                <w:color w:val="000000"/>
                <w:sz w:val="16"/>
                <w:szCs w:val="16"/>
              </w:rPr>
            </w:pPr>
            <w:r w:rsidRPr="00DD47DF">
              <w:rPr>
                <w:color w:val="000000"/>
                <w:sz w:val="16"/>
                <w:szCs w:val="16"/>
              </w:rPr>
              <w:t>616 736 981</w:t>
            </w:r>
          </w:p>
        </w:tc>
        <w:tc>
          <w:tcPr>
            <w:tcW w:w="299" w:type="pct"/>
            <w:shd w:val="clear" w:color="auto" w:fill="DBE5F1"/>
            <w:vAlign w:val="center"/>
          </w:tcPr>
          <w:p w14:paraId="3161BFEB" w14:textId="77777777" w:rsidR="00501978" w:rsidRPr="00DD47DF" w:rsidRDefault="00501978" w:rsidP="00B81F2F">
            <w:pPr>
              <w:jc w:val="right"/>
              <w:rPr>
                <w:color w:val="000000"/>
                <w:sz w:val="16"/>
                <w:szCs w:val="16"/>
              </w:rPr>
            </w:pPr>
            <w:r w:rsidRPr="00DD47DF">
              <w:rPr>
                <w:color w:val="000000"/>
                <w:sz w:val="16"/>
                <w:szCs w:val="16"/>
              </w:rPr>
              <w:t>39 366 190</w:t>
            </w:r>
          </w:p>
        </w:tc>
        <w:tc>
          <w:tcPr>
            <w:tcW w:w="228" w:type="pct"/>
            <w:shd w:val="clear" w:color="auto" w:fill="DBE5F1"/>
            <w:vAlign w:val="center"/>
          </w:tcPr>
          <w:p w14:paraId="0E0C6348" w14:textId="77777777" w:rsidR="00501978" w:rsidRPr="00DD47DF" w:rsidRDefault="00501978" w:rsidP="00B81F2F">
            <w:pPr>
              <w:jc w:val="right"/>
              <w:rPr>
                <w:color w:val="000000"/>
                <w:sz w:val="16"/>
                <w:szCs w:val="16"/>
              </w:rPr>
            </w:pPr>
            <w:r w:rsidRPr="00DD47DF">
              <w:rPr>
                <w:color w:val="000000"/>
                <w:sz w:val="16"/>
                <w:szCs w:val="16"/>
              </w:rPr>
              <w:t>4 071 198 860</w:t>
            </w:r>
          </w:p>
        </w:tc>
        <w:tc>
          <w:tcPr>
            <w:tcW w:w="295" w:type="pct"/>
            <w:shd w:val="clear" w:color="auto" w:fill="DBE5F1"/>
            <w:vAlign w:val="center"/>
          </w:tcPr>
          <w:p w14:paraId="0C496A85" w14:textId="77777777" w:rsidR="00501978" w:rsidRPr="00DD47DF" w:rsidRDefault="00501978" w:rsidP="00B81F2F">
            <w:pPr>
              <w:jc w:val="right"/>
              <w:rPr>
                <w:color w:val="000000"/>
                <w:sz w:val="16"/>
                <w:szCs w:val="16"/>
              </w:rPr>
            </w:pPr>
            <w:r w:rsidRPr="00DD47DF">
              <w:rPr>
                <w:color w:val="000000"/>
                <w:sz w:val="16"/>
                <w:szCs w:val="16"/>
              </w:rPr>
              <w:t>259 863 757</w:t>
            </w:r>
          </w:p>
        </w:tc>
      </w:tr>
    </w:tbl>
    <w:p w14:paraId="3E58E2D4" w14:textId="77777777" w:rsidR="00CE6DD0" w:rsidRPr="00DD47DF" w:rsidRDefault="00CE6DD0" w:rsidP="00DD5043"/>
    <w:p w14:paraId="7302C78A" w14:textId="77777777" w:rsidR="00C46CB7" w:rsidRPr="00DD47DF" w:rsidRDefault="00DD2263" w:rsidP="00DD2263">
      <w:pPr>
        <w:pStyle w:val="Nadpis2"/>
        <w:rPr>
          <w:rStyle w:val="StandardntextChar"/>
          <w:rFonts w:cs="Times New Roman"/>
          <w:sz w:val="26"/>
          <w:szCs w:val="28"/>
        </w:rPr>
      </w:pPr>
      <w:bookmarkStart w:id="114" w:name="_Toc506885055"/>
      <w:r w:rsidRPr="00DD47DF">
        <w:lastRenderedPageBreak/>
        <w:t>Celková výše finanční podpory z každého fondu a vnitrostátního spolufinancování (v EUR)</w:t>
      </w:r>
      <w:bookmarkEnd w:id="114"/>
    </w:p>
    <w:p w14:paraId="4CADE1E2" w14:textId="77777777" w:rsidR="00C46CB7" w:rsidRPr="00DD47DF" w:rsidRDefault="00C46CB7" w:rsidP="004E6DD3">
      <w:pPr>
        <w:pStyle w:val="Titulek"/>
        <w:keepNext/>
        <w:keepLines/>
      </w:pPr>
      <w:r w:rsidRPr="00DD47DF">
        <w:t>Tab</w:t>
      </w:r>
      <w:r w:rsidR="00434475" w:rsidRPr="00DD47DF">
        <w:t>ulka</w:t>
      </w:r>
      <w:r w:rsidR="00157951" w:rsidRPr="00DD47DF">
        <w:t xml:space="preserve"> </w:t>
      </w:r>
      <w:r w:rsidR="002756E7" w:rsidRPr="00DD47DF">
        <w:fldChar w:fldCharType="begin"/>
      </w:r>
      <w:r w:rsidR="000E35F2" w:rsidRPr="00DD47DF">
        <w:instrText xml:space="preserve"> SEQ Tabulka \* ARABIC </w:instrText>
      </w:r>
      <w:r w:rsidR="002756E7" w:rsidRPr="00DD47DF">
        <w:fldChar w:fldCharType="separate"/>
      </w:r>
      <w:r w:rsidR="00117847">
        <w:rPr>
          <w:noProof/>
        </w:rPr>
        <w:t>18</w:t>
      </w:r>
      <w:r w:rsidR="002756E7" w:rsidRPr="00DD47DF">
        <w:rPr>
          <w:noProof/>
        </w:rPr>
        <w:fldChar w:fldCharType="end"/>
      </w:r>
      <w:r w:rsidR="00D93A31" w:rsidRPr="00DD47DF">
        <w:rPr>
          <w:noProof/>
        </w:rPr>
        <w:t>a</w:t>
      </w:r>
      <w:r w:rsidR="00434475" w:rsidRPr="00DD47DF">
        <w:t xml:space="preserve">: </w:t>
      </w:r>
      <w:r w:rsidR="00DD2263" w:rsidRPr="00DD47DF">
        <w:t>Plán financování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10"/>
        <w:gridCol w:w="515"/>
        <w:gridCol w:w="790"/>
        <w:gridCol w:w="755"/>
        <w:gridCol w:w="1061"/>
        <w:gridCol w:w="903"/>
        <w:gridCol w:w="994"/>
        <w:gridCol w:w="994"/>
        <w:gridCol w:w="959"/>
        <w:gridCol w:w="1279"/>
        <w:gridCol w:w="799"/>
        <w:gridCol w:w="914"/>
        <w:gridCol w:w="893"/>
        <w:gridCol w:w="824"/>
        <w:gridCol w:w="918"/>
        <w:gridCol w:w="950"/>
      </w:tblGrid>
      <w:tr w:rsidR="00226BC2" w:rsidRPr="00DD47DF" w14:paraId="69112EBD" w14:textId="77777777" w:rsidTr="00466CFC">
        <w:tc>
          <w:tcPr>
            <w:tcW w:w="249" w:type="pct"/>
            <w:vMerge w:val="restart"/>
            <w:shd w:val="clear" w:color="auto" w:fill="B8CCE4"/>
          </w:tcPr>
          <w:p w14:paraId="45BF728B" w14:textId="77777777" w:rsidR="00226BC2" w:rsidRPr="00DD47DF" w:rsidRDefault="00226BC2" w:rsidP="000435CB">
            <w:pPr>
              <w:pStyle w:val="Tabulka"/>
              <w:keepNext/>
              <w:keepLines/>
              <w:rPr>
                <w:rFonts w:cs="Calibri"/>
                <w:b/>
                <w:sz w:val="16"/>
                <w:szCs w:val="16"/>
              </w:rPr>
            </w:pPr>
            <w:r w:rsidRPr="00DD47DF">
              <w:rPr>
                <w:rFonts w:cs="Calibri"/>
                <w:b/>
                <w:sz w:val="16"/>
                <w:szCs w:val="16"/>
              </w:rPr>
              <w:t>Prioritní osa</w:t>
            </w:r>
          </w:p>
        </w:tc>
        <w:tc>
          <w:tcPr>
            <w:tcW w:w="181" w:type="pct"/>
            <w:vMerge w:val="restart"/>
            <w:shd w:val="clear" w:color="auto" w:fill="B8CCE4"/>
          </w:tcPr>
          <w:p w14:paraId="5C9A175C" w14:textId="77777777" w:rsidR="00226BC2" w:rsidRPr="00DD47DF" w:rsidRDefault="00226BC2" w:rsidP="000435CB">
            <w:pPr>
              <w:pStyle w:val="Tabulka"/>
              <w:keepNext/>
              <w:keepLines/>
              <w:rPr>
                <w:rFonts w:cs="Calibri"/>
                <w:b/>
                <w:sz w:val="16"/>
                <w:szCs w:val="16"/>
              </w:rPr>
            </w:pPr>
            <w:r w:rsidRPr="00DD47DF">
              <w:rPr>
                <w:rFonts w:cs="Calibri"/>
                <w:b/>
                <w:sz w:val="16"/>
                <w:szCs w:val="16"/>
              </w:rPr>
              <w:t>Fond</w:t>
            </w:r>
          </w:p>
        </w:tc>
        <w:tc>
          <w:tcPr>
            <w:tcW w:w="277" w:type="pct"/>
            <w:vMerge w:val="restart"/>
            <w:shd w:val="clear" w:color="auto" w:fill="B8CCE4"/>
          </w:tcPr>
          <w:p w14:paraId="1E7F0E99" w14:textId="77777777" w:rsidR="00226BC2" w:rsidRPr="00DD47DF" w:rsidRDefault="00226BC2" w:rsidP="000435CB">
            <w:pPr>
              <w:pStyle w:val="Tabulka"/>
              <w:keepNext/>
              <w:keepLines/>
              <w:rPr>
                <w:rFonts w:cs="Calibri"/>
                <w:b/>
                <w:sz w:val="16"/>
                <w:szCs w:val="16"/>
              </w:rPr>
            </w:pPr>
            <w:r w:rsidRPr="00DD47DF">
              <w:rPr>
                <w:rFonts w:cs="Calibri"/>
                <w:b/>
                <w:sz w:val="16"/>
                <w:szCs w:val="16"/>
              </w:rPr>
              <w:t xml:space="preserve">Kategorie regionů </w:t>
            </w:r>
          </w:p>
        </w:tc>
        <w:tc>
          <w:tcPr>
            <w:tcW w:w="265" w:type="pct"/>
            <w:vMerge w:val="restart"/>
            <w:shd w:val="clear" w:color="auto" w:fill="B8CCE4"/>
          </w:tcPr>
          <w:p w14:paraId="0B5FC5D2" w14:textId="77777777" w:rsidR="00226BC2" w:rsidRPr="00DD47DF" w:rsidRDefault="00226BC2" w:rsidP="000435CB">
            <w:pPr>
              <w:pStyle w:val="Tabulka"/>
              <w:keepNext/>
              <w:keepLines/>
              <w:rPr>
                <w:rFonts w:cs="Calibri"/>
                <w:b/>
                <w:sz w:val="16"/>
                <w:szCs w:val="16"/>
              </w:rPr>
            </w:pPr>
            <w:r w:rsidRPr="00DD47DF">
              <w:rPr>
                <w:rFonts w:cs="Calibri"/>
                <w:b/>
                <w:sz w:val="16"/>
                <w:szCs w:val="16"/>
              </w:rPr>
              <w:t>Základ pro výpočet podpory Unie</w:t>
            </w:r>
          </w:p>
          <w:p w14:paraId="7434D2A4" w14:textId="77777777" w:rsidR="00226BC2" w:rsidRPr="00DD47DF" w:rsidRDefault="00226BC2" w:rsidP="000435CB">
            <w:pPr>
              <w:pStyle w:val="Tabulka"/>
              <w:keepNext/>
              <w:keepLines/>
              <w:rPr>
                <w:rFonts w:cs="Calibri"/>
                <w:b/>
                <w:sz w:val="16"/>
                <w:szCs w:val="16"/>
              </w:rPr>
            </w:pPr>
            <w:r w:rsidRPr="00DD47DF">
              <w:rPr>
                <w:rFonts w:cs="Calibri"/>
                <w:b/>
                <w:sz w:val="16"/>
                <w:szCs w:val="16"/>
              </w:rPr>
              <w:t>(celkové způsobilé výdaje nebo způsobilé veřejné výdaje)</w:t>
            </w:r>
          </w:p>
        </w:tc>
        <w:tc>
          <w:tcPr>
            <w:tcW w:w="372" w:type="pct"/>
            <w:vMerge w:val="restart"/>
            <w:shd w:val="clear" w:color="auto" w:fill="B8CCE4"/>
          </w:tcPr>
          <w:p w14:paraId="2981D71D" w14:textId="77777777" w:rsidR="00226BC2" w:rsidRPr="00DD47DF" w:rsidRDefault="00226BC2" w:rsidP="000435CB">
            <w:pPr>
              <w:pStyle w:val="Tabulka"/>
              <w:keepNext/>
              <w:keepLines/>
              <w:rPr>
                <w:rFonts w:cs="Calibri"/>
                <w:b/>
                <w:sz w:val="16"/>
                <w:szCs w:val="16"/>
              </w:rPr>
            </w:pPr>
            <w:r w:rsidRPr="00DD47DF">
              <w:rPr>
                <w:rFonts w:cs="Calibri"/>
                <w:b/>
                <w:sz w:val="16"/>
                <w:szCs w:val="16"/>
              </w:rPr>
              <w:t>Podpora Unie</w:t>
            </w:r>
          </w:p>
          <w:p w14:paraId="75263EFC" w14:textId="77777777" w:rsidR="00226BC2" w:rsidRPr="00DD47DF" w:rsidRDefault="00226BC2" w:rsidP="000435CB">
            <w:pPr>
              <w:pStyle w:val="Tabulka"/>
              <w:keepNext/>
              <w:keepLines/>
              <w:jc w:val="left"/>
              <w:rPr>
                <w:rFonts w:cs="Calibri"/>
                <w:b/>
                <w:sz w:val="16"/>
                <w:szCs w:val="16"/>
              </w:rPr>
            </w:pPr>
          </w:p>
        </w:tc>
        <w:tc>
          <w:tcPr>
            <w:tcW w:w="317" w:type="pct"/>
            <w:vMerge w:val="restart"/>
            <w:shd w:val="clear" w:color="auto" w:fill="B8CCE4"/>
          </w:tcPr>
          <w:p w14:paraId="574B4660" w14:textId="77777777" w:rsidR="00226BC2" w:rsidRPr="00DD47DF" w:rsidRDefault="00226BC2" w:rsidP="000435CB">
            <w:pPr>
              <w:pStyle w:val="Tabulka"/>
              <w:keepNext/>
              <w:keepLines/>
              <w:rPr>
                <w:rFonts w:cs="Calibri"/>
                <w:b/>
                <w:sz w:val="16"/>
                <w:szCs w:val="16"/>
              </w:rPr>
            </w:pPr>
            <w:r w:rsidRPr="00DD47DF">
              <w:rPr>
                <w:rFonts w:cs="Calibri"/>
                <w:b/>
                <w:sz w:val="16"/>
                <w:szCs w:val="16"/>
              </w:rPr>
              <w:t>Příspěvek členského státu</w:t>
            </w:r>
          </w:p>
          <w:p w14:paraId="7DD7C263" w14:textId="77777777" w:rsidR="00226BC2" w:rsidRPr="00DD47DF" w:rsidRDefault="00226BC2" w:rsidP="000435CB">
            <w:pPr>
              <w:pStyle w:val="Tabulka"/>
              <w:keepNext/>
              <w:keepLines/>
              <w:jc w:val="left"/>
              <w:rPr>
                <w:rFonts w:cs="Calibri"/>
                <w:b/>
                <w:sz w:val="16"/>
                <w:szCs w:val="16"/>
              </w:rPr>
            </w:pPr>
          </w:p>
        </w:tc>
        <w:tc>
          <w:tcPr>
            <w:tcW w:w="697" w:type="pct"/>
            <w:gridSpan w:val="2"/>
            <w:shd w:val="clear" w:color="auto" w:fill="B8CCE4"/>
          </w:tcPr>
          <w:p w14:paraId="59495749" w14:textId="77777777" w:rsidR="00226BC2" w:rsidRPr="00DD47DF" w:rsidRDefault="00226BC2" w:rsidP="000435CB">
            <w:pPr>
              <w:pStyle w:val="Tabulka"/>
              <w:keepNext/>
              <w:keepLines/>
              <w:rPr>
                <w:rFonts w:cs="Calibri"/>
                <w:b/>
                <w:sz w:val="16"/>
                <w:szCs w:val="16"/>
              </w:rPr>
            </w:pPr>
            <w:r w:rsidRPr="00DD47DF">
              <w:rPr>
                <w:rFonts w:cs="Calibri"/>
                <w:b/>
                <w:sz w:val="16"/>
                <w:szCs w:val="16"/>
              </w:rPr>
              <w:t>Orientační rozdělení příspěvku členského státu</w:t>
            </w:r>
          </w:p>
        </w:tc>
        <w:tc>
          <w:tcPr>
            <w:tcW w:w="336" w:type="pct"/>
            <w:vMerge w:val="restart"/>
            <w:shd w:val="clear" w:color="auto" w:fill="B8CCE4"/>
          </w:tcPr>
          <w:p w14:paraId="6DA66728" w14:textId="77777777" w:rsidR="00226BC2" w:rsidRPr="00DD47DF" w:rsidRDefault="00226BC2" w:rsidP="000435CB">
            <w:pPr>
              <w:pStyle w:val="Tabulka"/>
              <w:keepNext/>
              <w:keepLines/>
              <w:rPr>
                <w:rFonts w:cs="Calibri"/>
                <w:b/>
                <w:sz w:val="16"/>
                <w:szCs w:val="16"/>
              </w:rPr>
            </w:pPr>
            <w:r w:rsidRPr="00DD47DF">
              <w:rPr>
                <w:rFonts w:cs="Calibri"/>
                <w:b/>
                <w:sz w:val="16"/>
                <w:szCs w:val="16"/>
              </w:rPr>
              <w:t>Financování celkem</w:t>
            </w:r>
          </w:p>
        </w:tc>
        <w:tc>
          <w:tcPr>
            <w:tcW w:w="449" w:type="pct"/>
            <w:vMerge w:val="restart"/>
            <w:shd w:val="clear" w:color="auto" w:fill="B8CCE4"/>
          </w:tcPr>
          <w:p w14:paraId="23D048FE" w14:textId="77777777" w:rsidR="00226BC2" w:rsidRPr="00DD47DF" w:rsidRDefault="00226BC2" w:rsidP="000435CB">
            <w:pPr>
              <w:pStyle w:val="Tabulka"/>
              <w:keepNext/>
              <w:keepLines/>
              <w:rPr>
                <w:rFonts w:cs="Calibri"/>
                <w:b/>
                <w:sz w:val="16"/>
                <w:szCs w:val="16"/>
              </w:rPr>
            </w:pPr>
            <w:r w:rsidRPr="00DD47DF">
              <w:rPr>
                <w:rFonts w:cs="Calibri"/>
                <w:b/>
                <w:sz w:val="16"/>
                <w:szCs w:val="16"/>
              </w:rPr>
              <w:t>Míra spolufinancování</w:t>
            </w:r>
          </w:p>
        </w:tc>
        <w:tc>
          <w:tcPr>
            <w:tcW w:w="280" w:type="pct"/>
            <w:vMerge w:val="restart"/>
            <w:shd w:val="clear" w:color="auto" w:fill="B8CCE4"/>
          </w:tcPr>
          <w:p w14:paraId="088CFBA3" w14:textId="77777777" w:rsidR="00226BC2" w:rsidRPr="00DD47DF" w:rsidRDefault="00226BC2" w:rsidP="000435CB">
            <w:pPr>
              <w:pStyle w:val="Tabulka"/>
              <w:keepNext/>
              <w:keepLines/>
              <w:rPr>
                <w:rFonts w:cs="Calibri"/>
                <w:b/>
                <w:sz w:val="16"/>
                <w:szCs w:val="16"/>
              </w:rPr>
            </w:pPr>
            <w:r w:rsidRPr="00DD47DF">
              <w:rPr>
                <w:rFonts w:cs="Calibri"/>
                <w:b/>
                <w:sz w:val="16"/>
                <w:szCs w:val="16"/>
              </w:rPr>
              <w:t>Pro informaci</w:t>
            </w:r>
          </w:p>
          <w:p w14:paraId="239E5B02" w14:textId="77777777" w:rsidR="00226BC2" w:rsidRPr="00DD47DF" w:rsidRDefault="00226BC2" w:rsidP="000435CB">
            <w:pPr>
              <w:pStyle w:val="Tabulka"/>
              <w:keepNext/>
              <w:keepLines/>
              <w:rPr>
                <w:rFonts w:cs="Calibri"/>
                <w:b/>
                <w:sz w:val="16"/>
                <w:szCs w:val="16"/>
              </w:rPr>
            </w:pPr>
          </w:p>
          <w:p w14:paraId="0D161773" w14:textId="77777777" w:rsidR="00226BC2" w:rsidRPr="00DD47DF" w:rsidRDefault="00226BC2" w:rsidP="000435CB">
            <w:pPr>
              <w:pStyle w:val="Tabulka"/>
              <w:keepNext/>
              <w:keepLines/>
              <w:rPr>
                <w:rFonts w:cs="Calibri"/>
                <w:b/>
                <w:sz w:val="16"/>
                <w:szCs w:val="16"/>
              </w:rPr>
            </w:pPr>
            <w:r w:rsidRPr="00DD47DF">
              <w:rPr>
                <w:rFonts w:cs="Calibri"/>
                <w:b/>
                <w:sz w:val="16"/>
                <w:szCs w:val="16"/>
              </w:rPr>
              <w:t>Příspěvky EIB</w:t>
            </w:r>
          </w:p>
        </w:tc>
        <w:tc>
          <w:tcPr>
            <w:tcW w:w="634" w:type="pct"/>
            <w:gridSpan w:val="2"/>
            <w:shd w:val="clear" w:color="auto" w:fill="B8CCE4"/>
          </w:tcPr>
          <w:p w14:paraId="238E4157" w14:textId="77777777" w:rsidR="00226BC2" w:rsidRPr="00DD47DF" w:rsidRDefault="00226BC2" w:rsidP="000435CB">
            <w:pPr>
              <w:pStyle w:val="Tabulka"/>
              <w:keepNext/>
              <w:keepLines/>
              <w:rPr>
                <w:rFonts w:cs="Calibri"/>
                <w:b/>
                <w:sz w:val="16"/>
                <w:szCs w:val="16"/>
              </w:rPr>
            </w:pPr>
            <w:r w:rsidRPr="00DD47DF">
              <w:rPr>
                <w:rFonts w:cs="Calibri"/>
                <w:b/>
                <w:sz w:val="16"/>
                <w:szCs w:val="16"/>
              </w:rPr>
              <w:t>Hlavní příděl (finanční prostředky celkem minus výkonnostní rezerva)</w:t>
            </w:r>
          </w:p>
        </w:tc>
        <w:tc>
          <w:tcPr>
            <w:tcW w:w="611" w:type="pct"/>
            <w:gridSpan w:val="2"/>
            <w:shd w:val="clear" w:color="auto" w:fill="B8CCE4"/>
          </w:tcPr>
          <w:p w14:paraId="236D60AD" w14:textId="77777777" w:rsidR="00226BC2" w:rsidRPr="00DD47DF" w:rsidRDefault="00226BC2" w:rsidP="000435CB">
            <w:pPr>
              <w:pStyle w:val="Tabulka"/>
              <w:keepNext/>
              <w:keepLines/>
              <w:rPr>
                <w:rFonts w:cs="Calibri"/>
                <w:b/>
                <w:sz w:val="16"/>
                <w:szCs w:val="16"/>
              </w:rPr>
            </w:pPr>
            <w:r w:rsidRPr="00DD47DF">
              <w:rPr>
                <w:rFonts w:cs="Calibri"/>
                <w:b/>
                <w:sz w:val="16"/>
                <w:szCs w:val="16"/>
              </w:rPr>
              <w:t>Výkonnostní rezerva</w:t>
            </w:r>
          </w:p>
        </w:tc>
        <w:tc>
          <w:tcPr>
            <w:tcW w:w="333" w:type="pct"/>
            <w:vMerge w:val="restart"/>
            <w:shd w:val="clear" w:color="auto" w:fill="B8CCE4"/>
          </w:tcPr>
          <w:p w14:paraId="36229DEC" w14:textId="77777777" w:rsidR="00226BC2" w:rsidRPr="00DD47DF" w:rsidRDefault="00226BC2" w:rsidP="000435CB">
            <w:pPr>
              <w:pStyle w:val="Tabulka"/>
              <w:keepNext/>
              <w:keepLines/>
              <w:rPr>
                <w:rFonts w:cs="Calibri"/>
                <w:b/>
                <w:sz w:val="16"/>
                <w:szCs w:val="16"/>
              </w:rPr>
            </w:pPr>
            <w:r w:rsidRPr="00DD47DF">
              <w:rPr>
                <w:rFonts w:cs="Calibri"/>
                <w:b/>
                <w:sz w:val="16"/>
                <w:szCs w:val="16"/>
              </w:rPr>
              <w:t>Podíl výkonnostní rezervy (podpora Unie) na celkové unijní podpoře</w:t>
            </w:r>
          </w:p>
        </w:tc>
      </w:tr>
      <w:tr w:rsidR="00226BC2" w:rsidRPr="00DD47DF" w14:paraId="63D8BE8F" w14:textId="77777777" w:rsidTr="00466CFC">
        <w:tc>
          <w:tcPr>
            <w:tcW w:w="249" w:type="pct"/>
            <w:vMerge/>
            <w:shd w:val="clear" w:color="auto" w:fill="auto"/>
          </w:tcPr>
          <w:p w14:paraId="533AF7DA" w14:textId="77777777" w:rsidR="00226BC2" w:rsidRPr="00DD47DF" w:rsidRDefault="00226BC2" w:rsidP="000435CB">
            <w:pPr>
              <w:keepNext/>
              <w:keepLines/>
            </w:pPr>
          </w:p>
        </w:tc>
        <w:tc>
          <w:tcPr>
            <w:tcW w:w="181" w:type="pct"/>
            <w:vMerge/>
            <w:shd w:val="clear" w:color="auto" w:fill="auto"/>
          </w:tcPr>
          <w:p w14:paraId="18435551" w14:textId="77777777" w:rsidR="00226BC2" w:rsidRPr="00DD47DF" w:rsidRDefault="00226BC2" w:rsidP="000435CB">
            <w:pPr>
              <w:keepNext/>
              <w:keepLines/>
            </w:pPr>
          </w:p>
        </w:tc>
        <w:tc>
          <w:tcPr>
            <w:tcW w:w="277" w:type="pct"/>
            <w:vMerge/>
            <w:shd w:val="clear" w:color="auto" w:fill="auto"/>
          </w:tcPr>
          <w:p w14:paraId="6A2CC636" w14:textId="77777777" w:rsidR="00226BC2" w:rsidRPr="00DD47DF" w:rsidRDefault="00226BC2" w:rsidP="000435CB">
            <w:pPr>
              <w:keepNext/>
              <w:keepLines/>
            </w:pPr>
          </w:p>
        </w:tc>
        <w:tc>
          <w:tcPr>
            <w:tcW w:w="265" w:type="pct"/>
            <w:vMerge/>
            <w:shd w:val="clear" w:color="auto" w:fill="auto"/>
          </w:tcPr>
          <w:p w14:paraId="52BCF1E3" w14:textId="77777777" w:rsidR="00226BC2" w:rsidRPr="00DD47DF" w:rsidRDefault="00226BC2" w:rsidP="000435CB">
            <w:pPr>
              <w:keepNext/>
              <w:keepLines/>
            </w:pPr>
          </w:p>
        </w:tc>
        <w:tc>
          <w:tcPr>
            <w:tcW w:w="372" w:type="pct"/>
            <w:vMerge/>
            <w:shd w:val="clear" w:color="auto" w:fill="auto"/>
          </w:tcPr>
          <w:p w14:paraId="35987D5D" w14:textId="77777777" w:rsidR="00226BC2" w:rsidRPr="00DD47DF" w:rsidRDefault="00226BC2" w:rsidP="000435CB">
            <w:pPr>
              <w:pStyle w:val="Tabulka"/>
              <w:keepNext/>
              <w:keepLines/>
              <w:rPr>
                <w:rFonts w:cs="Calibri"/>
                <w:sz w:val="16"/>
                <w:szCs w:val="16"/>
              </w:rPr>
            </w:pPr>
          </w:p>
        </w:tc>
        <w:tc>
          <w:tcPr>
            <w:tcW w:w="317" w:type="pct"/>
            <w:vMerge/>
            <w:shd w:val="clear" w:color="auto" w:fill="auto"/>
          </w:tcPr>
          <w:p w14:paraId="360E21D7" w14:textId="77777777" w:rsidR="00226BC2" w:rsidRPr="00DD47DF" w:rsidRDefault="00226BC2" w:rsidP="000435CB">
            <w:pPr>
              <w:pStyle w:val="Tabulka"/>
              <w:keepNext/>
              <w:keepLines/>
              <w:rPr>
                <w:rFonts w:cs="Calibri"/>
                <w:sz w:val="16"/>
                <w:szCs w:val="16"/>
              </w:rPr>
            </w:pPr>
          </w:p>
        </w:tc>
        <w:tc>
          <w:tcPr>
            <w:tcW w:w="349" w:type="pct"/>
            <w:shd w:val="clear" w:color="auto" w:fill="DBE5F1"/>
          </w:tcPr>
          <w:p w14:paraId="573512C4" w14:textId="77777777" w:rsidR="00226BC2" w:rsidRPr="00DD47DF" w:rsidRDefault="00226BC2" w:rsidP="000435CB">
            <w:pPr>
              <w:pStyle w:val="Tabulka"/>
              <w:keepNext/>
              <w:keepLines/>
              <w:rPr>
                <w:rFonts w:cs="Calibri"/>
                <w:sz w:val="16"/>
                <w:szCs w:val="16"/>
              </w:rPr>
            </w:pPr>
            <w:r w:rsidRPr="00DD47DF">
              <w:rPr>
                <w:rFonts w:cs="Calibri"/>
                <w:sz w:val="16"/>
                <w:szCs w:val="16"/>
              </w:rPr>
              <w:t>Financování z vnitrostátních veřejných zdrojů</w:t>
            </w:r>
          </w:p>
        </w:tc>
        <w:tc>
          <w:tcPr>
            <w:tcW w:w="349" w:type="pct"/>
            <w:shd w:val="clear" w:color="auto" w:fill="DBE5F1"/>
          </w:tcPr>
          <w:p w14:paraId="2A1DC4FE" w14:textId="77777777" w:rsidR="00226BC2" w:rsidRPr="00DD47DF" w:rsidRDefault="00226BC2" w:rsidP="000435CB">
            <w:pPr>
              <w:pStyle w:val="Tabulka"/>
              <w:keepNext/>
              <w:keepLines/>
              <w:rPr>
                <w:rFonts w:cs="Calibri"/>
                <w:sz w:val="16"/>
                <w:szCs w:val="16"/>
              </w:rPr>
            </w:pPr>
            <w:r w:rsidRPr="00DD47DF">
              <w:rPr>
                <w:rFonts w:cs="Calibri"/>
                <w:sz w:val="16"/>
                <w:szCs w:val="16"/>
              </w:rPr>
              <w:t>Financování z vnitrostátních soukromých zdrojů</w:t>
            </w:r>
          </w:p>
        </w:tc>
        <w:tc>
          <w:tcPr>
            <w:tcW w:w="336" w:type="pct"/>
            <w:vMerge/>
            <w:shd w:val="clear" w:color="auto" w:fill="auto"/>
          </w:tcPr>
          <w:p w14:paraId="531B0B4E" w14:textId="77777777" w:rsidR="00226BC2" w:rsidRPr="00DD47DF" w:rsidRDefault="00226BC2" w:rsidP="000435CB">
            <w:pPr>
              <w:pStyle w:val="Tabulka"/>
              <w:keepNext/>
              <w:keepLines/>
              <w:rPr>
                <w:rFonts w:cs="Calibri"/>
                <w:sz w:val="16"/>
                <w:szCs w:val="16"/>
              </w:rPr>
            </w:pPr>
          </w:p>
        </w:tc>
        <w:tc>
          <w:tcPr>
            <w:tcW w:w="449" w:type="pct"/>
            <w:vMerge/>
            <w:shd w:val="clear" w:color="auto" w:fill="auto"/>
          </w:tcPr>
          <w:p w14:paraId="4F8D90AB" w14:textId="77777777" w:rsidR="00226BC2" w:rsidRPr="00DD47DF" w:rsidRDefault="00226BC2" w:rsidP="000435CB">
            <w:pPr>
              <w:pStyle w:val="Tabulka"/>
              <w:keepNext/>
              <w:keepLines/>
              <w:rPr>
                <w:rFonts w:cs="Calibri"/>
                <w:sz w:val="16"/>
                <w:szCs w:val="16"/>
              </w:rPr>
            </w:pPr>
          </w:p>
        </w:tc>
        <w:tc>
          <w:tcPr>
            <w:tcW w:w="280" w:type="pct"/>
            <w:vMerge/>
            <w:shd w:val="clear" w:color="auto" w:fill="auto"/>
          </w:tcPr>
          <w:p w14:paraId="04F3C817" w14:textId="77777777" w:rsidR="00226BC2" w:rsidRPr="00DD47DF" w:rsidRDefault="00226BC2" w:rsidP="000435CB">
            <w:pPr>
              <w:pStyle w:val="Tabulka"/>
              <w:keepNext/>
              <w:keepLines/>
              <w:rPr>
                <w:rFonts w:cs="Calibri"/>
                <w:sz w:val="16"/>
                <w:szCs w:val="16"/>
              </w:rPr>
            </w:pPr>
          </w:p>
        </w:tc>
        <w:tc>
          <w:tcPr>
            <w:tcW w:w="321" w:type="pct"/>
            <w:shd w:val="clear" w:color="auto" w:fill="DBE5F1"/>
          </w:tcPr>
          <w:p w14:paraId="174FD746" w14:textId="77777777" w:rsidR="00226BC2" w:rsidRPr="00DD47DF" w:rsidRDefault="00226BC2" w:rsidP="000435CB">
            <w:pPr>
              <w:pStyle w:val="Tabulka"/>
              <w:keepNext/>
              <w:keepLines/>
              <w:rPr>
                <w:rFonts w:cs="Calibri"/>
                <w:sz w:val="16"/>
                <w:szCs w:val="16"/>
              </w:rPr>
            </w:pPr>
            <w:r w:rsidRPr="00DD47DF">
              <w:rPr>
                <w:rFonts w:cs="Calibri"/>
                <w:sz w:val="16"/>
                <w:szCs w:val="16"/>
              </w:rPr>
              <w:t>Podpora Unie</w:t>
            </w:r>
          </w:p>
          <w:p w14:paraId="6D0265C1" w14:textId="77777777" w:rsidR="00226BC2" w:rsidRPr="00DD47DF" w:rsidRDefault="00226BC2" w:rsidP="000435CB">
            <w:pPr>
              <w:pStyle w:val="Tabulka"/>
              <w:keepNext/>
              <w:keepLines/>
              <w:rPr>
                <w:rFonts w:cs="Calibri"/>
                <w:sz w:val="16"/>
                <w:szCs w:val="16"/>
              </w:rPr>
            </w:pPr>
          </w:p>
        </w:tc>
        <w:tc>
          <w:tcPr>
            <w:tcW w:w="313" w:type="pct"/>
            <w:shd w:val="clear" w:color="auto" w:fill="DBE5F1"/>
          </w:tcPr>
          <w:p w14:paraId="10068857" w14:textId="77777777" w:rsidR="00226BC2" w:rsidRPr="00DD47DF" w:rsidRDefault="00226BC2" w:rsidP="000435CB">
            <w:pPr>
              <w:pStyle w:val="Tabulka"/>
              <w:keepNext/>
              <w:keepLines/>
              <w:rPr>
                <w:rFonts w:cs="Calibri"/>
                <w:sz w:val="16"/>
                <w:szCs w:val="16"/>
              </w:rPr>
            </w:pPr>
            <w:r w:rsidRPr="00DD47DF">
              <w:rPr>
                <w:rFonts w:cs="Calibri"/>
                <w:sz w:val="16"/>
                <w:szCs w:val="16"/>
              </w:rPr>
              <w:t>Příspěvek členského státu</w:t>
            </w:r>
          </w:p>
        </w:tc>
        <w:tc>
          <w:tcPr>
            <w:tcW w:w="289" w:type="pct"/>
            <w:shd w:val="clear" w:color="auto" w:fill="DBE5F1"/>
          </w:tcPr>
          <w:p w14:paraId="65A92262" w14:textId="77777777" w:rsidR="00226BC2" w:rsidRPr="00DD47DF" w:rsidRDefault="00226BC2" w:rsidP="000435CB">
            <w:pPr>
              <w:pStyle w:val="Tabulka"/>
              <w:keepNext/>
              <w:keepLines/>
              <w:rPr>
                <w:rFonts w:cs="Calibri"/>
                <w:sz w:val="16"/>
                <w:szCs w:val="16"/>
              </w:rPr>
            </w:pPr>
            <w:r w:rsidRPr="00DD47DF">
              <w:rPr>
                <w:rFonts w:cs="Calibri"/>
                <w:sz w:val="16"/>
                <w:szCs w:val="16"/>
              </w:rPr>
              <w:t>Podpora Unie</w:t>
            </w:r>
          </w:p>
          <w:p w14:paraId="2498ECF5" w14:textId="77777777" w:rsidR="00226BC2" w:rsidRPr="00DD47DF" w:rsidRDefault="00226BC2" w:rsidP="000435CB">
            <w:pPr>
              <w:pStyle w:val="Tabulka"/>
              <w:keepNext/>
              <w:keepLines/>
              <w:rPr>
                <w:rFonts w:cs="Calibri"/>
                <w:sz w:val="16"/>
                <w:szCs w:val="16"/>
              </w:rPr>
            </w:pPr>
          </w:p>
        </w:tc>
        <w:tc>
          <w:tcPr>
            <w:tcW w:w="322" w:type="pct"/>
            <w:shd w:val="clear" w:color="auto" w:fill="DBE5F1"/>
          </w:tcPr>
          <w:p w14:paraId="19C7474D" w14:textId="77777777" w:rsidR="00226BC2" w:rsidRPr="00DD47DF" w:rsidRDefault="00226BC2" w:rsidP="000435CB">
            <w:pPr>
              <w:pStyle w:val="Tabulka"/>
              <w:keepNext/>
              <w:keepLines/>
              <w:rPr>
                <w:rFonts w:cs="Calibri"/>
                <w:sz w:val="16"/>
                <w:szCs w:val="16"/>
              </w:rPr>
            </w:pPr>
            <w:r w:rsidRPr="00DD47DF">
              <w:rPr>
                <w:rFonts w:cs="Calibri"/>
                <w:sz w:val="16"/>
                <w:szCs w:val="16"/>
              </w:rPr>
              <w:t>Příspěvek členského státu</w:t>
            </w:r>
            <w:r w:rsidRPr="00DD47DF">
              <w:rPr>
                <w:rStyle w:val="Znakapoznpodarou"/>
                <w:rFonts w:cs="Calibri"/>
                <w:sz w:val="16"/>
                <w:szCs w:val="16"/>
                <w:vertAlign w:val="baseline"/>
              </w:rPr>
              <w:t xml:space="preserve"> </w:t>
            </w:r>
          </w:p>
        </w:tc>
        <w:tc>
          <w:tcPr>
            <w:tcW w:w="333" w:type="pct"/>
            <w:vMerge/>
            <w:shd w:val="clear" w:color="auto" w:fill="auto"/>
          </w:tcPr>
          <w:p w14:paraId="0D0715B7" w14:textId="77777777" w:rsidR="00226BC2" w:rsidRPr="00DD47DF" w:rsidRDefault="00226BC2" w:rsidP="000435CB">
            <w:pPr>
              <w:pStyle w:val="Tabulka"/>
              <w:keepNext/>
              <w:keepLines/>
              <w:rPr>
                <w:rFonts w:cs="Calibri"/>
                <w:sz w:val="16"/>
                <w:szCs w:val="16"/>
              </w:rPr>
            </w:pPr>
          </w:p>
        </w:tc>
      </w:tr>
      <w:tr w:rsidR="00226BC2" w:rsidRPr="00DD47DF" w14:paraId="206DB989" w14:textId="77777777" w:rsidTr="00466CFC">
        <w:tc>
          <w:tcPr>
            <w:tcW w:w="249" w:type="pct"/>
            <w:shd w:val="clear" w:color="auto" w:fill="auto"/>
          </w:tcPr>
          <w:p w14:paraId="0D134CD1" w14:textId="77777777" w:rsidR="00226BC2" w:rsidRPr="00DD47DF" w:rsidRDefault="00226BC2" w:rsidP="000435CB"/>
        </w:tc>
        <w:tc>
          <w:tcPr>
            <w:tcW w:w="181" w:type="pct"/>
            <w:shd w:val="clear" w:color="auto" w:fill="auto"/>
          </w:tcPr>
          <w:p w14:paraId="3876B1BD" w14:textId="77777777" w:rsidR="00226BC2" w:rsidRPr="00DD47DF" w:rsidRDefault="00226BC2" w:rsidP="000435CB"/>
        </w:tc>
        <w:tc>
          <w:tcPr>
            <w:tcW w:w="277" w:type="pct"/>
            <w:shd w:val="clear" w:color="auto" w:fill="auto"/>
          </w:tcPr>
          <w:p w14:paraId="3C8D61E6" w14:textId="77777777" w:rsidR="00226BC2" w:rsidRPr="00DD47DF" w:rsidRDefault="00226BC2" w:rsidP="000435CB"/>
        </w:tc>
        <w:tc>
          <w:tcPr>
            <w:tcW w:w="265" w:type="pct"/>
            <w:shd w:val="clear" w:color="auto" w:fill="auto"/>
          </w:tcPr>
          <w:p w14:paraId="16F17DEA" w14:textId="77777777" w:rsidR="00226BC2" w:rsidRPr="00DD47DF" w:rsidRDefault="00226BC2" w:rsidP="000435CB"/>
        </w:tc>
        <w:tc>
          <w:tcPr>
            <w:tcW w:w="372" w:type="pct"/>
            <w:shd w:val="clear" w:color="auto" w:fill="auto"/>
          </w:tcPr>
          <w:p w14:paraId="497826D1" w14:textId="77777777" w:rsidR="00226BC2" w:rsidRPr="00DD47DF" w:rsidRDefault="00226BC2" w:rsidP="000435CB">
            <w:pPr>
              <w:pStyle w:val="Tabulka"/>
              <w:rPr>
                <w:rFonts w:cs="Calibri"/>
                <w:sz w:val="16"/>
                <w:szCs w:val="16"/>
              </w:rPr>
            </w:pPr>
            <w:r w:rsidRPr="00DD47DF">
              <w:rPr>
                <w:rFonts w:cs="Calibri"/>
                <w:sz w:val="16"/>
                <w:szCs w:val="16"/>
              </w:rPr>
              <w:t>(a)</w:t>
            </w:r>
          </w:p>
        </w:tc>
        <w:tc>
          <w:tcPr>
            <w:tcW w:w="317" w:type="pct"/>
            <w:shd w:val="clear" w:color="auto" w:fill="auto"/>
          </w:tcPr>
          <w:p w14:paraId="2175EB3B" w14:textId="77777777" w:rsidR="00226BC2" w:rsidRPr="00DD47DF" w:rsidRDefault="00226BC2" w:rsidP="000435CB">
            <w:pPr>
              <w:pStyle w:val="Tabulka"/>
              <w:rPr>
                <w:rFonts w:cs="Calibri"/>
                <w:sz w:val="16"/>
                <w:szCs w:val="16"/>
              </w:rPr>
            </w:pPr>
            <w:r w:rsidRPr="00DD47DF">
              <w:rPr>
                <w:rFonts w:cs="Calibri"/>
                <w:sz w:val="16"/>
                <w:szCs w:val="16"/>
              </w:rPr>
              <w:t>(b) = (c) + (d))</w:t>
            </w:r>
          </w:p>
        </w:tc>
        <w:tc>
          <w:tcPr>
            <w:tcW w:w="349" w:type="pct"/>
            <w:shd w:val="clear" w:color="auto" w:fill="auto"/>
          </w:tcPr>
          <w:p w14:paraId="43CDFEF7" w14:textId="77777777" w:rsidR="00226BC2" w:rsidRPr="00DD47DF" w:rsidRDefault="00226BC2" w:rsidP="000435CB">
            <w:pPr>
              <w:pStyle w:val="Tabulka"/>
              <w:rPr>
                <w:rFonts w:cs="Calibri"/>
                <w:sz w:val="16"/>
                <w:szCs w:val="16"/>
              </w:rPr>
            </w:pPr>
            <w:r w:rsidRPr="00DD47DF">
              <w:rPr>
                <w:rFonts w:cs="Calibri"/>
                <w:sz w:val="16"/>
                <w:szCs w:val="16"/>
              </w:rPr>
              <w:t>(c)</w:t>
            </w:r>
          </w:p>
        </w:tc>
        <w:tc>
          <w:tcPr>
            <w:tcW w:w="349" w:type="pct"/>
            <w:shd w:val="clear" w:color="auto" w:fill="auto"/>
          </w:tcPr>
          <w:p w14:paraId="50BB1CFA" w14:textId="77777777" w:rsidR="00226BC2" w:rsidRPr="00DD47DF" w:rsidRDefault="00226BC2" w:rsidP="000435CB">
            <w:pPr>
              <w:pStyle w:val="Tabulka"/>
              <w:rPr>
                <w:rFonts w:cs="Calibri"/>
                <w:sz w:val="16"/>
                <w:szCs w:val="16"/>
              </w:rPr>
            </w:pPr>
            <w:r w:rsidRPr="00DD47DF">
              <w:rPr>
                <w:rFonts w:cs="Calibri"/>
                <w:sz w:val="16"/>
                <w:szCs w:val="16"/>
              </w:rPr>
              <w:t>(d)</w:t>
            </w:r>
          </w:p>
        </w:tc>
        <w:tc>
          <w:tcPr>
            <w:tcW w:w="336" w:type="pct"/>
            <w:shd w:val="clear" w:color="auto" w:fill="auto"/>
          </w:tcPr>
          <w:p w14:paraId="35537518" w14:textId="77777777" w:rsidR="00226BC2" w:rsidRPr="00DD47DF" w:rsidRDefault="00226BC2" w:rsidP="000435CB">
            <w:pPr>
              <w:pStyle w:val="Tabulka"/>
              <w:rPr>
                <w:rFonts w:cs="Calibri"/>
                <w:sz w:val="16"/>
                <w:szCs w:val="16"/>
              </w:rPr>
            </w:pPr>
            <w:r w:rsidRPr="00DD47DF">
              <w:rPr>
                <w:rFonts w:cs="Calibri"/>
                <w:sz w:val="16"/>
                <w:szCs w:val="16"/>
              </w:rPr>
              <w:t>(e) = (a) + (b)</w:t>
            </w:r>
          </w:p>
        </w:tc>
        <w:tc>
          <w:tcPr>
            <w:tcW w:w="449" w:type="pct"/>
            <w:shd w:val="clear" w:color="auto" w:fill="auto"/>
          </w:tcPr>
          <w:p w14:paraId="5DBFDE20" w14:textId="77777777" w:rsidR="00226BC2" w:rsidRPr="00DD47DF" w:rsidRDefault="00226BC2" w:rsidP="000435CB">
            <w:pPr>
              <w:pStyle w:val="Tabulka"/>
              <w:rPr>
                <w:rFonts w:cs="Calibri"/>
                <w:sz w:val="16"/>
                <w:szCs w:val="16"/>
              </w:rPr>
            </w:pPr>
            <w:r w:rsidRPr="00DD47DF">
              <w:rPr>
                <w:rFonts w:cs="Calibri"/>
                <w:sz w:val="16"/>
                <w:szCs w:val="16"/>
              </w:rPr>
              <w:t xml:space="preserve">(f) = (a)/(e) </w:t>
            </w:r>
            <w:hyperlink r:id="rId47" w:anchor="E0079#E0079" w:history="1">
              <w:r w:rsidRPr="00DD47DF">
                <w:rPr>
                  <w:rFonts w:cs="Calibri"/>
                  <w:sz w:val="16"/>
                  <w:szCs w:val="16"/>
                  <w:u w:val="single"/>
                </w:rPr>
                <w:t>(2)</w:t>
              </w:r>
            </w:hyperlink>
          </w:p>
        </w:tc>
        <w:tc>
          <w:tcPr>
            <w:tcW w:w="280" w:type="pct"/>
            <w:shd w:val="clear" w:color="auto" w:fill="auto"/>
          </w:tcPr>
          <w:p w14:paraId="24B96B9C" w14:textId="77777777" w:rsidR="00226BC2" w:rsidRPr="00DD47DF" w:rsidRDefault="00226BC2" w:rsidP="000435CB">
            <w:pPr>
              <w:pStyle w:val="Tabulka"/>
              <w:rPr>
                <w:rFonts w:cs="Calibri"/>
                <w:sz w:val="16"/>
                <w:szCs w:val="16"/>
              </w:rPr>
            </w:pPr>
            <w:r w:rsidRPr="00DD47DF">
              <w:rPr>
                <w:rFonts w:cs="Calibri"/>
                <w:sz w:val="16"/>
                <w:szCs w:val="16"/>
              </w:rPr>
              <w:t>(g)</w:t>
            </w:r>
          </w:p>
        </w:tc>
        <w:tc>
          <w:tcPr>
            <w:tcW w:w="321" w:type="pct"/>
            <w:shd w:val="clear" w:color="auto" w:fill="auto"/>
          </w:tcPr>
          <w:p w14:paraId="78620E6B" w14:textId="77777777" w:rsidR="00226BC2" w:rsidRPr="00DD47DF" w:rsidRDefault="00226BC2" w:rsidP="000435CB">
            <w:pPr>
              <w:pStyle w:val="Tabulka"/>
              <w:rPr>
                <w:rFonts w:cs="Calibri"/>
                <w:sz w:val="16"/>
                <w:szCs w:val="16"/>
              </w:rPr>
            </w:pPr>
            <w:r w:rsidRPr="00DD47DF">
              <w:rPr>
                <w:rFonts w:cs="Calibri"/>
                <w:sz w:val="16"/>
                <w:szCs w:val="16"/>
              </w:rPr>
              <w:t>(h)=(a)-(j)</w:t>
            </w:r>
          </w:p>
        </w:tc>
        <w:tc>
          <w:tcPr>
            <w:tcW w:w="313" w:type="pct"/>
            <w:shd w:val="clear" w:color="auto" w:fill="auto"/>
          </w:tcPr>
          <w:p w14:paraId="64D01B66" w14:textId="77777777" w:rsidR="00226BC2" w:rsidRPr="00DD47DF" w:rsidRDefault="00226BC2" w:rsidP="000435CB">
            <w:pPr>
              <w:pStyle w:val="Tabulka"/>
              <w:rPr>
                <w:rFonts w:cs="Calibri"/>
                <w:sz w:val="16"/>
                <w:szCs w:val="16"/>
              </w:rPr>
            </w:pPr>
            <w:r w:rsidRPr="00DD47DF">
              <w:rPr>
                <w:rFonts w:cs="Calibri"/>
                <w:sz w:val="16"/>
                <w:szCs w:val="16"/>
              </w:rPr>
              <w:t>(i) = (b) – (k)</w:t>
            </w:r>
          </w:p>
        </w:tc>
        <w:tc>
          <w:tcPr>
            <w:tcW w:w="289" w:type="pct"/>
            <w:shd w:val="clear" w:color="auto" w:fill="auto"/>
          </w:tcPr>
          <w:p w14:paraId="1EB81410" w14:textId="77777777" w:rsidR="00226BC2" w:rsidRPr="00DD47DF" w:rsidRDefault="00226BC2" w:rsidP="000435CB">
            <w:pPr>
              <w:pStyle w:val="Tabulka"/>
              <w:rPr>
                <w:rFonts w:cs="Calibri"/>
                <w:sz w:val="16"/>
                <w:szCs w:val="16"/>
              </w:rPr>
            </w:pPr>
            <w:r w:rsidRPr="00DD47DF">
              <w:rPr>
                <w:rFonts w:cs="Calibri"/>
                <w:sz w:val="16"/>
                <w:szCs w:val="16"/>
              </w:rPr>
              <w:t>(j)</w:t>
            </w:r>
          </w:p>
        </w:tc>
        <w:tc>
          <w:tcPr>
            <w:tcW w:w="322" w:type="pct"/>
            <w:shd w:val="clear" w:color="auto" w:fill="auto"/>
          </w:tcPr>
          <w:p w14:paraId="16E674E5" w14:textId="77777777" w:rsidR="00226BC2" w:rsidRPr="00DD47DF" w:rsidRDefault="00226BC2" w:rsidP="000435CB">
            <w:pPr>
              <w:pStyle w:val="Tabulka"/>
              <w:rPr>
                <w:rFonts w:cs="Calibri"/>
                <w:sz w:val="16"/>
                <w:szCs w:val="16"/>
              </w:rPr>
            </w:pPr>
            <w:r w:rsidRPr="00DD47DF">
              <w:rPr>
                <w:rFonts w:cs="Calibri"/>
                <w:sz w:val="16"/>
                <w:szCs w:val="16"/>
              </w:rPr>
              <w:t>(k)= (b) * ((j)/(a))</w:t>
            </w:r>
          </w:p>
        </w:tc>
        <w:tc>
          <w:tcPr>
            <w:tcW w:w="333" w:type="pct"/>
            <w:shd w:val="clear" w:color="auto" w:fill="auto"/>
          </w:tcPr>
          <w:p w14:paraId="221F28D2" w14:textId="77777777" w:rsidR="00226BC2" w:rsidRPr="00DD47DF" w:rsidRDefault="00226BC2" w:rsidP="000435CB">
            <w:pPr>
              <w:pStyle w:val="Tabulka"/>
              <w:rPr>
                <w:rFonts w:cs="Calibri"/>
                <w:sz w:val="16"/>
                <w:szCs w:val="16"/>
              </w:rPr>
            </w:pPr>
            <w:r w:rsidRPr="00DD47DF">
              <w:rPr>
                <w:rFonts w:cs="Calibri"/>
                <w:sz w:val="16"/>
                <w:szCs w:val="16"/>
              </w:rPr>
              <w:t>(l) =(j)/(a) *100</w:t>
            </w:r>
          </w:p>
        </w:tc>
      </w:tr>
      <w:tr w:rsidR="00CE6DD0" w:rsidRPr="00DD47DF" w14:paraId="67479B3A" w14:textId="77777777" w:rsidTr="00466CFC">
        <w:tc>
          <w:tcPr>
            <w:tcW w:w="249" w:type="pct"/>
            <w:shd w:val="clear" w:color="auto" w:fill="auto"/>
          </w:tcPr>
          <w:p w14:paraId="2C738DEB" w14:textId="77777777" w:rsidR="00CE6DD0" w:rsidRPr="00DD47DF" w:rsidRDefault="00CE6DD0" w:rsidP="000435CB">
            <w:pPr>
              <w:pStyle w:val="Tabulka"/>
              <w:rPr>
                <w:rFonts w:cs="Calibri"/>
                <w:sz w:val="16"/>
                <w:szCs w:val="16"/>
              </w:rPr>
            </w:pPr>
            <w:r w:rsidRPr="00DD47DF">
              <w:rPr>
                <w:rFonts w:cs="Calibri"/>
                <w:iCs/>
                <w:sz w:val="16"/>
                <w:szCs w:val="16"/>
              </w:rPr>
              <w:t>Prioritní osa 1</w:t>
            </w:r>
          </w:p>
          <w:p w14:paraId="68183F58" w14:textId="77777777" w:rsidR="00CE6DD0" w:rsidRPr="00DD47DF" w:rsidRDefault="00CE6DD0" w:rsidP="000435CB">
            <w:pPr>
              <w:pStyle w:val="Tabulka"/>
              <w:rPr>
                <w:rFonts w:cs="Calibri"/>
                <w:sz w:val="16"/>
                <w:szCs w:val="16"/>
              </w:rPr>
            </w:pPr>
          </w:p>
        </w:tc>
        <w:tc>
          <w:tcPr>
            <w:tcW w:w="181" w:type="pct"/>
            <w:shd w:val="clear" w:color="auto" w:fill="auto"/>
          </w:tcPr>
          <w:p w14:paraId="0542FE0C"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auto"/>
          </w:tcPr>
          <w:p w14:paraId="7618B520"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2CE97141"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12AAA25B" w14:textId="77777777" w:rsidR="00CE6DD0" w:rsidRPr="00DD47DF" w:rsidRDefault="00CE6DD0" w:rsidP="000435CB">
            <w:pPr>
              <w:pStyle w:val="Tabulka"/>
              <w:jc w:val="right"/>
              <w:rPr>
                <w:rFonts w:cs="Calibri"/>
                <w:sz w:val="16"/>
              </w:rPr>
            </w:pPr>
            <w:r w:rsidRPr="00DD47DF">
              <w:rPr>
                <w:rFonts w:cs="Calibri"/>
                <w:sz w:val="16"/>
              </w:rPr>
              <w:t>1 352 544 411</w:t>
            </w:r>
          </w:p>
        </w:tc>
        <w:tc>
          <w:tcPr>
            <w:tcW w:w="317" w:type="pct"/>
            <w:shd w:val="clear" w:color="auto" w:fill="auto"/>
          </w:tcPr>
          <w:p w14:paraId="37234B6F" w14:textId="742CDFDD" w:rsidR="00CE6DD0" w:rsidRPr="00DD47DF" w:rsidRDefault="00DA382E" w:rsidP="000435CB">
            <w:pPr>
              <w:pStyle w:val="Tabulka"/>
              <w:jc w:val="right"/>
              <w:rPr>
                <w:rFonts w:cs="Calibri"/>
                <w:sz w:val="16"/>
              </w:rPr>
            </w:pPr>
            <w:r w:rsidRPr="00700E39">
              <w:rPr>
                <w:rFonts w:cs="Calibri"/>
                <w:sz w:val="16"/>
              </w:rPr>
              <w:t>1 429 754 496</w:t>
            </w:r>
          </w:p>
        </w:tc>
        <w:tc>
          <w:tcPr>
            <w:tcW w:w="349" w:type="pct"/>
            <w:shd w:val="clear" w:color="auto" w:fill="auto"/>
          </w:tcPr>
          <w:p w14:paraId="6011BB03" w14:textId="78950AA2" w:rsidR="00CE6DD0" w:rsidRPr="00DD47DF" w:rsidRDefault="00DA382E" w:rsidP="000435CB">
            <w:pPr>
              <w:jc w:val="right"/>
              <w:rPr>
                <w:rFonts w:cs="Calibri"/>
                <w:sz w:val="16"/>
                <w:szCs w:val="22"/>
              </w:rPr>
            </w:pPr>
            <w:r w:rsidRPr="00700E39">
              <w:rPr>
                <w:rFonts w:cs="Calibri"/>
                <w:sz w:val="16"/>
                <w:szCs w:val="22"/>
              </w:rPr>
              <w:t>80 554 068</w:t>
            </w:r>
          </w:p>
        </w:tc>
        <w:tc>
          <w:tcPr>
            <w:tcW w:w="349" w:type="pct"/>
            <w:shd w:val="clear" w:color="auto" w:fill="auto"/>
          </w:tcPr>
          <w:p w14:paraId="23404C31" w14:textId="08C5D1AE" w:rsidR="00CE6DD0" w:rsidRPr="00DD47DF" w:rsidRDefault="00DA382E" w:rsidP="000435CB">
            <w:pPr>
              <w:jc w:val="right"/>
              <w:rPr>
                <w:rFonts w:cs="Calibri"/>
                <w:sz w:val="16"/>
                <w:szCs w:val="22"/>
              </w:rPr>
            </w:pPr>
            <w:r w:rsidRPr="00700E39">
              <w:rPr>
                <w:rFonts w:cs="Calibri"/>
                <w:sz w:val="16"/>
                <w:szCs w:val="22"/>
              </w:rPr>
              <w:t>1 349 200 428</w:t>
            </w:r>
          </w:p>
        </w:tc>
        <w:tc>
          <w:tcPr>
            <w:tcW w:w="336" w:type="pct"/>
            <w:shd w:val="clear" w:color="auto" w:fill="auto"/>
          </w:tcPr>
          <w:p w14:paraId="74B7AF11" w14:textId="17EBB0DA" w:rsidR="00CE6DD0" w:rsidRPr="00DD47DF" w:rsidRDefault="00DA382E" w:rsidP="000435CB">
            <w:pPr>
              <w:jc w:val="right"/>
              <w:rPr>
                <w:rFonts w:cs="Calibri"/>
                <w:sz w:val="16"/>
                <w:szCs w:val="22"/>
              </w:rPr>
            </w:pPr>
            <w:r w:rsidRPr="00700E39">
              <w:rPr>
                <w:rFonts w:cs="Calibri"/>
                <w:sz w:val="16"/>
                <w:szCs w:val="22"/>
              </w:rPr>
              <w:t>2 782 298 907</w:t>
            </w:r>
          </w:p>
        </w:tc>
        <w:tc>
          <w:tcPr>
            <w:tcW w:w="449" w:type="pct"/>
            <w:shd w:val="clear" w:color="auto" w:fill="auto"/>
          </w:tcPr>
          <w:p w14:paraId="45C41304" w14:textId="47EC6380" w:rsidR="00CE6DD0" w:rsidRPr="00DD47DF" w:rsidRDefault="00DA382E" w:rsidP="000435CB">
            <w:pPr>
              <w:jc w:val="right"/>
              <w:rPr>
                <w:rFonts w:cs="Calibri"/>
                <w:sz w:val="16"/>
                <w:szCs w:val="22"/>
              </w:rPr>
            </w:pPr>
            <w:r w:rsidRPr="00700E39">
              <w:rPr>
                <w:rFonts w:cs="Calibri"/>
                <w:sz w:val="16"/>
                <w:szCs w:val="22"/>
              </w:rPr>
              <w:t>48,61</w:t>
            </w:r>
            <w:r w:rsidR="00CE6DD0" w:rsidRPr="00DD47DF">
              <w:rPr>
                <w:rFonts w:cs="Calibri"/>
                <w:sz w:val="16"/>
                <w:szCs w:val="22"/>
              </w:rPr>
              <w:t>%</w:t>
            </w:r>
          </w:p>
        </w:tc>
        <w:tc>
          <w:tcPr>
            <w:tcW w:w="280" w:type="pct"/>
            <w:shd w:val="clear" w:color="auto" w:fill="auto"/>
          </w:tcPr>
          <w:p w14:paraId="0E1A5367" w14:textId="77777777" w:rsidR="00CE6DD0" w:rsidRPr="00DD47DF" w:rsidRDefault="00CE6DD0" w:rsidP="000435CB">
            <w:pPr>
              <w:pStyle w:val="Tabulka"/>
              <w:jc w:val="right"/>
              <w:rPr>
                <w:rFonts w:cs="Calibri"/>
                <w:sz w:val="16"/>
              </w:rPr>
            </w:pPr>
          </w:p>
        </w:tc>
        <w:tc>
          <w:tcPr>
            <w:tcW w:w="321" w:type="pct"/>
            <w:shd w:val="clear" w:color="auto" w:fill="auto"/>
          </w:tcPr>
          <w:p w14:paraId="22FE4CD1" w14:textId="77777777" w:rsidR="00CE6DD0" w:rsidRPr="00DD47DF" w:rsidRDefault="00CE6DD0" w:rsidP="000435CB">
            <w:pPr>
              <w:jc w:val="right"/>
              <w:rPr>
                <w:rFonts w:cs="Calibri"/>
                <w:sz w:val="16"/>
                <w:szCs w:val="22"/>
              </w:rPr>
            </w:pPr>
            <w:r w:rsidRPr="00DD47DF">
              <w:rPr>
                <w:rFonts w:cs="Calibri"/>
                <w:sz w:val="16"/>
                <w:szCs w:val="22"/>
              </w:rPr>
              <w:t>1 268 544 411</w:t>
            </w:r>
          </w:p>
        </w:tc>
        <w:tc>
          <w:tcPr>
            <w:tcW w:w="313" w:type="pct"/>
            <w:shd w:val="clear" w:color="auto" w:fill="auto"/>
          </w:tcPr>
          <w:p w14:paraId="10D5C2D3" w14:textId="52B20A34" w:rsidR="00CE6DD0" w:rsidRPr="00DD47DF" w:rsidRDefault="00DA382E" w:rsidP="000435CB">
            <w:pPr>
              <w:jc w:val="right"/>
              <w:rPr>
                <w:rFonts w:cs="Calibri"/>
                <w:sz w:val="16"/>
                <w:szCs w:val="22"/>
              </w:rPr>
            </w:pPr>
            <w:r w:rsidRPr="00700E39">
              <w:rPr>
                <w:rFonts w:cs="Calibri"/>
                <w:sz w:val="16"/>
                <w:szCs w:val="22"/>
              </w:rPr>
              <w:t>1 340 959 351</w:t>
            </w:r>
          </w:p>
        </w:tc>
        <w:tc>
          <w:tcPr>
            <w:tcW w:w="289" w:type="pct"/>
            <w:shd w:val="clear" w:color="auto" w:fill="auto"/>
          </w:tcPr>
          <w:p w14:paraId="739FC468" w14:textId="77777777" w:rsidR="00CE6DD0" w:rsidRPr="00DD47DF" w:rsidRDefault="00CE6DD0" w:rsidP="000435CB">
            <w:pPr>
              <w:jc w:val="right"/>
              <w:rPr>
                <w:rFonts w:cs="Calibri"/>
                <w:sz w:val="16"/>
                <w:szCs w:val="22"/>
              </w:rPr>
            </w:pPr>
            <w:r w:rsidRPr="00DD47DF">
              <w:rPr>
                <w:rFonts w:cs="Calibri"/>
                <w:sz w:val="16"/>
                <w:szCs w:val="22"/>
              </w:rPr>
              <w:t>84 000 000</w:t>
            </w:r>
          </w:p>
        </w:tc>
        <w:tc>
          <w:tcPr>
            <w:tcW w:w="322" w:type="pct"/>
            <w:shd w:val="clear" w:color="auto" w:fill="auto"/>
          </w:tcPr>
          <w:p w14:paraId="533ECCFB" w14:textId="133E4B87" w:rsidR="00CE6DD0" w:rsidRPr="00DD47DF" w:rsidRDefault="00DA382E" w:rsidP="000435CB">
            <w:pPr>
              <w:jc w:val="right"/>
              <w:rPr>
                <w:rFonts w:cs="Calibri"/>
                <w:sz w:val="16"/>
                <w:szCs w:val="22"/>
              </w:rPr>
            </w:pPr>
            <w:r w:rsidRPr="00700E39">
              <w:rPr>
                <w:rFonts w:cs="Calibri"/>
                <w:sz w:val="16"/>
                <w:szCs w:val="22"/>
              </w:rPr>
              <w:t>88 795 145</w:t>
            </w:r>
          </w:p>
        </w:tc>
        <w:tc>
          <w:tcPr>
            <w:tcW w:w="333" w:type="pct"/>
            <w:shd w:val="clear" w:color="auto" w:fill="auto"/>
          </w:tcPr>
          <w:p w14:paraId="2B4A951F" w14:textId="77777777" w:rsidR="00CE6DD0" w:rsidRPr="00DD47DF" w:rsidRDefault="00CE6DD0" w:rsidP="000435CB">
            <w:pPr>
              <w:pStyle w:val="Tabulka"/>
              <w:jc w:val="right"/>
              <w:rPr>
                <w:rFonts w:cs="Calibri"/>
                <w:sz w:val="16"/>
              </w:rPr>
            </w:pPr>
            <w:r w:rsidRPr="00DD47DF">
              <w:rPr>
                <w:rFonts w:cs="Calibri"/>
                <w:sz w:val="16"/>
              </w:rPr>
              <w:t>6,21</w:t>
            </w:r>
          </w:p>
        </w:tc>
      </w:tr>
      <w:tr w:rsidR="00CE6DD0" w:rsidRPr="00DD47DF" w14:paraId="45218197" w14:textId="77777777" w:rsidTr="00466CFC">
        <w:tc>
          <w:tcPr>
            <w:tcW w:w="249" w:type="pct"/>
            <w:shd w:val="clear" w:color="auto" w:fill="auto"/>
          </w:tcPr>
          <w:p w14:paraId="411AFF86" w14:textId="77777777" w:rsidR="00CE6DD0" w:rsidRPr="00DD47DF" w:rsidRDefault="00CE6DD0" w:rsidP="000435CB">
            <w:pPr>
              <w:pStyle w:val="Tabulka"/>
              <w:rPr>
                <w:rFonts w:cs="Calibri"/>
                <w:i/>
                <w:iCs/>
                <w:sz w:val="16"/>
                <w:szCs w:val="16"/>
              </w:rPr>
            </w:pPr>
            <w:r w:rsidRPr="00DD47DF">
              <w:rPr>
                <w:rFonts w:cs="Calibri"/>
                <w:bCs/>
                <w:sz w:val="16"/>
                <w:szCs w:val="16"/>
              </w:rPr>
              <w:t>Prioritní osa 2</w:t>
            </w:r>
          </w:p>
        </w:tc>
        <w:tc>
          <w:tcPr>
            <w:tcW w:w="181" w:type="pct"/>
            <w:shd w:val="clear" w:color="auto" w:fill="auto"/>
          </w:tcPr>
          <w:p w14:paraId="43C99065"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auto"/>
          </w:tcPr>
          <w:p w14:paraId="26B54EEE"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14A1CAF1"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1DF34829" w14:textId="77777777" w:rsidR="00CE6DD0" w:rsidRPr="00DD47DF" w:rsidRDefault="00CE6DD0" w:rsidP="000435CB">
            <w:pPr>
              <w:pStyle w:val="Tabulka"/>
              <w:jc w:val="right"/>
              <w:rPr>
                <w:rFonts w:cs="Calibri"/>
                <w:sz w:val="16"/>
              </w:rPr>
            </w:pPr>
            <w:r w:rsidRPr="00DD47DF">
              <w:rPr>
                <w:rFonts w:cs="Calibri"/>
                <w:sz w:val="16"/>
              </w:rPr>
              <w:t>892 130 143</w:t>
            </w:r>
          </w:p>
        </w:tc>
        <w:tc>
          <w:tcPr>
            <w:tcW w:w="317" w:type="pct"/>
            <w:shd w:val="clear" w:color="auto" w:fill="auto"/>
          </w:tcPr>
          <w:p w14:paraId="192400BF" w14:textId="57E43D54" w:rsidR="00CE6DD0" w:rsidRPr="00DD47DF" w:rsidRDefault="00DA382E" w:rsidP="000435CB">
            <w:pPr>
              <w:pStyle w:val="Tabulka"/>
              <w:jc w:val="right"/>
              <w:rPr>
                <w:rFonts w:cs="Calibri"/>
                <w:sz w:val="16"/>
              </w:rPr>
            </w:pPr>
            <w:r w:rsidRPr="00700E39">
              <w:rPr>
                <w:rFonts w:cs="Calibri"/>
                <w:sz w:val="16"/>
              </w:rPr>
              <w:t>1 000 900 721</w:t>
            </w:r>
          </w:p>
        </w:tc>
        <w:tc>
          <w:tcPr>
            <w:tcW w:w="349" w:type="pct"/>
            <w:shd w:val="clear" w:color="auto" w:fill="auto"/>
          </w:tcPr>
          <w:p w14:paraId="153D6D8A" w14:textId="77777777" w:rsidR="00CE6DD0" w:rsidRPr="00DD47DF" w:rsidRDefault="00CE6DD0" w:rsidP="000435CB">
            <w:pPr>
              <w:pStyle w:val="Tabulka"/>
              <w:jc w:val="right"/>
              <w:rPr>
                <w:rFonts w:cs="Calibri"/>
                <w:sz w:val="16"/>
              </w:rPr>
            </w:pPr>
            <w:r w:rsidRPr="00DD47DF">
              <w:rPr>
                <w:rFonts w:cs="Calibri"/>
                <w:sz w:val="16"/>
              </w:rPr>
              <w:t>9 909 680</w:t>
            </w:r>
          </w:p>
        </w:tc>
        <w:tc>
          <w:tcPr>
            <w:tcW w:w="349" w:type="pct"/>
            <w:shd w:val="clear" w:color="auto" w:fill="auto"/>
          </w:tcPr>
          <w:p w14:paraId="70A00BEA" w14:textId="6A119DB3" w:rsidR="00CE6DD0" w:rsidRPr="00DD47DF" w:rsidRDefault="00DA382E" w:rsidP="000435CB">
            <w:pPr>
              <w:pStyle w:val="Tabulka"/>
              <w:jc w:val="right"/>
              <w:rPr>
                <w:rFonts w:cs="Calibri"/>
                <w:sz w:val="16"/>
              </w:rPr>
            </w:pPr>
            <w:r w:rsidRPr="00700E39">
              <w:rPr>
                <w:rFonts w:cs="Calibri"/>
                <w:sz w:val="16"/>
              </w:rPr>
              <w:t>990 991 041</w:t>
            </w:r>
          </w:p>
        </w:tc>
        <w:tc>
          <w:tcPr>
            <w:tcW w:w="336" w:type="pct"/>
            <w:shd w:val="clear" w:color="auto" w:fill="auto"/>
          </w:tcPr>
          <w:p w14:paraId="46F60678" w14:textId="40DBC23B" w:rsidR="00CE6DD0" w:rsidRPr="00DD47DF" w:rsidRDefault="00DA382E" w:rsidP="000435CB">
            <w:pPr>
              <w:pStyle w:val="Tabulka"/>
              <w:jc w:val="right"/>
              <w:rPr>
                <w:rFonts w:cs="Calibri"/>
                <w:sz w:val="16"/>
              </w:rPr>
            </w:pPr>
            <w:r w:rsidRPr="00700E39">
              <w:rPr>
                <w:rFonts w:cs="Calibri"/>
                <w:sz w:val="16"/>
              </w:rPr>
              <w:t>1 893 030 864</w:t>
            </w:r>
          </w:p>
        </w:tc>
        <w:tc>
          <w:tcPr>
            <w:tcW w:w="449" w:type="pct"/>
            <w:shd w:val="clear" w:color="auto" w:fill="auto"/>
          </w:tcPr>
          <w:p w14:paraId="67630A2D" w14:textId="49B721FB" w:rsidR="00CE6DD0" w:rsidRPr="00DD47DF" w:rsidRDefault="00DA382E" w:rsidP="000435CB">
            <w:pPr>
              <w:pStyle w:val="Tabulka"/>
              <w:jc w:val="right"/>
              <w:rPr>
                <w:rFonts w:cs="Calibri"/>
                <w:sz w:val="16"/>
              </w:rPr>
            </w:pPr>
            <w:r w:rsidRPr="00700E39">
              <w:rPr>
                <w:rFonts w:cs="Calibri"/>
                <w:sz w:val="16"/>
              </w:rPr>
              <w:t>47,13</w:t>
            </w:r>
            <w:r w:rsidR="00CE6DD0" w:rsidRPr="00DD47DF">
              <w:rPr>
                <w:rFonts w:cs="Calibri"/>
                <w:sz w:val="16"/>
              </w:rPr>
              <w:t>%</w:t>
            </w:r>
          </w:p>
        </w:tc>
        <w:tc>
          <w:tcPr>
            <w:tcW w:w="280" w:type="pct"/>
            <w:shd w:val="clear" w:color="auto" w:fill="auto"/>
          </w:tcPr>
          <w:p w14:paraId="5D8A3F5B" w14:textId="77777777" w:rsidR="00CE6DD0" w:rsidRPr="00DD47DF" w:rsidRDefault="00CE6DD0" w:rsidP="000435CB">
            <w:pPr>
              <w:pStyle w:val="Tabulka"/>
              <w:jc w:val="right"/>
              <w:rPr>
                <w:rFonts w:cs="Calibri"/>
                <w:sz w:val="16"/>
              </w:rPr>
            </w:pPr>
          </w:p>
        </w:tc>
        <w:tc>
          <w:tcPr>
            <w:tcW w:w="321" w:type="pct"/>
            <w:shd w:val="clear" w:color="auto" w:fill="auto"/>
          </w:tcPr>
          <w:p w14:paraId="1BAD6C30" w14:textId="77777777" w:rsidR="00CE6DD0" w:rsidRPr="00DD47DF" w:rsidRDefault="00CE6DD0" w:rsidP="00CE2FC5">
            <w:pPr>
              <w:jc w:val="right"/>
              <w:rPr>
                <w:rFonts w:cs="Calibri"/>
                <w:sz w:val="16"/>
                <w:szCs w:val="22"/>
              </w:rPr>
            </w:pPr>
            <w:r w:rsidRPr="00DD47DF">
              <w:rPr>
                <w:rFonts w:cs="Calibri"/>
                <w:sz w:val="16"/>
                <w:szCs w:val="22"/>
              </w:rPr>
              <w:t>836 266 38</w:t>
            </w:r>
            <w:r w:rsidR="00CE2FC5" w:rsidRPr="00DD47DF">
              <w:rPr>
                <w:rFonts w:cs="Calibri"/>
                <w:sz w:val="16"/>
                <w:szCs w:val="22"/>
              </w:rPr>
              <w:t>6</w:t>
            </w:r>
          </w:p>
        </w:tc>
        <w:tc>
          <w:tcPr>
            <w:tcW w:w="313" w:type="pct"/>
            <w:shd w:val="clear" w:color="auto" w:fill="auto"/>
          </w:tcPr>
          <w:p w14:paraId="671C3704" w14:textId="119F7E24" w:rsidR="00CE6DD0" w:rsidRPr="00DD47DF" w:rsidRDefault="00DA382E" w:rsidP="00CE6DD0">
            <w:pPr>
              <w:jc w:val="right"/>
              <w:rPr>
                <w:rFonts w:cs="Calibri"/>
                <w:sz w:val="16"/>
                <w:szCs w:val="22"/>
              </w:rPr>
            </w:pPr>
            <w:r w:rsidRPr="00700E39">
              <w:rPr>
                <w:rFonts w:cs="Calibri"/>
                <w:sz w:val="16"/>
                <w:szCs w:val="22"/>
              </w:rPr>
              <w:t>938 225 925</w:t>
            </w:r>
          </w:p>
        </w:tc>
        <w:tc>
          <w:tcPr>
            <w:tcW w:w="289" w:type="pct"/>
            <w:shd w:val="clear" w:color="auto" w:fill="auto"/>
          </w:tcPr>
          <w:p w14:paraId="40777C87" w14:textId="77777777" w:rsidR="00CE6DD0" w:rsidRPr="00DD47DF" w:rsidRDefault="00CE6DD0" w:rsidP="00CE2FC5">
            <w:pPr>
              <w:jc w:val="right"/>
              <w:rPr>
                <w:rFonts w:cs="Calibri"/>
                <w:sz w:val="16"/>
                <w:szCs w:val="22"/>
              </w:rPr>
            </w:pPr>
            <w:r w:rsidRPr="00DD47DF">
              <w:rPr>
                <w:rFonts w:cs="Calibri"/>
                <w:sz w:val="16"/>
                <w:szCs w:val="22"/>
              </w:rPr>
              <w:t>55 863 75</w:t>
            </w:r>
            <w:r w:rsidR="00CE2FC5" w:rsidRPr="00DD47DF">
              <w:rPr>
                <w:rFonts w:cs="Calibri"/>
                <w:sz w:val="16"/>
                <w:szCs w:val="22"/>
              </w:rPr>
              <w:t>7</w:t>
            </w:r>
          </w:p>
        </w:tc>
        <w:tc>
          <w:tcPr>
            <w:tcW w:w="322" w:type="pct"/>
            <w:shd w:val="clear" w:color="auto" w:fill="auto"/>
          </w:tcPr>
          <w:p w14:paraId="42F12C59" w14:textId="2EB6EA65" w:rsidR="00CE6DD0" w:rsidRPr="00DD47DF" w:rsidRDefault="00DA382E" w:rsidP="00CE6DD0">
            <w:pPr>
              <w:jc w:val="right"/>
              <w:rPr>
                <w:rFonts w:cs="Calibri"/>
                <w:sz w:val="16"/>
                <w:szCs w:val="22"/>
              </w:rPr>
            </w:pPr>
            <w:r w:rsidRPr="00700E39">
              <w:rPr>
                <w:rFonts w:cs="Calibri"/>
                <w:sz w:val="16"/>
                <w:szCs w:val="22"/>
              </w:rPr>
              <w:t>62 674 796</w:t>
            </w:r>
          </w:p>
        </w:tc>
        <w:tc>
          <w:tcPr>
            <w:tcW w:w="333" w:type="pct"/>
            <w:shd w:val="clear" w:color="auto" w:fill="auto"/>
          </w:tcPr>
          <w:p w14:paraId="393F1BFD" w14:textId="77777777" w:rsidR="00CE6DD0" w:rsidRPr="00DD47DF" w:rsidRDefault="00CE6DD0" w:rsidP="00CE6DD0">
            <w:pPr>
              <w:jc w:val="right"/>
              <w:rPr>
                <w:rFonts w:cs="Calibri"/>
                <w:sz w:val="16"/>
                <w:szCs w:val="22"/>
              </w:rPr>
            </w:pPr>
            <w:r w:rsidRPr="00DD47DF">
              <w:rPr>
                <w:rFonts w:cs="Calibri"/>
                <w:sz w:val="16"/>
                <w:szCs w:val="22"/>
              </w:rPr>
              <w:t>6,26</w:t>
            </w:r>
          </w:p>
        </w:tc>
      </w:tr>
      <w:tr w:rsidR="00CE6DD0" w:rsidRPr="00DD47DF" w14:paraId="68422CEC" w14:textId="77777777" w:rsidTr="00466CFC">
        <w:tc>
          <w:tcPr>
            <w:tcW w:w="249" w:type="pct"/>
            <w:shd w:val="clear" w:color="auto" w:fill="auto"/>
          </w:tcPr>
          <w:p w14:paraId="31755F0A" w14:textId="77777777" w:rsidR="00CE6DD0" w:rsidRPr="00DD47DF" w:rsidRDefault="00CE6DD0" w:rsidP="000435CB">
            <w:pPr>
              <w:pStyle w:val="Tabulka"/>
              <w:rPr>
                <w:rFonts w:cs="Calibri"/>
                <w:i/>
                <w:iCs/>
                <w:sz w:val="16"/>
                <w:szCs w:val="16"/>
              </w:rPr>
            </w:pPr>
            <w:r w:rsidRPr="00DD47DF">
              <w:rPr>
                <w:rFonts w:cs="Calibri"/>
                <w:bCs/>
                <w:sz w:val="16"/>
                <w:szCs w:val="16"/>
              </w:rPr>
              <w:t>Prioritní osa 3</w:t>
            </w:r>
          </w:p>
        </w:tc>
        <w:tc>
          <w:tcPr>
            <w:tcW w:w="181" w:type="pct"/>
            <w:shd w:val="clear" w:color="auto" w:fill="auto"/>
          </w:tcPr>
          <w:p w14:paraId="7ECBCCA9"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auto"/>
          </w:tcPr>
          <w:p w14:paraId="6B775AEA"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5CE7B605"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403ED720" w14:textId="77777777" w:rsidR="00CE6DD0" w:rsidRPr="00DD47DF" w:rsidRDefault="00CE6DD0" w:rsidP="000435CB">
            <w:pPr>
              <w:pStyle w:val="Tabulka"/>
              <w:jc w:val="right"/>
              <w:rPr>
                <w:rFonts w:cs="Calibri"/>
                <w:sz w:val="16"/>
              </w:rPr>
            </w:pPr>
            <w:r w:rsidRPr="00DD47DF">
              <w:rPr>
                <w:rFonts w:cs="Calibri"/>
                <w:sz w:val="16"/>
              </w:rPr>
              <w:t>1 217 129 658</w:t>
            </w:r>
          </w:p>
        </w:tc>
        <w:tc>
          <w:tcPr>
            <w:tcW w:w="317" w:type="pct"/>
            <w:shd w:val="clear" w:color="auto" w:fill="auto"/>
          </w:tcPr>
          <w:p w14:paraId="45CFC363" w14:textId="3A4AEAD3" w:rsidR="00CE6DD0" w:rsidRPr="00DD47DF" w:rsidRDefault="00DA382E" w:rsidP="000435CB">
            <w:pPr>
              <w:pStyle w:val="Tabulka"/>
              <w:jc w:val="right"/>
              <w:rPr>
                <w:rFonts w:cs="Calibri"/>
                <w:sz w:val="16"/>
              </w:rPr>
            </w:pPr>
            <w:r w:rsidRPr="00700E39">
              <w:rPr>
                <w:rFonts w:cs="Calibri"/>
                <w:sz w:val="16"/>
              </w:rPr>
              <w:t>1 783 675 597</w:t>
            </w:r>
          </w:p>
        </w:tc>
        <w:tc>
          <w:tcPr>
            <w:tcW w:w="349" w:type="pct"/>
            <w:shd w:val="clear" w:color="auto" w:fill="auto"/>
          </w:tcPr>
          <w:p w14:paraId="4E8781DC" w14:textId="77777777" w:rsidR="00CE6DD0" w:rsidRPr="00DD47DF" w:rsidRDefault="00501978" w:rsidP="000435CB">
            <w:pPr>
              <w:pStyle w:val="Tabulka"/>
              <w:jc w:val="right"/>
              <w:rPr>
                <w:rFonts w:cs="Calibri"/>
                <w:sz w:val="16"/>
              </w:rPr>
            </w:pPr>
            <w:r w:rsidRPr="00DD47DF">
              <w:rPr>
                <w:rFonts w:cs="Calibri"/>
                <w:sz w:val="16"/>
              </w:rPr>
              <w:t>0</w:t>
            </w:r>
          </w:p>
        </w:tc>
        <w:tc>
          <w:tcPr>
            <w:tcW w:w="349" w:type="pct"/>
            <w:shd w:val="clear" w:color="auto" w:fill="auto"/>
          </w:tcPr>
          <w:p w14:paraId="3F8DA70B" w14:textId="671F7B17" w:rsidR="00CE6DD0" w:rsidRPr="00DD47DF" w:rsidRDefault="00DA382E" w:rsidP="000435CB">
            <w:pPr>
              <w:pStyle w:val="Tabulka"/>
              <w:jc w:val="right"/>
              <w:rPr>
                <w:rFonts w:cs="Calibri"/>
                <w:sz w:val="16"/>
              </w:rPr>
            </w:pPr>
            <w:r w:rsidRPr="00700E39">
              <w:rPr>
                <w:rFonts w:cs="Calibri"/>
                <w:sz w:val="16"/>
              </w:rPr>
              <w:t>1 783 675 597</w:t>
            </w:r>
          </w:p>
        </w:tc>
        <w:tc>
          <w:tcPr>
            <w:tcW w:w="336" w:type="pct"/>
            <w:shd w:val="clear" w:color="auto" w:fill="auto"/>
          </w:tcPr>
          <w:p w14:paraId="384E2DD5" w14:textId="57300EED" w:rsidR="00CE6DD0" w:rsidRPr="00DD47DF" w:rsidRDefault="00DA382E" w:rsidP="000435CB">
            <w:pPr>
              <w:pStyle w:val="Tabulka"/>
              <w:jc w:val="right"/>
              <w:rPr>
                <w:rFonts w:cs="Calibri"/>
                <w:sz w:val="16"/>
              </w:rPr>
            </w:pPr>
            <w:r w:rsidRPr="00700E39">
              <w:rPr>
                <w:rFonts w:cs="Calibri"/>
                <w:sz w:val="16"/>
              </w:rPr>
              <w:t>3 000 805 255</w:t>
            </w:r>
          </w:p>
        </w:tc>
        <w:tc>
          <w:tcPr>
            <w:tcW w:w="449" w:type="pct"/>
            <w:shd w:val="clear" w:color="auto" w:fill="auto"/>
          </w:tcPr>
          <w:p w14:paraId="2A41203E" w14:textId="69B991AE" w:rsidR="00CE6DD0" w:rsidRPr="00DD47DF" w:rsidRDefault="00DA382E" w:rsidP="000435CB">
            <w:pPr>
              <w:pStyle w:val="Tabulka"/>
              <w:jc w:val="right"/>
              <w:rPr>
                <w:rFonts w:cs="Calibri"/>
                <w:sz w:val="16"/>
              </w:rPr>
            </w:pPr>
            <w:r w:rsidRPr="00700E39">
              <w:rPr>
                <w:rFonts w:cs="Calibri"/>
                <w:sz w:val="16"/>
              </w:rPr>
              <w:t>40,56</w:t>
            </w:r>
            <w:r w:rsidR="00CE6DD0" w:rsidRPr="00DD47DF">
              <w:rPr>
                <w:rFonts w:cs="Calibri"/>
                <w:sz w:val="16"/>
              </w:rPr>
              <w:t>%</w:t>
            </w:r>
          </w:p>
        </w:tc>
        <w:tc>
          <w:tcPr>
            <w:tcW w:w="280" w:type="pct"/>
            <w:shd w:val="clear" w:color="auto" w:fill="auto"/>
          </w:tcPr>
          <w:p w14:paraId="1F7EB887" w14:textId="77777777" w:rsidR="00CE6DD0" w:rsidRPr="00DD47DF" w:rsidRDefault="00CE6DD0" w:rsidP="000435CB">
            <w:pPr>
              <w:pStyle w:val="Tabulka"/>
              <w:jc w:val="right"/>
              <w:rPr>
                <w:rFonts w:cs="Calibri"/>
                <w:sz w:val="16"/>
              </w:rPr>
            </w:pPr>
          </w:p>
        </w:tc>
        <w:tc>
          <w:tcPr>
            <w:tcW w:w="321" w:type="pct"/>
            <w:shd w:val="clear" w:color="auto" w:fill="auto"/>
          </w:tcPr>
          <w:p w14:paraId="5B79C9E4" w14:textId="77777777" w:rsidR="00CE6DD0" w:rsidRPr="00DD47DF" w:rsidRDefault="00CE6DD0" w:rsidP="00CE6DD0">
            <w:pPr>
              <w:jc w:val="right"/>
              <w:rPr>
                <w:rFonts w:cs="Calibri"/>
                <w:sz w:val="16"/>
                <w:szCs w:val="22"/>
              </w:rPr>
            </w:pPr>
            <w:r w:rsidRPr="00DD47DF">
              <w:rPr>
                <w:rFonts w:cs="Calibri"/>
                <w:sz w:val="16"/>
                <w:szCs w:val="22"/>
              </w:rPr>
              <w:t>1 141 129 658</w:t>
            </w:r>
          </w:p>
        </w:tc>
        <w:tc>
          <w:tcPr>
            <w:tcW w:w="313" w:type="pct"/>
            <w:shd w:val="clear" w:color="auto" w:fill="auto"/>
          </w:tcPr>
          <w:p w14:paraId="6A43082B" w14:textId="0F16BC85" w:rsidR="00CE6DD0" w:rsidRPr="00DD47DF" w:rsidRDefault="00DA382E" w:rsidP="00CE6DD0">
            <w:pPr>
              <w:jc w:val="right"/>
              <w:rPr>
                <w:rFonts w:cs="Calibri"/>
                <w:sz w:val="16"/>
                <w:szCs w:val="22"/>
              </w:rPr>
            </w:pPr>
            <w:r w:rsidRPr="00700E39">
              <w:rPr>
                <w:rFonts w:cs="Calibri"/>
                <w:sz w:val="16"/>
                <w:szCs w:val="22"/>
              </w:rPr>
              <w:t>1 672 299 340</w:t>
            </w:r>
          </w:p>
        </w:tc>
        <w:tc>
          <w:tcPr>
            <w:tcW w:w="289" w:type="pct"/>
            <w:shd w:val="clear" w:color="auto" w:fill="auto"/>
          </w:tcPr>
          <w:p w14:paraId="289D3962" w14:textId="77777777" w:rsidR="00CE6DD0" w:rsidRPr="00DD47DF" w:rsidRDefault="00CE6DD0" w:rsidP="00CE6DD0">
            <w:pPr>
              <w:jc w:val="right"/>
              <w:rPr>
                <w:rFonts w:cs="Calibri"/>
                <w:sz w:val="16"/>
                <w:szCs w:val="22"/>
              </w:rPr>
            </w:pPr>
            <w:r w:rsidRPr="00DD47DF">
              <w:rPr>
                <w:rFonts w:cs="Calibri"/>
                <w:sz w:val="16"/>
                <w:szCs w:val="22"/>
              </w:rPr>
              <w:t>76 000 000</w:t>
            </w:r>
          </w:p>
        </w:tc>
        <w:tc>
          <w:tcPr>
            <w:tcW w:w="322" w:type="pct"/>
            <w:shd w:val="clear" w:color="auto" w:fill="auto"/>
          </w:tcPr>
          <w:p w14:paraId="32AF1D53" w14:textId="764AFAE7" w:rsidR="00CE6DD0" w:rsidRPr="00DD47DF" w:rsidRDefault="00DA382E" w:rsidP="00CE6DD0">
            <w:pPr>
              <w:jc w:val="right"/>
              <w:rPr>
                <w:rFonts w:cs="Calibri"/>
                <w:sz w:val="16"/>
                <w:szCs w:val="22"/>
              </w:rPr>
            </w:pPr>
            <w:r w:rsidRPr="00700E39">
              <w:rPr>
                <w:rFonts w:cs="Calibri"/>
                <w:sz w:val="16"/>
                <w:szCs w:val="22"/>
              </w:rPr>
              <w:t>111 376 257</w:t>
            </w:r>
          </w:p>
        </w:tc>
        <w:tc>
          <w:tcPr>
            <w:tcW w:w="333" w:type="pct"/>
            <w:shd w:val="clear" w:color="auto" w:fill="auto"/>
          </w:tcPr>
          <w:p w14:paraId="0304BFE4" w14:textId="77777777" w:rsidR="00CE6DD0" w:rsidRPr="00DD47DF" w:rsidRDefault="00CE6DD0" w:rsidP="00CE6DD0">
            <w:pPr>
              <w:jc w:val="right"/>
              <w:rPr>
                <w:rFonts w:cs="Calibri"/>
                <w:sz w:val="16"/>
                <w:szCs w:val="22"/>
              </w:rPr>
            </w:pPr>
            <w:r w:rsidRPr="00DD47DF">
              <w:rPr>
                <w:rFonts w:cs="Calibri"/>
                <w:sz w:val="16"/>
                <w:szCs w:val="22"/>
              </w:rPr>
              <w:t>6,24</w:t>
            </w:r>
          </w:p>
        </w:tc>
      </w:tr>
      <w:tr w:rsidR="00CE6DD0" w:rsidRPr="00DD47DF" w14:paraId="0DC968FA" w14:textId="77777777" w:rsidTr="00466CFC">
        <w:tc>
          <w:tcPr>
            <w:tcW w:w="249" w:type="pct"/>
            <w:shd w:val="clear" w:color="auto" w:fill="auto"/>
          </w:tcPr>
          <w:p w14:paraId="4DC24230" w14:textId="77777777" w:rsidR="00CE6DD0" w:rsidRPr="00DD47DF" w:rsidRDefault="00CE6DD0" w:rsidP="000435CB">
            <w:pPr>
              <w:pStyle w:val="Tabulka"/>
              <w:rPr>
                <w:rFonts w:cs="Calibri"/>
                <w:bCs/>
                <w:sz w:val="16"/>
                <w:szCs w:val="16"/>
              </w:rPr>
            </w:pPr>
            <w:r w:rsidRPr="00DD47DF">
              <w:rPr>
                <w:rFonts w:cs="Calibri"/>
                <w:bCs/>
                <w:sz w:val="16"/>
                <w:szCs w:val="16"/>
              </w:rPr>
              <w:t>Prioritní osa 4</w:t>
            </w:r>
          </w:p>
        </w:tc>
        <w:tc>
          <w:tcPr>
            <w:tcW w:w="181" w:type="pct"/>
            <w:shd w:val="clear" w:color="auto" w:fill="auto"/>
          </w:tcPr>
          <w:p w14:paraId="3071FDDC" w14:textId="77777777" w:rsidR="00CE6DD0" w:rsidRPr="00DD47DF" w:rsidRDefault="00CE6DD0" w:rsidP="000435CB">
            <w:pPr>
              <w:pStyle w:val="Tabulka"/>
              <w:rPr>
                <w:rFonts w:cs="Calibri"/>
                <w:i/>
                <w:iCs/>
                <w:sz w:val="16"/>
                <w:szCs w:val="16"/>
              </w:rPr>
            </w:pPr>
            <w:r w:rsidRPr="00DD47DF">
              <w:rPr>
                <w:rFonts w:cs="Calibri"/>
                <w:sz w:val="16"/>
                <w:szCs w:val="16"/>
              </w:rPr>
              <w:t>EFRR</w:t>
            </w:r>
          </w:p>
        </w:tc>
        <w:tc>
          <w:tcPr>
            <w:tcW w:w="277" w:type="pct"/>
            <w:shd w:val="clear" w:color="auto" w:fill="auto"/>
          </w:tcPr>
          <w:p w14:paraId="2024B345"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3AFE2972"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4388C9EA" w14:textId="77777777" w:rsidR="00CE6DD0" w:rsidRPr="00DD47DF" w:rsidRDefault="00CE6DD0" w:rsidP="000435CB">
            <w:pPr>
              <w:pStyle w:val="Tabulka"/>
              <w:jc w:val="right"/>
              <w:rPr>
                <w:rFonts w:cs="Calibri"/>
                <w:sz w:val="16"/>
              </w:rPr>
            </w:pPr>
            <w:r w:rsidRPr="00DD47DF">
              <w:rPr>
                <w:rFonts w:cs="Calibri"/>
                <w:sz w:val="16"/>
              </w:rPr>
              <w:t>743 657 589</w:t>
            </w:r>
          </w:p>
        </w:tc>
        <w:tc>
          <w:tcPr>
            <w:tcW w:w="317" w:type="pct"/>
            <w:shd w:val="clear" w:color="auto" w:fill="auto"/>
          </w:tcPr>
          <w:p w14:paraId="71B6E521" w14:textId="35885FC9" w:rsidR="00CE6DD0" w:rsidRPr="00DD47DF" w:rsidRDefault="00AE4256" w:rsidP="000435CB">
            <w:pPr>
              <w:pStyle w:val="Tabulka"/>
              <w:jc w:val="right"/>
              <w:rPr>
                <w:rFonts w:cs="Calibri"/>
                <w:sz w:val="16"/>
              </w:rPr>
            </w:pPr>
            <w:r w:rsidRPr="00700E39">
              <w:rPr>
                <w:rFonts w:cs="Calibri"/>
                <w:sz w:val="16"/>
              </w:rPr>
              <w:t>397 354 723</w:t>
            </w:r>
          </w:p>
        </w:tc>
        <w:tc>
          <w:tcPr>
            <w:tcW w:w="349" w:type="pct"/>
            <w:shd w:val="clear" w:color="auto" w:fill="auto"/>
          </w:tcPr>
          <w:p w14:paraId="10811C00" w14:textId="77777777" w:rsidR="00CE6DD0" w:rsidRPr="00DD47DF" w:rsidRDefault="00CE6DD0" w:rsidP="000435CB">
            <w:pPr>
              <w:pStyle w:val="Tabulka"/>
              <w:jc w:val="right"/>
              <w:rPr>
                <w:rFonts w:cs="Calibri"/>
                <w:sz w:val="16"/>
              </w:rPr>
            </w:pPr>
            <w:r w:rsidRPr="00DD47DF">
              <w:rPr>
                <w:rFonts w:cs="Calibri"/>
                <w:sz w:val="16"/>
              </w:rPr>
              <w:t>0</w:t>
            </w:r>
          </w:p>
        </w:tc>
        <w:tc>
          <w:tcPr>
            <w:tcW w:w="349" w:type="pct"/>
            <w:shd w:val="clear" w:color="auto" w:fill="auto"/>
          </w:tcPr>
          <w:p w14:paraId="441BECF7" w14:textId="4BCF8333" w:rsidR="00CE6DD0" w:rsidRPr="00DD47DF" w:rsidRDefault="00AE4256" w:rsidP="000435CB">
            <w:pPr>
              <w:pStyle w:val="Tabulka"/>
              <w:jc w:val="right"/>
              <w:rPr>
                <w:rFonts w:cs="Calibri"/>
                <w:sz w:val="16"/>
              </w:rPr>
            </w:pPr>
            <w:r w:rsidRPr="00700E39">
              <w:rPr>
                <w:rFonts w:cs="Calibri"/>
                <w:sz w:val="16"/>
              </w:rPr>
              <w:t>397 354 723</w:t>
            </w:r>
          </w:p>
        </w:tc>
        <w:tc>
          <w:tcPr>
            <w:tcW w:w="336" w:type="pct"/>
            <w:shd w:val="clear" w:color="auto" w:fill="auto"/>
          </w:tcPr>
          <w:p w14:paraId="7E5E85B6" w14:textId="7646C1E4" w:rsidR="00CE6DD0" w:rsidRPr="00DD47DF" w:rsidRDefault="00AE4256" w:rsidP="000435CB">
            <w:pPr>
              <w:pStyle w:val="Tabulka"/>
              <w:jc w:val="right"/>
              <w:rPr>
                <w:rFonts w:cs="Calibri"/>
                <w:sz w:val="16"/>
              </w:rPr>
            </w:pPr>
            <w:r w:rsidRPr="00700E39">
              <w:rPr>
                <w:rFonts w:cs="Calibri"/>
                <w:sz w:val="16"/>
              </w:rPr>
              <w:t>1 141 012 312</w:t>
            </w:r>
          </w:p>
        </w:tc>
        <w:tc>
          <w:tcPr>
            <w:tcW w:w="449" w:type="pct"/>
            <w:shd w:val="clear" w:color="auto" w:fill="auto"/>
          </w:tcPr>
          <w:p w14:paraId="0B3C89FC" w14:textId="13893AD9" w:rsidR="00CE6DD0" w:rsidRPr="00DD47DF" w:rsidRDefault="00AE4256" w:rsidP="000435CB">
            <w:pPr>
              <w:pStyle w:val="Tabulka"/>
              <w:jc w:val="right"/>
              <w:rPr>
                <w:rFonts w:cs="Calibri"/>
                <w:sz w:val="16"/>
              </w:rPr>
            </w:pPr>
            <w:r w:rsidRPr="00700E39">
              <w:rPr>
                <w:rFonts w:cs="Calibri"/>
                <w:sz w:val="16"/>
              </w:rPr>
              <w:t>65,18</w:t>
            </w:r>
            <w:r w:rsidR="00CE6DD0" w:rsidRPr="00DD47DF">
              <w:rPr>
                <w:rFonts w:cs="Calibri"/>
                <w:sz w:val="16"/>
              </w:rPr>
              <w:t>%</w:t>
            </w:r>
          </w:p>
        </w:tc>
        <w:tc>
          <w:tcPr>
            <w:tcW w:w="280" w:type="pct"/>
            <w:shd w:val="clear" w:color="auto" w:fill="auto"/>
          </w:tcPr>
          <w:p w14:paraId="2C864D8F" w14:textId="77777777" w:rsidR="00CE6DD0" w:rsidRPr="00DD47DF" w:rsidRDefault="00CE6DD0" w:rsidP="000435CB">
            <w:pPr>
              <w:pStyle w:val="Tabulka"/>
              <w:jc w:val="right"/>
              <w:rPr>
                <w:rFonts w:cs="Calibri"/>
                <w:sz w:val="16"/>
              </w:rPr>
            </w:pPr>
          </w:p>
        </w:tc>
        <w:tc>
          <w:tcPr>
            <w:tcW w:w="321" w:type="pct"/>
            <w:shd w:val="clear" w:color="auto" w:fill="auto"/>
          </w:tcPr>
          <w:p w14:paraId="375A2597" w14:textId="77777777" w:rsidR="00CE6DD0" w:rsidRPr="00DD47DF" w:rsidRDefault="00CE6DD0" w:rsidP="00CE6DD0">
            <w:pPr>
              <w:jc w:val="right"/>
              <w:rPr>
                <w:rFonts w:cs="Calibri"/>
                <w:sz w:val="16"/>
                <w:szCs w:val="22"/>
              </w:rPr>
            </w:pPr>
            <w:r w:rsidRPr="00DD47DF">
              <w:rPr>
                <w:rFonts w:cs="Calibri"/>
                <w:sz w:val="16"/>
                <w:szCs w:val="22"/>
              </w:rPr>
              <w:t>699 657 589</w:t>
            </w:r>
          </w:p>
        </w:tc>
        <w:tc>
          <w:tcPr>
            <w:tcW w:w="313" w:type="pct"/>
            <w:shd w:val="clear" w:color="auto" w:fill="auto"/>
          </w:tcPr>
          <w:p w14:paraId="1860E601" w14:textId="12A3436B" w:rsidR="00CE6DD0" w:rsidRPr="00DD47DF" w:rsidRDefault="00AE4256" w:rsidP="00CE6DD0">
            <w:pPr>
              <w:jc w:val="right"/>
              <w:rPr>
                <w:rFonts w:cs="Calibri"/>
                <w:sz w:val="16"/>
                <w:szCs w:val="22"/>
              </w:rPr>
            </w:pPr>
            <w:r w:rsidRPr="00700E39">
              <w:rPr>
                <w:rFonts w:cs="Calibri"/>
                <w:sz w:val="16"/>
                <w:szCs w:val="22"/>
              </w:rPr>
              <w:t>373 844 430</w:t>
            </w:r>
          </w:p>
        </w:tc>
        <w:tc>
          <w:tcPr>
            <w:tcW w:w="289" w:type="pct"/>
            <w:shd w:val="clear" w:color="auto" w:fill="auto"/>
          </w:tcPr>
          <w:p w14:paraId="5864672A" w14:textId="77777777" w:rsidR="00CE6DD0" w:rsidRPr="00DD47DF" w:rsidRDefault="00CE6DD0" w:rsidP="00CE6DD0">
            <w:pPr>
              <w:jc w:val="right"/>
              <w:rPr>
                <w:rFonts w:cs="Calibri"/>
                <w:sz w:val="16"/>
                <w:szCs w:val="22"/>
              </w:rPr>
            </w:pPr>
            <w:r w:rsidRPr="00DD47DF">
              <w:rPr>
                <w:rFonts w:cs="Calibri"/>
                <w:sz w:val="16"/>
                <w:szCs w:val="22"/>
              </w:rPr>
              <w:t>44 000 000</w:t>
            </w:r>
          </w:p>
        </w:tc>
        <w:tc>
          <w:tcPr>
            <w:tcW w:w="322" w:type="pct"/>
            <w:shd w:val="clear" w:color="auto" w:fill="auto"/>
          </w:tcPr>
          <w:p w14:paraId="1ED695F2" w14:textId="1C5E1646" w:rsidR="00CE6DD0" w:rsidRPr="00DD47DF" w:rsidRDefault="00AE4256" w:rsidP="00CE6DD0">
            <w:pPr>
              <w:jc w:val="right"/>
              <w:rPr>
                <w:rFonts w:cs="Calibri"/>
                <w:sz w:val="16"/>
                <w:szCs w:val="22"/>
              </w:rPr>
            </w:pPr>
            <w:r w:rsidRPr="00700E39">
              <w:rPr>
                <w:rFonts w:cs="Calibri"/>
                <w:sz w:val="16"/>
                <w:szCs w:val="22"/>
              </w:rPr>
              <w:t>23 510 293</w:t>
            </w:r>
          </w:p>
        </w:tc>
        <w:tc>
          <w:tcPr>
            <w:tcW w:w="333" w:type="pct"/>
            <w:shd w:val="clear" w:color="auto" w:fill="auto"/>
          </w:tcPr>
          <w:p w14:paraId="294316AB" w14:textId="77777777" w:rsidR="00CE6DD0" w:rsidRPr="00DD47DF" w:rsidRDefault="00CE6DD0" w:rsidP="00CE6DD0">
            <w:pPr>
              <w:jc w:val="right"/>
              <w:rPr>
                <w:rFonts w:cs="Calibri"/>
                <w:sz w:val="16"/>
                <w:szCs w:val="22"/>
              </w:rPr>
            </w:pPr>
            <w:r w:rsidRPr="00DD47DF">
              <w:rPr>
                <w:rFonts w:cs="Calibri"/>
                <w:sz w:val="16"/>
                <w:szCs w:val="22"/>
              </w:rPr>
              <w:t>5,92</w:t>
            </w:r>
          </w:p>
        </w:tc>
      </w:tr>
      <w:tr w:rsidR="00CE6DD0" w:rsidRPr="00DD47DF" w14:paraId="5BDB4F54" w14:textId="77777777" w:rsidTr="00466CFC">
        <w:tc>
          <w:tcPr>
            <w:tcW w:w="249" w:type="pct"/>
            <w:shd w:val="clear" w:color="auto" w:fill="auto"/>
          </w:tcPr>
          <w:p w14:paraId="02CD03E9" w14:textId="77777777" w:rsidR="00CE6DD0" w:rsidRPr="00DD47DF" w:rsidRDefault="00CE6DD0" w:rsidP="000435CB">
            <w:pPr>
              <w:pStyle w:val="Tabulka"/>
              <w:rPr>
                <w:rFonts w:cs="Calibri"/>
                <w:bCs/>
                <w:sz w:val="16"/>
                <w:szCs w:val="16"/>
              </w:rPr>
            </w:pPr>
            <w:r w:rsidRPr="00DD47DF">
              <w:rPr>
                <w:rFonts w:cs="Calibri"/>
                <w:bCs/>
                <w:sz w:val="16"/>
                <w:szCs w:val="16"/>
              </w:rPr>
              <w:t>Prioritní osa 5</w:t>
            </w:r>
          </w:p>
        </w:tc>
        <w:tc>
          <w:tcPr>
            <w:tcW w:w="181" w:type="pct"/>
            <w:shd w:val="clear" w:color="auto" w:fill="auto"/>
          </w:tcPr>
          <w:p w14:paraId="0E1BA0E5"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auto"/>
          </w:tcPr>
          <w:p w14:paraId="54F81ADA"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4D2B0DBD"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07BADEC2" w14:textId="77777777" w:rsidR="00CE6DD0" w:rsidRPr="00DD47DF" w:rsidRDefault="00CE6DD0" w:rsidP="000435CB">
            <w:pPr>
              <w:pStyle w:val="Tabulka"/>
              <w:jc w:val="right"/>
              <w:rPr>
                <w:rFonts w:cs="Calibri"/>
                <w:sz w:val="16"/>
              </w:rPr>
            </w:pPr>
            <w:r w:rsidRPr="00DD47DF">
              <w:rPr>
                <w:rFonts w:cs="Calibri"/>
                <w:sz w:val="16"/>
              </w:rPr>
              <w:t>125 600 816</w:t>
            </w:r>
          </w:p>
        </w:tc>
        <w:tc>
          <w:tcPr>
            <w:tcW w:w="317" w:type="pct"/>
            <w:shd w:val="clear" w:color="auto" w:fill="auto"/>
          </w:tcPr>
          <w:p w14:paraId="27007CD0" w14:textId="77777777" w:rsidR="00CE6DD0" w:rsidRPr="00DD47DF" w:rsidRDefault="00CE6DD0" w:rsidP="000435CB">
            <w:pPr>
              <w:pStyle w:val="Tabulka"/>
              <w:jc w:val="right"/>
              <w:rPr>
                <w:rFonts w:cs="Calibri"/>
                <w:sz w:val="16"/>
              </w:rPr>
            </w:pPr>
            <w:r w:rsidRPr="00DD47DF">
              <w:rPr>
                <w:rFonts w:cs="Calibri"/>
                <w:sz w:val="16"/>
              </w:rPr>
              <w:t>22 164 850</w:t>
            </w:r>
          </w:p>
        </w:tc>
        <w:tc>
          <w:tcPr>
            <w:tcW w:w="349" w:type="pct"/>
            <w:shd w:val="clear" w:color="auto" w:fill="auto"/>
          </w:tcPr>
          <w:p w14:paraId="58C10437" w14:textId="77777777" w:rsidR="00CE6DD0" w:rsidRPr="00DD47DF" w:rsidRDefault="00CE6DD0" w:rsidP="000435CB">
            <w:pPr>
              <w:pStyle w:val="Tabulka"/>
              <w:jc w:val="right"/>
              <w:rPr>
                <w:rFonts w:cs="Calibri"/>
                <w:sz w:val="16"/>
              </w:rPr>
            </w:pPr>
            <w:r w:rsidRPr="00DD47DF">
              <w:rPr>
                <w:rFonts w:cs="Calibri"/>
                <w:sz w:val="16"/>
              </w:rPr>
              <w:t>22 164 850</w:t>
            </w:r>
          </w:p>
        </w:tc>
        <w:tc>
          <w:tcPr>
            <w:tcW w:w="349" w:type="pct"/>
            <w:shd w:val="clear" w:color="auto" w:fill="auto"/>
          </w:tcPr>
          <w:p w14:paraId="7FCB84D9" w14:textId="77777777" w:rsidR="00CE6DD0" w:rsidRPr="00DD47DF" w:rsidRDefault="00CE6DD0" w:rsidP="000435CB">
            <w:pPr>
              <w:pStyle w:val="Tabulka"/>
              <w:jc w:val="right"/>
              <w:rPr>
                <w:rFonts w:cs="Calibri"/>
                <w:sz w:val="16"/>
              </w:rPr>
            </w:pPr>
            <w:r w:rsidRPr="00DD47DF">
              <w:rPr>
                <w:rFonts w:cs="Calibri"/>
                <w:sz w:val="16"/>
              </w:rPr>
              <w:t>0</w:t>
            </w:r>
          </w:p>
        </w:tc>
        <w:tc>
          <w:tcPr>
            <w:tcW w:w="336" w:type="pct"/>
            <w:shd w:val="clear" w:color="auto" w:fill="auto"/>
          </w:tcPr>
          <w:p w14:paraId="3DB474FD" w14:textId="77777777" w:rsidR="00CE6DD0" w:rsidRPr="00DD47DF" w:rsidRDefault="00CE6DD0" w:rsidP="000435CB">
            <w:pPr>
              <w:pStyle w:val="Tabulka"/>
              <w:jc w:val="right"/>
              <w:rPr>
                <w:rFonts w:cs="Calibri"/>
                <w:sz w:val="16"/>
              </w:rPr>
            </w:pPr>
            <w:r w:rsidRPr="00DD47DF">
              <w:rPr>
                <w:rFonts w:cs="Calibri"/>
                <w:sz w:val="16"/>
              </w:rPr>
              <w:t>147 765 666</w:t>
            </w:r>
          </w:p>
        </w:tc>
        <w:tc>
          <w:tcPr>
            <w:tcW w:w="449" w:type="pct"/>
            <w:shd w:val="clear" w:color="auto" w:fill="auto"/>
          </w:tcPr>
          <w:p w14:paraId="4EF8E700" w14:textId="77777777" w:rsidR="00CE6DD0" w:rsidRPr="00DD47DF" w:rsidRDefault="00CE6DD0" w:rsidP="000435CB">
            <w:pPr>
              <w:pStyle w:val="Tabulka"/>
              <w:jc w:val="right"/>
              <w:rPr>
                <w:rFonts w:cs="Calibri"/>
                <w:sz w:val="16"/>
              </w:rPr>
            </w:pPr>
            <w:r w:rsidRPr="00DD47DF">
              <w:rPr>
                <w:rFonts w:cs="Calibri"/>
                <w:sz w:val="16"/>
              </w:rPr>
              <w:t>85,00%</w:t>
            </w:r>
          </w:p>
        </w:tc>
        <w:tc>
          <w:tcPr>
            <w:tcW w:w="280" w:type="pct"/>
            <w:shd w:val="clear" w:color="auto" w:fill="auto"/>
          </w:tcPr>
          <w:p w14:paraId="3DC2C3B7" w14:textId="77777777" w:rsidR="00CE6DD0" w:rsidRPr="00DD47DF" w:rsidRDefault="00CE6DD0" w:rsidP="000435CB">
            <w:pPr>
              <w:pStyle w:val="Tabulka"/>
              <w:jc w:val="right"/>
              <w:rPr>
                <w:rFonts w:cs="Calibri"/>
                <w:sz w:val="16"/>
              </w:rPr>
            </w:pPr>
          </w:p>
        </w:tc>
        <w:tc>
          <w:tcPr>
            <w:tcW w:w="321" w:type="pct"/>
            <w:shd w:val="clear" w:color="auto" w:fill="auto"/>
          </w:tcPr>
          <w:p w14:paraId="73DB1FB7" w14:textId="77777777" w:rsidR="00CE6DD0" w:rsidRPr="00DD47DF" w:rsidRDefault="00CE6DD0" w:rsidP="00CE6DD0">
            <w:pPr>
              <w:jc w:val="right"/>
              <w:rPr>
                <w:rFonts w:cs="Calibri"/>
                <w:sz w:val="16"/>
                <w:szCs w:val="22"/>
              </w:rPr>
            </w:pPr>
            <w:r w:rsidRPr="00DD47DF">
              <w:rPr>
                <w:rFonts w:cs="Calibri"/>
                <w:sz w:val="16"/>
                <w:szCs w:val="22"/>
              </w:rPr>
              <w:t>125 600 816</w:t>
            </w:r>
          </w:p>
        </w:tc>
        <w:tc>
          <w:tcPr>
            <w:tcW w:w="313" w:type="pct"/>
            <w:shd w:val="clear" w:color="auto" w:fill="auto"/>
          </w:tcPr>
          <w:p w14:paraId="385CA053" w14:textId="77777777" w:rsidR="00CE6DD0" w:rsidRPr="00DD47DF" w:rsidRDefault="00CE6DD0" w:rsidP="00CE6DD0">
            <w:pPr>
              <w:jc w:val="right"/>
              <w:rPr>
                <w:rFonts w:cs="Calibri"/>
                <w:sz w:val="16"/>
                <w:szCs w:val="22"/>
              </w:rPr>
            </w:pPr>
            <w:r w:rsidRPr="00DD47DF">
              <w:rPr>
                <w:rFonts w:cs="Calibri"/>
                <w:sz w:val="16"/>
                <w:szCs w:val="22"/>
              </w:rPr>
              <w:t>22 164 850</w:t>
            </w:r>
          </w:p>
        </w:tc>
        <w:tc>
          <w:tcPr>
            <w:tcW w:w="289" w:type="pct"/>
            <w:shd w:val="clear" w:color="auto" w:fill="auto"/>
          </w:tcPr>
          <w:p w14:paraId="547F58E8" w14:textId="77777777" w:rsidR="00CE6DD0" w:rsidRPr="00DD47DF" w:rsidRDefault="00CE6DD0" w:rsidP="00CE6DD0">
            <w:pPr>
              <w:jc w:val="right"/>
              <w:rPr>
                <w:rFonts w:cs="Calibri"/>
                <w:sz w:val="16"/>
                <w:szCs w:val="22"/>
              </w:rPr>
            </w:pPr>
            <w:r w:rsidRPr="00DD47DF">
              <w:rPr>
                <w:rFonts w:cs="Calibri"/>
                <w:sz w:val="16"/>
                <w:szCs w:val="22"/>
              </w:rPr>
              <w:t>0</w:t>
            </w:r>
          </w:p>
        </w:tc>
        <w:tc>
          <w:tcPr>
            <w:tcW w:w="322" w:type="pct"/>
            <w:shd w:val="clear" w:color="auto" w:fill="auto"/>
          </w:tcPr>
          <w:p w14:paraId="3482A46F" w14:textId="77777777" w:rsidR="00CE6DD0" w:rsidRPr="00DD47DF" w:rsidRDefault="00CE6DD0" w:rsidP="00CE6DD0">
            <w:pPr>
              <w:jc w:val="right"/>
              <w:rPr>
                <w:rFonts w:cs="Calibri"/>
                <w:sz w:val="16"/>
                <w:szCs w:val="22"/>
              </w:rPr>
            </w:pPr>
            <w:r w:rsidRPr="00DD47DF">
              <w:rPr>
                <w:rFonts w:cs="Calibri"/>
                <w:sz w:val="16"/>
                <w:szCs w:val="22"/>
              </w:rPr>
              <w:t>0</w:t>
            </w:r>
          </w:p>
        </w:tc>
        <w:tc>
          <w:tcPr>
            <w:tcW w:w="333" w:type="pct"/>
            <w:shd w:val="clear" w:color="auto" w:fill="auto"/>
          </w:tcPr>
          <w:p w14:paraId="12EAFC3C" w14:textId="77777777" w:rsidR="00CE6DD0" w:rsidRPr="00DD47DF" w:rsidRDefault="00CE6DD0" w:rsidP="00CE6DD0">
            <w:pPr>
              <w:jc w:val="right"/>
              <w:rPr>
                <w:rFonts w:cs="Calibri"/>
                <w:sz w:val="16"/>
                <w:szCs w:val="22"/>
              </w:rPr>
            </w:pPr>
            <w:r w:rsidRPr="00DD47DF">
              <w:rPr>
                <w:rFonts w:cs="Calibri"/>
                <w:sz w:val="16"/>
                <w:szCs w:val="22"/>
              </w:rPr>
              <w:t>0,00</w:t>
            </w:r>
          </w:p>
        </w:tc>
      </w:tr>
      <w:tr w:rsidR="00CE6DD0" w:rsidRPr="00DD47DF" w14:paraId="06EECC7B" w14:textId="77777777" w:rsidTr="00466CFC">
        <w:tc>
          <w:tcPr>
            <w:tcW w:w="249" w:type="pct"/>
            <w:shd w:val="clear" w:color="auto" w:fill="DBE5F1"/>
          </w:tcPr>
          <w:p w14:paraId="077F38F0" w14:textId="77777777" w:rsidR="00CE6DD0" w:rsidRPr="00DD47DF" w:rsidRDefault="00CE6DD0" w:rsidP="000435CB">
            <w:pPr>
              <w:pStyle w:val="Tabulka"/>
              <w:rPr>
                <w:rFonts w:cs="Calibri"/>
                <w:sz w:val="16"/>
                <w:szCs w:val="16"/>
              </w:rPr>
            </w:pPr>
            <w:r w:rsidRPr="00DD47DF">
              <w:rPr>
                <w:rFonts w:cs="Calibri"/>
                <w:bCs/>
                <w:sz w:val="16"/>
                <w:szCs w:val="16"/>
              </w:rPr>
              <w:t>Celkem</w:t>
            </w:r>
          </w:p>
        </w:tc>
        <w:tc>
          <w:tcPr>
            <w:tcW w:w="181" w:type="pct"/>
            <w:shd w:val="clear" w:color="auto" w:fill="DBE5F1"/>
          </w:tcPr>
          <w:p w14:paraId="36B8067C"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DBE5F1"/>
          </w:tcPr>
          <w:p w14:paraId="4CDD9ED5"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DBE5F1"/>
          </w:tcPr>
          <w:p w14:paraId="6D233EC6" w14:textId="77777777" w:rsidR="00CE6DD0" w:rsidRPr="00DD47DF" w:rsidRDefault="00CE6DD0" w:rsidP="000435CB">
            <w:pPr>
              <w:pStyle w:val="Tabulka"/>
              <w:rPr>
                <w:rFonts w:cs="Calibri"/>
                <w:sz w:val="16"/>
                <w:szCs w:val="16"/>
              </w:rPr>
            </w:pPr>
          </w:p>
        </w:tc>
        <w:tc>
          <w:tcPr>
            <w:tcW w:w="372" w:type="pct"/>
            <w:shd w:val="clear" w:color="auto" w:fill="DBE5F1"/>
          </w:tcPr>
          <w:p w14:paraId="7C2C1342" w14:textId="77777777" w:rsidR="00CE6DD0" w:rsidRPr="00DD47DF" w:rsidRDefault="00CE6DD0" w:rsidP="000435CB">
            <w:pPr>
              <w:pStyle w:val="Tabulka"/>
              <w:jc w:val="right"/>
              <w:rPr>
                <w:rFonts w:cs="Calibri"/>
                <w:sz w:val="16"/>
              </w:rPr>
            </w:pPr>
            <w:r w:rsidRPr="00DD47DF">
              <w:rPr>
                <w:rFonts w:cs="Calibri"/>
                <w:sz w:val="16"/>
              </w:rPr>
              <w:t>4 331 062 617</w:t>
            </w:r>
          </w:p>
        </w:tc>
        <w:tc>
          <w:tcPr>
            <w:tcW w:w="317" w:type="pct"/>
            <w:shd w:val="clear" w:color="auto" w:fill="DBE5F1"/>
          </w:tcPr>
          <w:p w14:paraId="41EBC961" w14:textId="608929F5" w:rsidR="00CE6DD0" w:rsidRPr="00DD47DF" w:rsidRDefault="00AE4256" w:rsidP="000435CB">
            <w:pPr>
              <w:pStyle w:val="Tabulka"/>
              <w:jc w:val="right"/>
              <w:rPr>
                <w:rFonts w:cs="Calibri"/>
                <w:sz w:val="16"/>
              </w:rPr>
            </w:pPr>
            <w:r w:rsidRPr="00700E39">
              <w:rPr>
                <w:rFonts w:cs="Calibri"/>
                <w:sz w:val="16"/>
              </w:rPr>
              <w:t>4 633 850 387</w:t>
            </w:r>
          </w:p>
        </w:tc>
        <w:tc>
          <w:tcPr>
            <w:tcW w:w="349" w:type="pct"/>
            <w:shd w:val="clear" w:color="auto" w:fill="DBE5F1"/>
          </w:tcPr>
          <w:p w14:paraId="0D997891" w14:textId="091B947E" w:rsidR="00CE6DD0" w:rsidRPr="00DD47DF" w:rsidRDefault="00AE4256" w:rsidP="000435CB">
            <w:pPr>
              <w:pStyle w:val="Tabulka"/>
              <w:jc w:val="right"/>
              <w:rPr>
                <w:rFonts w:cs="Calibri"/>
                <w:sz w:val="16"/>
              </w:rPr>
            </w:pPr>
            <w:r w:rsidRPr="00700E39">
              <w:rPr>
                <w:rFonts w:cs="Calibri"/>
                <w:sz w:val="16"/>
              </w:rPr>
              <w:t>112 628 598</w:t>
            </w:r>
          </w:p>
        </w:tc>
        <w:tc>
          <w:tcPr>
            <w:tcW w:w="349" w:type="pct"/>
            <w:shd w:val="clear" w:color="auto" w:fill="DBE5F1"/>
          </w:tcPr>
          <w:p w14:paraId="53B2FC7C" w14:textId="021C5C40" w:rsidR="00CE6DD0" w:rsidRPr="00DD47DF" w:rsidRDefault="00AE4256" w:rsidP="000435CB">
            <w:pPr>
              <w:pStyle w:val="Tabulka"/>
              <w:jc w:val="right"/>
              <w:rPr>
                <w:rFonts w:cs="Calibri"/>
                <w:sz w:val="16"/>
              </w:rPr>
            </w:pPr>
            <w:r w:rsidRPr="00700E39">
              <w:rPr>
                <w:rFonts w:cs="Calibri"/>
                <w:sz w:val="16"/>
              </w:rPr>
              <w:t>4 521 221 789</w:t>
            </w:r>
          </w:p>
        </w:tc>
        <w:tc>
          <w:tcPr>
            <w:tcW w:w="336" w:type="pct"/>
            <w:shd w:val="clear" w:color="auto" w:fill="DBE5F1"/>
          </w:tcPr>
          <w:p w14:paraId="148D0887" w14:textId="150BB8C0" w:rsidR="00CE6DD0" w:rsidRPr="00DD47DF" w:rsidRDefault="00AE4256" w:rsidP="000435CB">
            <w:pPr>
              <w:pStyle w:val="Tabulka"/>
              <w:jc w:val="right"/>
              <w:rPr>
                <w:rFonts w:cs="Calibri"/>
                <w:sz w:val="16"/>
              </w:rPr>
            </w:pPr>
            <w:r w:rsidRPr="00700E39">
              <w:rPr>
                <w:rFonts w:cs="Calibri"/>
                <w:sz w:val="16"/>
              </w:rPr>
              <w:t>8 964 913 004</w:t>
            </w:r>
          </w:p>
        </w:tc>
        <w:tc>
          <w:tcPr>
            <w:tcW w:w="449" w:type="pct"/>
            <w:shd w:val="clear" w:color="auto" w:fill="DBE5F1"/>
          </w:tcPr>
          <w:p w14:paraId="018CD09A" w14:textId="7DBB6BC0" w:rsidR="00CE6DD0" w:rsidRPr="00DD47DF" w:rsidRDefault="00AE4256" w:rsidP="000435CB">
            <w:pPr>
              <w:pStyle w:val="Tabulka"/>
              <w:jc w:val="right"/>
              <w:rPr>
                <w:rFonts w:cs="Calibri"/>
                <w:sz w:val="16"/>
              </w:rPr>
            </w:pPr>
            <w:r w:rsidRPr="00700E39">
              <w:rPr>
                <w:rFonts w:cs="Calibri"/>
                <w:sz w:val="16"/>
              </w:rPr>
              <w:t>48,31</w:t>
            </w:r>
            <w:r w:rsidR="00CE6DD0" w:rsidRPr="00DD47DF">
              <w:rPr>
                <w:rFonts w:cs="Calibri"/>
                <w:sz w:val="16"/>
              </w:rPr>
              <w:t>%</w:t>
            </w:r>
          </w:p>
        </w:tc>
        <w:tc>
          <w:tcPr>
            <w:tcW w:w="280" w:type="pct"/>
            <w:shd w:val="clear" w:color="auto" w:fill="DBE5F1"/>
          </w:tcPr>
          <w:p w14:paraId="122B6835" w14:textId="77777777" w:rsidR="00CE6DD0" w:rsidRPr="00DD47DF" w:rsidRDefault="00CE6DD0" w:rsidP="000435CB">
            <w:pPr>
              <w:pStyle w:val="Tabulka"/>
              <w:jc w:val="right"/>
              <w:rPr>
                <w:rFonts w:cs="Calibri"/>
                <w:sz w:val="16"/>
              </w:rPr>
            </w:pPr>
          </w:p>
        </w:tc>
        <w:tc>
          <w:tcPr>
            <w:tcW w:w="321" w:type="pct"/>
            <w:shd w:val="clear" w:color="auto" w:fill="DBE5F1"/>
          </w:tcPr>
          <w:p w14:paraId="26497EF1" w14:textId="77777777" w:rsidR="00CE6DD0" w:rsidRPr="00DD47DF" w:rsidRDefault="00CE6DD0" w:rsidP="00CE2FC5">
            <w:pPr>
              <w:jc w:val="right"/>
              <w:rPr>
                <w:rFonts w:cs="Calibri"/>
                <w:sz w:val="16"/>
                <w:szCs w:val="22"/>
              </w:rPr>
            </w:pPr>
            <w:r w:rsidRPr="00DD47DF">
              <w:rPr>
                <w:rFonts w:cs="Calibri"/>
                <w:sz w:val="16"/>
                <w:szCs w:val="22"/>
              </w:rPr>
              <w:t>4 071 198 8</w:t>
            </w:r>
            <w:r w:rsidR="00CE2FC5" w:rsidRPr="00DD47DF">
              <w:rPr>
                <w:rFonts w:cs="Calibri"/>
                <w:sz w:val="16"/>
                <w:szCs w:val="22"/>
              </w:rPr>
              <w:t>60</w:t>
            </w:r>
          </w:p>
        </w:tc>
        <w:tc>
          <w:tcPr>
            <w:tcW w:w="313" w:type="pct"/>
            <w:shd w:val="clear" w:color="auto" w:fill="DBE5F1"/>
          </w:tcPr>
          <w:p w14:paraId="6C979FAE" w14:textId="15F60B15" w:rsidR="00CE6DD0" w:rsidRPr="00DD47DF" w:rsidRDefault="00AE4256" w:rsidP="00CE2FC5">
            <w:pPr>
              <w:jc w:val="right"/>
              <w:rPr>
                <w:rFonts w:cs="Calibri"/>
                <w:sz w:val="16"/>
                <w:szCs w:val="22"/>
              </w:rPr>
            </w:pPr>
            <w:r w:rsidRPr="00700E39">
              <w:rPr>
                <w:rFonts w:cs="Calibri"/>
                <w:sz w:val="16"/>
                <w:szCs w:val="22"/>
              </w:rPr>
              <w:t>4 347 493 896</w:t>
            </w:r>
          </w:p>
        </w:tc>
        <w:tc>
          <w:tcPr>
            <w:tcW w:w="289" w:type="pct"/>
            <w:shd w:val="clear" w:color="auto" w:fill="DBE5F1"/>
          </w:tcPr>
          <w:p w14:paraId="0FD5BA48" w14:textId="77777777" w:rsidR="00CE6DD0" w:rsidRPr="00DD47DF" w:rsidRDefault="00CE6DD0" w:rsidP="00CE2FC5">
            <w:pPr>
              <w:jc w:val="right"/>
              <w:rPr>
                <w:rFonts w:cs="Calibri"/>
                <w:sz w:val="16"/>
                <w:szCs w:val="22"/>
              </w:rPr>
            </w:pPr>
            <w:r w:rsidRPr="00DD47DF">
              <w:rPr>
                <w:rFonts w:cs="Calibri"/>
                <w:sz w:val="16"/>
                <w:szCs w:val="22"/>
              </w:rPr>
              <w:t>259 863 75</w:t>
            </w:r>
            <w:r w:rsidR="00CE2FC5" w:rsidRPr="00DD47DF">
              <w:rPr>
                <w:rFonts w:cs="Calibri"/>
                <w:sz w:val="16"/>
                <w:szCs w:val="22"/>
              </w:rPr>
              <w:t>7</w:t>
            </w:r>
          </w:p>
        </w:tc>
        <w:tc>
          <w:tcPr>
            <w:tcW w:w="322" w:type="pct"/>
            <w:shd w:val="clear" w:color="auto" w:fill="DBE5F1"/>
          </w:tcPr>
          <w:p w14:paraId="155812C8" w14:textId="1B13E5D2" w:rsidR="00CE6DD0" w:rsidRPr="00DD47DF" w:rsidRDefault="00AE4256" w:rsidP="00CE6DD0">
            <w:pPr>
              <w:jc w:val="right"/>
              <w:rPr>
                <w:rFonts w:cs="Calibri"/>
                <w:sz w:val="16"/>
                <w:szCs w:val="22"/>
              </w:rPr>
            </w:pPr>
            <w:r w:rsidRPr="00700E39">
              <w:rPr>
                <w:rFonts w:cs="Calibri"/>
                <w:sz w:val="16"/>
                <w:szCs w:val="22"/>
              </w:rPr>
              <w:t>286 356 491</w:t>
            </w:r>
          </w:p>
        </w:tc>
        <w:tc>
          <w:tcPr>
            <w:tcW w:w="333" w:type="pct"/>
            <w:shd w:val="clear" w:color="auto" w:fill="DBE5F1"/>
          </w:tcPr>
          <w:p w14:paraId="6ED54617" w14:textId="77777777" w:rsidR="00CE6DD0" w:rsidRPr="00DD47DF" w:rsidRDefault="00CE6DD0" w:rsidP="00CE6DD0">
            <w:pPr>
              <w:jc w:val="right"/>
              <w:rPr>
                <w:rFonts w:cs="Calibri"/>
                <w:sz w:val="16"/>
                <w:szCs w:val="22"/>
              </w:rPr>
            </w:pPr>
            <w:r w:rsidRPr="00DD47DF">
              <w:rPr>
                <w:rFonts w:cs="Calibri"/>
                <w:sz w:val="16"/>
                <w:szCs w:val="22"/>
              </w:rPr>
              <w:t>6,00</w:t>
            </w:r>
          </w:p>
        </w:tc>
      </w:tr>
    </w:tbl>
    <w:p w14:paraId="1227425C" w14:textId="77777777" w:rsidR="00285BA0" w:rsidRPr="00DD47DF" w:rsidRDefault="00467D73" w:rsidP="00070EE7">
      <w:pPr>
        <w:pStyle w:val="Titulek"/>
        <w:keepNext/>
        <w:keepLines/>
      </w:pPr>
      <w:r w:rsidRPr="00DD47DF">
        <w:lastRenderedPageBreak/>
        <w:t xml:space="preserve">Tabulka </w:t>
      </w:r>
      <w:r w:rsidR="002756E7" w:rsidRPr="00DD47DF">
        <w:fldChar w:fldCharType="begin"/>
      </w:r>
      <w:r w:rsidR="000E35F2" w:rsidRPr="00DD47DF">
        <w:instrText xml:space="preserve"> SEQ Tabulka \* ARABIC \r18 </w:instrText>
      </w:r>
      <w:r w:rsidR="002756E7" w:rsidRPr="00DD47DF">
        <w:fldChar w:fldCharType="separate"/>
      </w:r>
      <w:r w:rsidR="00117847">
        <w:rPr>
          <w:noProof/>
        </w:rPr>
        <w:t>18</w:t>
      </w:r>
      <w:r w:rsidR="002756E7" w:rsidRPr="00DD47DF">
        <w:rPr>
          <w:noProof/>
        </w:rPr>
        <w:fldChar w:fldCharType="end"/>
      </w:r>
      <w:r w:rsidRPr="00DD47DF">
        <w:rPr>
          <w:noProof/>
        </w:rPr>
        <w:t>c</w:t>
      </w:r>
      <w:r w:rsidRPr="00DD47DF">
        <w:t>:</w:t>
      </w:r>
      <w:r w:rsidRPr="00DD47DF">
        <w:rPr>
          <w:color w:val="FF0000"/>
        </w:rPr>
        <w:t xml:space="preserve"> </w:t>
      </w:r>
      <w:r w:rsidR="00833413" w:rsidRPr="00DD47DF">
        <w:t>Rozdělení plánu financování podle prioritní osy, fondu, kategorie regionů a tematického cíle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3"/>
        <w:gridCol w:w="1071"/>
        <w:gridCol w:w="3044"/>
        <w:gridCol w:w="2076"/>
        <w:gridCol w:w="1715"/>
        <w:gridCol w:w="2895"/>
        <w:gridCol w:w="1896"/>
      </w:tblGrid>
      <w:tr w:rsidR="00833413" w:rsidRPr="00DD47DF" w14:paraId="5CC198C2" w14:textId="77777777">
        <w:trPr>
          <w:jc w:val="center"/>
        </w:trPr>
        <w:tc>
          <w:tcPr>
            <w:tcW w:w="579" w:type="pct"/>
            <w:shd w:val="clear" w:color="auto" w:fill="B8CCE4"/>
            <w:vAlign w:val="center"/>
          </w:tcPr>
          <w:p w14:paraId="07297554" w14:textId="77777777" w:rsidR="00833413" w:rsidRPr="00DD47DF" w:rsidRDefault="00833413" w:rsidP="00070EE7">
            <w:pPr>
              <w:pStyle w:val="Tabulka"/>
              <w:keepNext/>
              <w:keepLines/>
              <w:rPr>
                <w:rFonts w:cs="Calibri"/>
                <w:b/>
              </w:rPr>
            </w:pPr>
            <w:r w:rsidRPr="00DD47DF">
              <w:rPr>
                <w:rFonts w:cs="Calibri"/>
                <w:b/>
              </w:rPr>
              <w:t>Prioritní osa</w:t>
            </w:r>
          </w:p>
        </w:tc>
        <w:tc>
          <w:tcPr>
            <w:tcW w:w="373" w:type="pct"/>
            <w:shd w:val="clear" w:color="auto" w:fill="B8CCE4"/>
            <w:vAlign w:val="center"/>
          </w:tcPr>
          <w:p w14:paraId="5C86C9F1" w14:textId="77777777" w:rsidR="00833413" w:rsidRPr="00DD47DF" w:rsidRDefault="00833413" w:rsidP="00DA6FAB">
            <w:pPr>
              <w:pStyle w:val="Tabulka"/>
              <w:keepNext/>
              <w:keepLines/>
              <w:rPr>
                <w:rFonts w:cs="Calibri"/>
                <w:b/>
              </w:rPr>
            </w:pPr>
            <w:r w:rsidRPr="00DD47DF">
              <w:rPr>
                <w:rFonts w:cs="Calibri"/>
                <w:b/>
              </w:rPr>
              <w:t>Fond</w:t>
            </w:r>
          </w:p>
        </w:tc>
        <w:tc>
          <w:tcPr>
            <w:tcW w:w="1060" w:type="pct"/>
            <w:shd w:val="clear" w:color="auto" w:fill="B8CCE4"/>
            <w:vAlign w:val="center"/>
          </w:tcPr>
          <w:p w14:paraId="39FE05C2" w14:textId="77777777" w:rsidR="00833413" w:rsidRPr="00DD47DF" w:rsidRDefault="00833413" w:rsidP="00070EE7">
            <w:pPr>
              <w:pStyle w:val="Tabulka"/>
              <w:keepNext/>
              <w:keepLines/>
              <w:rPr>
                <w:rFonts w:cs="Calibri"/>
                <w:b/>
              </w:rPr>
            </w:pPr>
            <w:r w:rsidRPr="00DD47DF">
              <w:rPr>
                <w:rFonts w:cs="Calibri"/>
                <w:b/>
              </w:rPr>
              <w:t>Kategorie regionů</w:t>
            </w:r>
          </w:p>
        </w:tc>
        <w:tc>
          <w:tcPr>
            <w:tcW w:w="723" w:type="pct"/>
            <w:shd w:val="clear" w:color="auto" w:fill="B8CCE4"/>
            <w:vAlign w:val="center"/>
          </w:tcPr>
          <w:p w14:paraId="612FA9D5" w14:textId="77777777" w:rsidR="00833413" w:rsidRPr="00DD47DF" w:rsidRDefault="00833413" w:rsidP="00070EE7">
            <w:pPr>
              <w:pStyle w:val="Tabulka"/>
              <w:keepNext/>
              <w:keepLines/>
              <w:rPr>
                <w:rFonts w:cs="Calibri"/>
                <w:b/>
              </w:rPr>
            </w:pPr>
            <w:r w:rsidRPr="00DD47DF">
              <w:rPr>
                <w:rFonts w:cs="Calibri"/>
                <w:b/>
              </w:rPr>
              <w:t>Tematický cíl</w:t>
            </w:r>
          </w:p>
        </w:tc>
        <w:tc>
          <w:tcPr>
            <w:tcW w:w="597" w:type="pct"/>
            <w:shd w:val="clear" w:color="auto" w:fill="B8CCE4"/>
            <w:vAlign w:val="center"/>
          </w:tcPr>
          <w:p w14:paraId="7C933FB8" w14:textId="77777777" w:rsidR="00833413" w:rsidRPr="00DD47DF" w:rsidRDefault="00833413" w:rsidP="00070EE7">
            <w:pPr>
              <w:pStyle w:val="Tabulka"/>
              <w:keepNext/>
              <w:keepLines/>
              <w:rPr>
                <w:rFonts w:cs="Calibri"/>
                <w:b/>
              </w:rPr>
            </w:pPr>
            <w:r w:rsidRPr="00DD47DF">
              <w:rPr>
                <w:rFonts w:cs="Calibri"/>
                <w:b/>
              </w:rPr>
              <w:t>Podpora Unie</w:t>
            </w:r>
          </w:p>
        </w:tc>
        <w:tc>
          <w:tcPr>
            <w:tcW w:w="1008" w:type="pct"/>
            <w:shd w:val="clear" w:color="auto" w:fill="B8CCE4"/>
            <w:vAlign w:val="center"/>
          </w:tcPr>
          <w:p w14:paraId="380072E6" w14:textId="77777777" w:rsidR="00833413" w:rsidRPr="00DD47DF" w:rsidRDefault="00833413" w:rsidP="00833413">
            <w:pPr>
              <w:pStyle w:val="Tabulka"/>
              <w:keepNext/>
              <w:keepLines/>
              <w:rPr>
                <w:rFonts w:cs="Calibri"/>
                <w:b/>
              </w:rPr>
            </w:pPr>
            <w:r w:rsidRPr="00DD47DF">
              <w:rPr>
                <w:rFonts w:cs="Calibri"/>
                <w:b/>
              </w:rPr>
              <w:t>Příspěvek členského státu</w:t>
            </w:r>
          </w:p>
        </w:tc>
        <w:tc>
          <w:tcPr>
            <w:tcW w:w="660" w:type="pct"/>
            <w:shd w:val="clear" w:color="auto" w:fill="B8CCE4"/>
            <w:vAlign w:val="center"/>
          </w:tcPr>
          <w:p w14:paraId="0444C18B" w14:textId="77777777" w:rsidR="00833413" w:rsidRPr="00DD47DF" w:rsidRDefault="00833413" w:rsidP="00833413">
            <w:pPr>
              <w:pStyle w:val="Tabulka"/>
              <w:keepNext/>
              <w:keepLines/>
              <w:rPr>
                <w:rFonts w:cs="Calibri"/>
                <w:b/>
              </w:rPr>
            </w:pPr>
            <w:r w:rsidRPr="00DD47DF">
              <w:rPr>
                <w:rFonts w:cs="Calibri"/>
                <w:b/>
              </w:rPr>
              <w:t>Financování celkem</w:t>
            </w:r>
          </w:p>
        </w:tc>
      </w:tr>
      <w:tr w:rsidR="002E41FF" w:rsidRPr="00DD47DF" w14:paraId="13B6B5DF" w14:textId="77777777">
        <w:trPr>
          <w:jc w:val="center"/>
        </w:trPr>
        <w:tc>
          <w:tcPr>
            <w:tcW w:w="579" w:type="pct"/>
            <w:shd w:val="clear" w:color="auto" w:fill="auto"/>
            <w:vAlign w:val="center"/>
          </w:tcPr>
          <w:p w14:paraId="0A0E2B36" w14:textId="77777777" w:rsidR="002E41FF" w:rsidRPr="00DD47DF" w:rsidRDefault="002E41FF" w:rsidP="00467D73">
            <w:pPr>
              <w:pStyle w:val="Tabulka"/>
              <w:jc w:val="left"/>
              <w:rPr>
                <w:rFonts w:cs="Calibri"/>
              </w:rPr>
            </w:pPr>
            <w:r w:rsidRPr="00DD47DF">
              <w:rPr>
                <w:rFonts w:cs="Calibri"/>
              </w:rPr>
              <w:t>Prioritní osa 1</w:t>
            </w:r>
          </w:p>
        </w:tc>
        <w:tc>
          <w:tcPr>
            <w:tcW w:w="373" w:type="pct"/>
            <w:shd w:val="clear" w:color="auto" w:fill="auto"/>
            <w:vAlign w:val="center"/>
          </w:tcPr>
          <w:p w14:paraId="5C9C7D33" w14:textId="77777777" w:rsidR="002E41FF" w:rsidRPr="00DD47DF" w:rsidRDefault="002E41FF" w:rsidP="00467D73">
            <w:pPr>
              <w:pStyle w:val="Tabulka"/>
              <w:rPr>
                <w:rFonts w:cs="Calibri"/>
              </w:rPr>
            </w:pPr>
            <w:r w:rsidRPr="00DD47DF">
              <w:rPr>
                <w:rFonts w:cs="Calibri"/>
              </w:rPr>
              <w:t>EFRR</w:t>
            </w:r>
          </w:p>
        </w:tc>
        <w:tc>
          <w:tcPr>
            <w:tcW w:w="1060" w:type="pct"/>
            <w:shd w:val="clear" w:color="auto" w:fill="auto"/>
            <w:vAlign w:val="center"/>
          </w:tcPr>
          <w:p w14:paraId="7A7BEB69"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auto"/>
            <w:vAlign w:val="center"/>
          </w:tcPr>
          <w:p w14:paraId="7F030BD5" w14:textId="77777777" w:rsidR="002E41FF" w:rsidRPr="00DD47DF" w:rsidRDefault="002E41FF" w:rsidP="00467D73">
            <w:pPr>
              <w:pStyle w:val="Tabulka"/>
              <w:rPr>
                <w:rFonts w:cs="Calibri"/>
              </w:rPr>
            </w:pPr>
            <w:r w:rsidRPr="00DD47DF">
              <w:rPr>
                <w:rFonts w:cs="Calibri"/>
              </w:rPr>
              <w:t>Tematický cíl 1</w:t>
            </w:r>
          </w:p>
        </w:tc>
        <w:tc>
          <w:tcPr>
            <w:tcW w:w="597" w:type="pct"/>
            <w:shd w:val="clear" w:color="auto" w:fill="auto"/>
            <w:vAlign w:val="center"/>
          </w:tcPr>
          <w:p w14:paraId="32E9F1C7" w14:textId="77777777" w:rsidR="002E41FF" w:rsidRPr="00DD47DF" w:rsidRDefault="00F0670B" w:rsidP="00165558">
            <w:pPr>
              <w:pStyle w:val="Tabulka"/>
              <w:jc w:val="right"/>
              <w:rPr>
                <w:rFonts w:cs="Calibri"/>
              </w:rPr>
            </w:pPr>
            <w:r w:rsidRPr="00DD47DF">
              <w:rPr>
                <w:rFonts w:cs="Calibri"/>
              </w:rPr>
              <w:t>1 352 544 411</w:t>
            </w:r>
          </w:p>
        </w:tc>
        <w:tc>
          <w:tcPr>
            <w:tcW w:w="1008" w:type="pct"/>
            <w:shd w:val="clear" w:color="auto" w:fill="auto"/>
            <w:vAlign w:val="center"/>
          </w:tcPr>
          <w:p w14:paraId="53ED1B76" w14:textId="65645DD0" w:rsidR="002E41FF" w:rsidRPr="00DD47DF" w:rsidRDefault="00705069" w:rsidP="002E41FF">
            <w:pPr>
              <w:pStyle w:val="Tabulka"/>
              <w:jc w:val="right"/>
              <w:rPr>
                <w:rFonts w:cs="Calibri"/>
              </w:rPr>
            </w:pPr>
            <w:r w:rsidRPr="00700E39">
              <w:rPr>
                <w:rFonts w:cs="Calibri"/>
              </w:rPr>
              <w:t>1 429 754 496</w:t>
            </w:r>
          </w:p>
        </w:tc>
        <w:tc>
          <w:tcPr>
            <w:tcW w:w="660" w:type="pct"/>
            <w:shd w:val="clear" w:color="auto" w:fill="auto"/>
            <w:vAlign w:val="center"/>
          </w:tcPr>
          <w:p w14:paraId="4A43523C" w14:textId="566FDB10" w:rsidR="002E41FF" w:rsidRPr="00DD47DF" w:rsidRDefault="00705069" w:rsidP="00E469B5">
            <w:pPr>
              <w:pStyle w:val="Tabulka"/>
              <w:jc w:val="right"/>
              <w:rPr>
                <w:rFonts w:cs="Calibri"/>
              </w:rPr>
            </w:pPr>
            <w:r w:rsidRPr="00700E39">
              <w:rPr>
                <w:rFonts w:cs="Calibri"/>
              </w:rPr>
              <w:t>2 782 298 907</w:t>
            </w:r>
          </w:p>
        </w:tc>
      </w:tr>
      <w:tr w:rsidR="002E41FF" w:rsidRPr="00DD47DF" w14:paraId="0CED515A" w14:textId="77777777">
        <w:trPr>
          <w:jc w:val="center"/>
        </w:trPr>
        <w:tc>
          <w:tcPr>
            <w:tcW w:w="579" w:type="pct"/>
            <w:shd w:val="clear" w:color="auto" w:fill="auto"/>
            <w:vAlign w:val="center"/>
          </w:tcPr>
          <w:p w14:paraId="636BD8F8" w14:textId="77777777" w:rsidR="002E41FF" w:rsidRPr="00DD47DF" w:rsidRDefault="002E41FF" w:rsidP="00467D73">
            <w:pPr>
              <w:pStyle w:val="Tabulka"/>
              <w:jc w:val="left"/>
              <w:rPr>
                <w:rFonts w:cs="Calibri"/>
              </w:rPr>
            </w:pPr>
            <w:r w:rsidRPr="00DD47DF">
              <w:rPr>
                <w:rFonts w:cs="Calibri"/>
              </w:rPr>
              <w:t>Prioritní osa 2</w:t>
            </w:r>
          </w:p>
        </w:tc>
        <w:tc>
          <w:tcPr>
            <w:tcW w:w="373" w:type="pct"/>
            <w:shd w:val="clear" w:color="auto" w:fill="auto"/>
            <w:vAlign w:val="center"/>
          </w:tcPr>
          <w:p w14:paraId="3B6F7B55" w14:textId="77777777" w:rsidR="002E41FF" w:rsidRPr="00DD47DF" w:rsidRDefault="002E41FF" w:rsidP="00467D73">
            <w:pPr>
              <w:pStyle w:val="Tabulka"/>
              <w:rPr>
                <w:rFonts w:cs="Calibri"/>
              </w:rPr>
            </w:pPr>
            <w:r w:rsidRPr="00DD47DF">
              <w:rPr>
                <w:rFonts w:cs="Calibri"/>
              </w:rPr>
              <w:t>EFRR</w:t>
            </w:r>
          </w:p>
        </w:tc>
        <w:tc>
          <w:tcPr>
            <w:tcW w:w="1060" w:type="pct"/>
            <w:shd w:val="clear" w:color="auto" w:fill="auto"/>
            <w:vAlign w:val="center"/>
          </w:tcPr>
          <w:p w14:paraId="3EDB5288"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auto"/>
            <w:vAlign w:val="center"/>
          </w:tcPr>
          <w:p w14:paraId="7EF9FF66" w14:textId="77777777" w:rsidR="002E41FF" w:rsidRPr="00DD47DF" w:rsidRDefault="002E41FF" w:rsidP="00467D73">
            <w:pPr>
              <w:pStyle w:val="Tabulka"/>
              <w:rPr>
                <w:rFonts w:cs="Calibri"/>
              </w:rPr>
            </w:pPr>
            <w:r w:rsidRPr="00DD47DF">
              <w:rPr>
                <w:rFonts w:cs="Calibri"/>
              </w:rPr>
              <w:t>Tematický cíl 3</w:t>
            </w:r>
          </w:p>
        </w:tc>
        <w:tc>
          <w:tcPr>
            <w:tcW w:w="597" w:type="pct"/>
            <w:shd w:val="clear" w:color="auto" w:fill="auto"/>
            <w:vAlign w:val="center"/>
          </w:tcPr>
          <w:p w14:paraId="57C7DDA5" w14:textId="77777777" w:rsidR="002E41FF" w:rsidRPr="00DD47DF" w:rsidRDefault="002E41FF" w:rsidP="00165558">
            <w:pPr>
              <w:pStyle w:val="Tabulka"/>
              <w:jc w:val="right"/>
              <w:rPr>
                <w:rFonts w:cs="Calibri"/>
              </w:rPr>
            </w:pPr>
            <w:r w:rsidRPr="00DD47DF">
              <w:rPr>
                <w:rFonts w:cs="Calibri"/>
              </w:rPr>
              <w:t>892 130 143</w:t>
            </w:r>
          </w:p>
        </w:tc>
        <w:tc>
          <w:tcPr>
            <w:tcW w:w="1008" w:type="pct"/>
            <w:shd w:val="clear" w:color="auto" w:fill="auto"/>
            <w:vAlign w:val="center"/>
          </w:tcPr>
          <w:p w14:paraId="298EEADE" w14:textId="1C33E13C" w:rsidR="002E41FF" w:rsidRPr="00DD47DF" w:rsidRDefault="00705069" w:rsidP="002E41FF">
            <w:pPr>
              <w:pStyle w:val="Tabulka"/>
              <w:jc w:val="right"/>
              <w:rPr>
                <w:rFonts w:cs="Calibri"/>
              </w:rPr>
            </w:pPr>
            <w:r w:rsidRPr="00700E39">
              <w:rPr>
                <w:rFonts w:cs="Calibri"/>
              </w:rPr>
              <w:t>1 000 900 721</w:t>
            </w:r>
          </w:p>
        </w:tc>
        <w:tc>
          <w:tcPr>
            <w:tcW w:w="660" w:type="pct"/>
            <w:shd w:val="clear" w:color="auto" w:fill="auto"/>
            <w:vAlign w:val="center"/>
          </w:tcPr>
          <w:p w14:paraId="6AD51E03" w14:textId="0D548E45" w:rsidR="002E41FF" w:rsidRPr="00DD47DF" w:rsidRDefault="00705069" w:rsidP="002E41FF">
            <w:pPr>
              <w:pStyle w:val="Tabulka"/>
              <w:jc w:val="right"/>
              <w:rPr>
                <w:rFonts w:cs="Calibri"/>
              </w:rPr>
            </w:pPr>
            <w:r w:rsidRPr="00700E39">
              <w:rPr>
                <w:rFonts w:cs="Calibri"/>
              </w:rPr>
              <w:t>1 893 030 864</w:t>
            </w:r>
          </w:p>
        </w:tc>
      </w:tr>
      <w:tr w:rsidR="002E41FF" w:rsidRPr="00DD47DF" w14:paraId="2752BAF3" w14:textId="77777777" w:rsidTr="002E41FF">
        <w:trPr>
          <w:jc w:val="center"/>
        </w:trPr>
        <w:tc>
          <w:tcPr>
            <w:tcW w:w="579" w:type="pct"/>
            <w:vMerge w:val="restart"/>
            <w:shd w:val="clear" w:color="auto" w:fill="auto"/>
            <w:vAlign w:val="center"/>
          </w:tcPr>
          <w:p w14:paraId="0756B1B5" w14:textId="77777777" w:rsidR="002E41FF" w:rsidRPr="00DD47DF" w:rsidRDefault="002E41FF" w:rsidP="00467D73">
            <w:pPr>
              <w:pStyle w:val="Tabulka"/>
              <w:jc w:val="left"/>
              <w:rPr>
                <w:rFonts w:cs="Calibri"/>
              </w:rPr>
            </w:pPr>
            <w:r w:rsidRPr="00DD47DF">
              <w:rPr>
                <w:rFonts w:cs="Calibri"/>
              </w:rPr>
              <w:t>Prioritní osa 3</w:t>
            </w:r>
          </w:p>
        </w:tc>
        <w:tc>
          <w:tcPr>
            <w:tcW w:w="373" w:type="pct"/>
            <w:vMerge w:val="restart"/>
            <w:shd w:val="clear" w:color="auto" w:fill="auto"/>
            <w:vAlign w:val="center"/>
          </w:tcPr>
          <w:p w14:paraId="23EC0F39" w14:textId="77777777" w:rsidR="002E41FF" w:rsidRPr="00DD47DF" w:rsidRDefault="002E41FF" w:rsidP="00467D73">
            <w:pPr>
              <w:pStyle w:val="Tabulka"/>
              <w:rPr>
                <w:rFonts w:cs="Calibri"/>
              </w:rPr>
            </w:pPr>
            <w:r w:rsidRPr="00DD47DF">
              <w:rPr>
                <w:rFonts w:cs="Calibri"/>
              </w:rPr>
              <w:t>EFRR</w:t>
            </w:r>
          </w:p>
        </w:tc>
        <w:tc>
          <w:tcPr>
            <w:tcW w:w="1060" w:type="pct"/>
            <w:vMerge w:val="restart"/>
            <w:shd w:val="clear" w:color="auto" w:fill="auto"/>
            <w:vAlign w:val="center"/>
          </w:tcPr>
          <w:p w14:paraId="3210C677"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auto"/>
            <w:vAlign w:val="center"/>
          </w:tcPr>
          <w:p w14:paraId="489A8504" w14:textId="77777777" w:rsidR="002E41FF" w:rsidRPr="00DD47DF" w:rsidRDefault="002E41FF" w:rsidP="00467D73">
            <w:pPr>
              <w:pStyle w:val="Tabulka"/>
              <w:rPr>
                <w:rFonts w:cs="Calibri"/>
              </w:rPr>
            </w:pPr>
            <w:r w:rsidRPr="00DD47DF">
              <w:rPr>
                <w:rFonts w:cs="Calibri"/>
              </w:rPr>
              <w:t>Tematický cíl 4</w:t>
            </w:r>
          </w:p>
        </w:tc>
        <w:tc>
          <w:tcPr>
            <w:tcW w:w="597" w:type="pct"/>
            <w:shd w:val="clear" w:color="auto" w:fill="auto"/>
            <w:vAlign w:val="center"/>
          </w:tcPr>
          <w:p w14:paraId="6AEDD6B9" w14:textId="7FE2ADE0" w:rsidR="002E41FF" w:rsidRPr="00DD47DF" w:rsidRDefault="00705069" w:rsidP="00165558">
            <w:pPr>
              <w:pStyle w:val="Tabulka"/>
              <w:jc w:val="right"/>
              <w:rPr>
                <w:rFonts w:cs="Calibri"/>
              </w:rPr>
            </w:pPr>
            <w:r w:rsidRPr="00700E39">
              <w:rPr>
                <w:rFonts w:cs="Calibri"/>
              </w:rPr>
              <w:t>1 058 595 959</w:t>
            </w:r>
          </w:p>
        </w:tc>
        <w:tc>
          <w:tcPr>
            <w:tcW w:w="1008" w:type="pct"/>
            <w:shd w:val="clear" w:color="auto" w:fill="auto"/>
            <w:vAlign w:val="center"/>
          </w:tcPr>
          <w:p w14:paraId="4153631B" w14:textId="36356F26" w:rsidR="002E41FF" w:rsidRPr="00DD47DF" w:rsidRDefault="00705069" w:rsidP="002E41FF">
            <w:pPr>
              <w:pStyle w:val="Tabulka"/>
              <w:jc w:val="right"/>
              <w:rPr>
                <w:rFonts w:cs="Calibri"/>
              </w:rPr>
            </w:pPr>
            <w:r w:rsidRPr="00700E39">
              <w:rPr>
                <w:rFonts w:cs="Calibri"/>
              </w:rPr>
              <w:t>1 551 348 097</w:t>
            </w:r>
          </w:p>
        </w:tc>
        <w:tc>
          <w:tcPr>
            <w:tcW w:w="660" w:type="pct"/>
            <w:shd w:val="clear" w:color="auto" w:fill="auto"/>
            <w:vAlign w:val="center"/>
          </w:tcPr>
          <w:p w14:paraId="370DCBDD" w14:textId="3AF5D98D" w:rsidR="002E41FF" w:rsidRPr="00DD47DF" w:rsidRDefault="00705069" w:rsidP="002E41FF">
            <w:pPr>
              <w:pStyle w:val="Tabulka"/>
              <w:jc w:val="right"/>
              <w:rPr>
                <w:rFonts w:cs="Calibri"/>
              </w:rPr>
            </w:pPr>
            <w:r w:rsidRPr="00700E39">
              <w:rPr>
                <w:rFonts w:cs="Calibri"/>
              </w:rPr>
              <w:t>2 609 944 056</w:t>
            </w:r>
          </w:p>
        </w:tc>
      </w:tr>
      <w:tr w:rsidR="002E41FF" w:rsidRPr="00DD47DF" w14:paraId="5ED58E9B" w14:textId="77777777">
        <w:trPr>
          <w:jc w:val="center"/>
        </w:trPr>
        <w:tc>
          <w:tcPr>
            <w:tcW w:w="579" w:type="pct"/>
            <w:vMerge/>
            <w:shd w:val="clear" w:color="auto" w:fill="auto"/>
            <w:vAlign w:val="center"/>
          </w:tcPr>
          <w:p w14:paraId="2BDAB1B4" w14:textId="77777777" w:rsidR="002E41FF" w:rsidRPr="00DD47DF" w:rsidRDefault="002E41FF" w:rsidP="00467D73">
            <w:pPr>
              <w:pStyle w:val="Tabulka"/>
              <w:jc w:val="left"/>
              <w:rPr>
                <w:rFonts w:cs="Calibri"/>
              </w:rPr>
            </w:pPr>
          </w:p>
        </w:tc>
        <w:tc>
          <w:tcPr>
            <w:tcW w:w="373" w:type="pct"/>
            <w:vMerge/>
            <w:shd w:val="clear" w:color="auto" w:fill="auto"/>
            <w:vAlign w:val="center"/>
          </w:tcPr>
          <w:p w14:paraId="7FE00D6B" w14:textId="77777777" w:rsidR="002E41FF" w:rsidRPr="00DD47DF" w:rsidRDefault="002E41FF" w:rsidP="004D0CBC">
            <w:pPr>
              <w:pStyle w:val="Tabulka"/>
              <w:rPr>
                <w:rFonts w:cs="Calibri"/>
              </w:rPr>
            </w:pPr>
          </w:p>
        </w:tc>
        <w:tc>
          <w:tcPr>
            <w:tcW w:w="1060" w:type="pct"/>
            <w:vMerge/>
            <w:shd w:val="clear" w:color="auto" w:fill="auto"/>
            <w:vAlign w:val="center"/>
          </w:tcPr>
          <w:p w14:paraId="516FC991" w14:textId="77777777" w:rsidR="002E41FF" w:rsidRPr="00DD47DF" w:rsidRDefault="002E41FF" w:rsidP="004D0CBC">
            <w:pPr>
              <w:pStyle w:val="Tabulka"/>
              <w:rPr>
                <w:rFonts w:cs="Calibri"/>
              </w:rPr>
            </w:pPr>
          </w:p>
        </w:tc>
        <w:tc>
          <w:tcPr>
            <w:tcW w:w="723" w:type="pct"/>
            <w:shd w:val="clear" w:color="auto" w:fill="auto"/>
            <w:vAlign w:val="center"/>
          </w:tcPr>
          <w:p w14:paraId="489497B7" w14:textId="77777777" w:rsidR="002E41FF" w:rsidRPr="00DD47DF" w:rsidRDefault="002E41FF" w:rsidP="004D0CBC">
            <w:pPr>
              <w:pStyle w:val="Tabulka"/>
              <w:rPr>
                <w:rFonts w:cs="Calibri"/>
              </w:rPr>
            </w:pPr>
            <w:r w:rsidRPr="00DD47DF">
              <w:rPr>
                <w:rFonts w:cs="Calibri"/>
              </w:rPr>
              <w:t>Tematický cíl 7</w:t>
            </w:r>
          </w:p>
        </w:tc>
        <w:tc>
          <w:tcPr>
            <w:tcW w:w="597" w:type="pct"/>
            <w:shd w:val="clear" w:color="auto" w:fill="auto"/>
            <w:vAlign w:val="center"/>
          </w:tcPr>
          <w:p w14:paraId="078D31BC" w14:textId="04A7BA69" w:rsidR="002E41FF" w:rsidRPr="00DD47DF" w:rsidRDefault="00705069" w:rsidP="00165558">
            <w:pPr>
              <w:pStyle w:val="Tabulka"/>
              <w:jc w:val="right"/>
              <w:rPr>
                <w:rFonts w:cs="Calibri"/>
              </w:rPr>
            </w:pPr>
            <w:r w:rsidRPr="00700E39">
              <w:rPr>
                <w:rFonts w:cs="Calibri"/>
              </w:rPr>
              <w:t>158 533 699</w:t>
            </w:r>
          </w:p>
        </w:tc>
        <w:tc>
          <w:tcPr>
            <w:tcW w:w="1008" w:type="pct"/>
            <w:shd w:val="clear" w:color="auto" w:fill="auto"/>
            <w:vAlign w:val="center"/>
          </w:tcPr>
          <w:p w14:paraId="4EB99C23" w14:textId="31A70CDC" w:rsidR="002E41FF" w:rsidRPr="00DD47DF" w:rsidRDefault="00705069" w:rsidP="002E41FF">
            <w:pPr>
              <w:pStyle w:val="Tabulka"/>
              <w:jc w:val="right"/>
              <w:rPr>
                <w:rFonts w:cs="Calibri"/>
              </w:rPr>
            </w:pPr>
            <w:r w:rsidRPr="00700E39">
              <w:rPr>
                <w:rFonts w:cs="Calibri"/>
              </w:rPr>
              <w:t>232 327 500</w:t>
            </w:r>
          </w:p>
        </w:tc>
        <w:tc>
          <w:tcPr>
            <w:tcW w:w="660" w:type="pct"/>
            <w:shd w:val="clear" w:color="auto" w:fill="auto"/>
            <w:vAlign w:val="center"/>
          </w:tcPr>
          <w:p w14:paraId="41A7D650" w14:textId="70A52F08" w:rsidR="002E41FF" w:rsidRPr="00DD47DF" w:rsidRDefault="00705069" w:rsidP="002E41FF">
            <w:pPr>
              <w:pStyle w:val="Tabulka"/>
              <w:jc w:val="right"/>
              <w:rPr>
                <w:rFonts w:cs="Calibri"/>
              </w:rPr>
            </w:pPr>
            <w:r w:rsidRPr="00700E39">
              <w:rPr>
                <w:rFonts w:cs="Calibri"/>
              </w:rPr>
              <w:t>390 861 199</w:t>
            </w:r>
          </w:p>
        </w:tc>
      </w:tr>
      <w:tr w:rsidR="002E41FF" w:rsidRPr="00DD47DF" w14:paraId="06D3EAB0" w14:textId="77777777">
        <w:trPr>
          <w:jc w:val="center"/>
        </w:trPr>
        <w:tc>
          <w:tcPr>
            <w:tcW w:w="579" w:type="pct"/>
            <w:shd w:val="clear" w:color="auto" w:fill="auto"/>
            <w:vAlign w:val="center"/>
          </w:tcPr>
          <w:p w14:paraId="41CCBE74" w14:textId="77777777" w:rsidR="002E41FF" w:rsidRPr="00DD47DF" w:rsidRDefault="002E41FF" w:rsidP="00030CAB">
            <w:pPr>
              <w:pStyle w:val="Tabulka"/>
              <w:jc w:val="left"/>
              <w:rPr>
                <w:rFonts w:cs="Calibri"/>
              </w:rPr>
            </w:pPr>
            <w:r w:rsidRPr="00DD47DF">
              <w:rPr>
                <w:rFonts w:cs="Calibri"/>
              </w:rPr>
              <w:t>Prioritní osa 4</w:t>
            </w:r>
          </w:p>
        </w:tc>
        <w:tc>
          <w:tcPr>
            <w:tcW w:w="373" w:type="pct"/>
            <w:shd w:val="clear" w:color="auto" w:fill="auto"/>
            <w:vAlign w:val="center"/>
          </w:tcPr>
          <w:p w14:paraId="66B3426D" w14:textId="77777777" w:rsidR="002E41FF" w:rsidRPr="00DD47DF" w:rsidRDefault="002E41FF" w:rsidP="00030CAB">
            <w:pPr>
              <w:pStyle w:val="Tabulka"/>
              <w:rPr>
                <w:rFonts w:cs="Calibri"/>
              </w:rPr>
            </w:pPr>
            <w:r w:rsidRPr="00DD47DF">
              <w:rPr>
                <w:rFonts w:cs="Calibri"/>
              </w:rPr>
              <w:t>EFRR</w:t>
            </w:r>
          </w:p>
        </w:tc>
        <w:tc>
          <w:tcPr>
            <w:tcW w:w="1060" w:type="pct"/>
            <w:shd w:val="clear" w:color="auto" w:fill="auto"/>
            <w:vAlign w:val="center"/>
          </w:tcPr>
          <w:p w14:paraId="06084B15" w14:textId="77777777" w:rsidR="002E41FF" w:rsidRPr="00DD47DF" w:rsidRDefault="002E41FF" w:rsidP="00030CAB">
            <w:pPr>
              <w:pStyle w:val="Tabulka"/>
              <w:rPr>
                <w:rFonts w:cs="Calibri"/>
              </w:rPr>
            </w:pPr>
            <w:r w:rsidRPr="00DD47DF">
              <w:rPr>
                <w:rFonts w:cs="Calibri"/>
              </w:rPr>
              <w:t>Méně rozvinuté regiony</w:t>
            </w:r>
          </w:p>
        </w:tc>
        <w:tc>
          <w:tcPr>
            <w:tcW w:w="723" w:type="pct"/>
            <w:shd w:val="clear" w:color="auto" w:fill="auto"/>
            <w:vAlign w:val="center"/>
          </w:tcPr>
          <w:p w14:paraId="0735254C" w14:textId="77777777" w:rsidR="002E41FF" w:rsidRPr="00DD47DF" w:rsidRDefault="002E41FF" w:rsidP="00030CAB">
            <w:pPr>
              <w:pStyle w:val="Tabulka"/>
              <w:rPr>
                <w:rFonts w:cs="Calibri"/>
              </w:rPr>
            </w:pPr>
            <w:r w:rsidRPr="00DD47DF">
              <w:rPr>
                <w:rFonts w:cs="Calibri"/>
              </w:rPr>
              <w:t>Tematický cíl 2</w:t>
            </w:r>
          </w:p>
        </w:tc>
        <w:tc>
          <w:tcPr>
            <w:tcW w:w="597" w:type="pct"/>
            <w:shd w:val="clear" w:color="auto" w:fill="auto"/>
            <w:vAlign w:val="center"/>
          </w:tcPr>
          <w:p w14:paraId="1CE47EB9" w14:textId="77777777" w:rsidR="002E41FF" w:rsidRPr="00DD47DF" w:rsidRDefault="002E41FF" w:rsidP="00165558">
            <w:pPr>
              <w:pStyle w:val="Tabulka"/>
              <w:jc w:val="right"/>
              <w:rPr>
                <w:rFonts w:cs="Calibri"/>
              </w:rPr>
            </w:pPr>
            <w:r w:rsidRPr="00DD47DF">
              <w:rPr>
                <w:rFonts w:cs="Calibri"/>
              </w:rPr>
              <w:t>743 657 589</w:t>
            </w:r>
          </w:p>
        </w:tc>
        <w:tc>
          <w:tcPr>
            <w:tcW w:w="1008" w:type="pct"/>
            <w:shd w:val="clear" w:color="auto" w:fill="auto"/>
            <w:vAlign w:val="center"/>
          </w:tcPr>
          <w:p w14:paraId="04DE35D5" w14:textId="0C0A4151" w:rsidR="002E41FF" w:rsidRPr="00DD47DF" w:rsidRDefault="00705069" w:rsidP="002E41FF">
            <w:pPr>
              <w:pStyle w:val="Tabulka"/>
              <w:jc w:val="right"/>
              <w:rPr>
                <w:rFonts w:cs="Calibri"/>
              </w:rPr>
            </w:pPr>
            <w:r w:rsidRPr="00700E39">
              <w:rPr>
                <w:rFonts w:cs="Calibri"/>
              </w:rPr>
              <w:t>397 354 723</w:t>
            </w:r>
          </w:p>
        </w:tc>
        <w:tc>
          <w:tcPr>
            <w:tcW w:w="660" w:type="pct"/>
            <w:shd w:val="clear" w:color="auto" w:fill="auto"/>
            <w:vAlign w:val="center"/>
          </w:tcPr>
          <w:p w14:paraId="5BC3EFD0" w14:textId="00787A33" w:rsidR="002E41FF" w:rsidRPr="00DD47DF" w:rsidRDefault="00705069" w:rsidP="002E41FF">
            <w:pPr>
              <w:pStyle w:val="Tabulka"/>
              <w:jc w:val="right"/>
              <w:rPr>
                <w:rFonts w:cs="Calibri"/>
              </w:rPr>
            </w:pPr>
            <w:r w:rsidRPr="00700E39">
              <w:rPr>
                <w:rFonts w:cs="Calibri"/>
              </w:rPr>
              <w:t>1 141 012 312</w:t>
            </w:r>
          </w:p>
        </w:tc>
      </w:tr>
      <w:tr w:rsidR="002E41FF" w:rsidRPr="00DD47DF" w14:paraId="6536D755" w14:textId="77777777">
        <w:trPr>
          <w:jc w:val="center"/>
        </w:trPr>
        <w:tc>
          <w:tcPr>
            <w:tcW w:w="579" w:type="pct"/>
            <w:shd w:val="clear" w:color="auto" w:fill="auto"/>
            <w:vAlign w:val="center"/>
          </w:tcPr>
          <w:p w14:paraId="0ADF198A" w14:textId="77777777" w:rsidR="002E41FF" w:rsidRPr="00DD47DF" w:rsidRDefault="002E41FF" w:rsidP="00467D73">
            <w:pPr>
              <w:pStyle w:val="Tabulka"/>
              <w:jc w:val="left"/>
              <w:rPr>
                <w:rFonts w:cs="Calibri"/>
              </w:rPr>
            </w:pPr>
            <w:r w:rsidRPr="00DD47DF">
              <w:rPr>
                <w:rFonts w:cs="Calibri"/>
              </w:rPr>
              <w:t>Prioritní osa 5</w:t>
            </w:r>
          </w:p>
        </w:tc>
        <w:tc>
          <w:tcPr>
            <w:tcW w:w="373" w:type="pct"/>
            <w:shd w:val="clear" w:color="auto" w:fill="auto"/>
            <w:vAlign w:val="center"/>
          </w:tcPr>
          <w:p w14:paraId="2BE36E11" w14:textId="77777777" w:rsidR="002E41FF" w:rsidRPr="00DD47DF" w:rsidRDefault="002E41FF" w:rsidP="00467D73">
            <w:pPr>
              <w:pStyle w:val="Tabulka"/>
              <w:rPr>
                <w:rFonts w:cs="Calibri"/>
              </w:rPr>
            </w:pPr>
            <w:r w:rsidRPr="00DD47DF">
              <w:rPr>
                <w:rFonts w:cs="Calibri"/>
              </w:rPr>
              <w:t>EFRR</w:t>
            </w:r>
          </w:p>
        </w:tc>
        <w:tc>
          <w:tcPr>
            <w:tcW w:w="1060" w:type="pct"/>
            <w:shd w:val="clear" w:color="auto" w:fill="auto"/>
            <w:vAlign w:val="center"/>
          </w:tcPr>
          <w:p w14:paraId="4F025F16"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auto"/>
            <w:vAlign w:val="center"/>
          </w:tcPr>
          <w:p w14:paraId="2906B1D3" w14:textId="77777777" w:rsidR="002E41FF" w:rsidRPr="00DD47DF" w:rsidRDefault="002E41FF" w:rsidP="00467D73">
            <w:pPr>
              <w:pStyle w:val="Tabulka"/>
              <w:rPr>
                <w:rFonts w:cs="Calibri"/>
              </w:rPr>
            </w:pPr>
          </w:p>
        </w:tc>
        <w:tc>
          <w:tcPr>
            <w:tcW w:w="597" w:type="pct"/>
            <w:shd w:val="clear" w:color="auto" w:fill="auto"/>
            <w:vAlign w:val="center"/>
          </w:tcPr>
          <w:p w14:paraId="00E0B589" w14:textId="77777777" w:rsidR="002E41FF" w:rsidRPr="00DD47DF" w:rsidRDefault="00F0670B" w:rsidP="00165558">
            <w:pPr>
              <w:pStyle w:val="Tabulka"/>
              <w:jc w:val="right"/>
              <w:rPr>
                <w:rFonts w:cs="Calibri"/>
              </w:rPr>
            </w:pPr>
            <w:r w:rsidRPr="00DD47DF">
              <w:rPr>
                <w:rFonts w:cs="Calibri"/>
              </w:rPr>
              <w:t>125 600 816</w:t>
            </w:r>
          </w:p>
        </w:tc>
        <w:tc>
          <w:tcPr>
            <w:tcW w:w="1008" w:type="pct"/>
            <w:shd w:val="clear" w:color="auto" w:fill="auto"/>
            <w:vAlign w:val="center"/>
          </w:tcPr>
          <w:p w14:paraId="47A0FFFE" w14:textId="77777777" w:rsidR="002E41FF" w:rsidRPr="00DD47DF" w:rsidRDefault="00F0670B" w:rsidP="002E41FF">
            <w:pPr>
              <w:pStyle w:val="Tabulka"/>
              <w:jc w:val="right"/>
              <w:rPr>
                <w:rFonts w:cs="Calibri"/>
              </w:rPr>
            </w:pPr>
            <w:r w:rsidRPr="00DD47DF">
              <w:rPr>
                <w:rFonts w:cs="Calibri"/>
              </w:rPr>
              <w:t>22 164 850</w:t>
            </w:r>
          </w:p>
        </w:tc>
        <w:tc>
          <w:tcPr>
            <w:tcW w:w="660" w:type="pct"/>
            <w:shd w:val="clear" w:color="auto" w:fill="auto"/>
            <w:vAlign w:val="center"/>
          </w:tcPr>
          <w:p w14:paraId="06898819" w14:textId="77777777" w:rsidR="002E41FF" w:rsidRPr="00DD47DF" w:rsidRDefault="00F0670B" w:rsidP="002E41FF">
            <w:pPr>
              <w:pStyle w:val="Tabulka"/>
              <w:jc w:val="right"/>
              <w:rPr>
                <w:rFonts w:cs="Calibri"/>
              </w:rPr>
            </w:pPr>
            <w:r w:rsidRPr="00DD47DF">
              <w:rPr>
                <w:rFonts w:cs="Calibri"/>
              </w:rPr>
              <w:t>147 765 666</w:t>
            </w:r>
          </w:p>
        </w:tc>
      </w:tr>
      <w:tr w:rsidR="002E41FF" w:rsidRPr="00DD47DF" w14:paraId="130F4721" w14:textId="77777777" w:rsidTr="002E41FF">
        <w:trPr>
          <w:jc w:val="center"/>
        </w:trPr>
        <w:tc>
          <w:tcPr>
            <w:tcW w:w="579" w:type="pct"/>
            <w:shd w:val="clear" w:color="auto" w:fill="DBE5F1"/>
            <w:vAlign w:val="center"/>
          </w:tcPr>
          <w:p w14:paraId="03EFD730" w14:textId="77777777" w:rsidR="002E41FF" w:rsidRPr="00DD47DF" w:rsidRDefault="002E41FF" w:rsidP="00467D73">
            <w:pPr>
              <w:pStyle w:val="Tabulka"/>
              <w:jc w:val="left"/>
              <w:rPr>
                <w:rFonts w:cs="Calibri"/>
              </w:rPr>
            </w:pPr>
            <w:r w:rsidRPr="00DD47DF">
              <w:rPr>
                <w:rFonts w:cs="Calibri"/>
              </w:rPr>
              <w:t>Celkem</w:t>
            </w:r>
          </w:p>
        </w:tc>
        <w:tc>
          <w:tcPr>
            <w:tcW w:w="373" w:type="pct"/>
            <w:shd w:val="clear" w:color="auto" w:fill="DBE5F1"/>
            <w:vAlign w:val="center"/>
          </w:tcPr>
          <w:p w14:paraId="231EF0DB" w14:textId="77777777" w:rsidR="002E41FF" w:rsidRPr="00DD47DF" w:rsidRDefault="002E41FF" w:rsidP="00467D73">
            <w:pPr>
              <w:pStyle w:val="Tabulka"/>
              <w:rPr>
                <w:rFonts w:cs="Calibri"/>
              </w:rPr>
            </w:pPr>
            <w:r w:rsidRPr="00DD47DF">
              <w:rPr>
                <w:rFonts w:cs="Calibri"/>
              </w:rPr>
              <w:t>EFRR</w:t>
            </w:r>
          </w:p>
        </w:tc>
        <w:tc>
          <w:tcPr>
            <w:tcW w:w="1060" w:type="pct"/>
            <w:shd w:val="clear" w:color="auto" w:fill="DBE5F1"/>
            <w:vAlign w:val="center"/>
          </w:tcPr>
          <w:p w14:paraId="750ABFAC"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DBE5F1"/>
            <w:vAlign w:val="center"/>
          </w:tcPr>
          <w:p w14:paraId="38681994" w14:textId="77777777" w:rsidR="002E41FF" w:rsidRPr="00DD47DF" w:rsidRDefault="002E41FF" w:rsidP="00467D73">
            <w:pPr>
              <w:pStyle w:val="Tabulka"/>
              <w:rPr>
                <w:rFonts w:cs="Calibri"/>
              </w:rPr>
            </w:pPr>
          </w:p>
        </w:tc>
        <w:tc>
          <w:tcPr>
            <w:tcW w:w="597" w:type="pct"/>
            <w:shd w:val="clear" w:color="auto" w:fill="DBE5F1"/>
            <w:vAlign w:val="center"/>
          </w:tcPr>
          <w:p w14:paraId="0CAA126B" w14:textId="77777777" w:rsidR="002E41FF" w:rsidRPr="00DD47DF" w:rsidRDefault="00F0670B" w:rsidP="00165558">
            <w:pPr>
              <w:pStyle w:val="Tabulka"/>
              <w:jc w:val="right"/>
              <w:rPr>
                <w:rFonts w:cs="Calibri"/>
              </w:rPr>
            </w:pPr>
            <w:r w:rsidRPr="00DD47DF">
              <w:rPr>
                <w:rFonts w:cs="Calibri"/>
              </w:rPr>
              <w:t>4 331 062 617</w:t>
            </w:r>
          </w:p>
        </w:tc>
        <w:tc>
          <w:tcPr>
            <w:tcW w:w="1008" w:type="pct"/>
            <w:shd w:val="clear" w:color="auto" w:fill="DBE5F1"/>
            <w:vAlign w:val="bottom"/>
          </w:tcPr>
          <w:p w14:paraId="73914991" w14:textId="28F4ABBA" w:rsidR="002E41FF" w:rsidRPr="00DD47DF" w:rsidRDefault="00705069" w:rsidP="002E41FF">
            <w:pPr>
              <w:pStyle w:val="Tabulka"/>
              <w:jc w:val="right"/>
              <w:rPr>
                <w:rFonts w:cs="Calibri"/>
              </w:rPr>
            </w:pPr>
            <w:r w:rsidRPr="00700E39">
              <w:rPr>
                <w:rFonts w:cs="Calibri"/>
              </w:rPr>
              <w:t>4 633 850 387</w:t>
            </w:r>
          </w:p>
        </w:tc>
        <w:tc>
          <w:tcPr>
            <w:tcW w:w="660" w:type="pct"/>
            <w:shd w:val="clear" w:color="auto" w:fill="DBE5F1"/>
            <w:vAlign w:val="bottom"/>
          </w:tcPr>
          <w:p w14:paraId="27C03072" w14:textId="638353A5" w:rsidR="002E41FF" w:rsidRPr="00DD47DF" w:rsidRDefault="00705069" w:rsidP="002E41FF">
            <w:pPr>
              <w:pStyle w:val="Tabulka"/>
              <w:jc w:val="right"/>
              <w:rPr>
                <w:rFonts w:cs="Calibri"/>
              </w:rPr>
            </w:pPr>
            <w:r w:rsidRPr="00700E39">
              <w:rPr>
                <w:rFonts w:cs="Calibri"/>
              </w:rPr>
              <w:t>8 964 913 004</w:t>
            </w:r>
          </w:p>
        </w:tc>
      </w:tr>
    </w:tbl>
    <w:p w14:paraId="4C287BED" w14:textId="77777777" w:rsidR="00821D0D" w:rsidRPr="00DD47DF" w:rsidRDefault="0071595D" w:rsidP="004E6DD3">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19</w:t>
      </w:r>
      <w:r w:rsidR="002756E7" w:rsidRPr="00DD47DF">
        <w:rPr>
          <w:noProof/>
        </w:rPr>
        <w:fldChar w:fldCharType="end"/>
      </w:r>
      <w:r w:rsidRPr="00DD47DF">
        <w:t xml:space="preserve">: </w:t>
      </w:r>
      <w:r w:rsidR="00833413" w:rsidRPr="00DD47DF">
        <w:t>Orientační částka podpory, jež má být použita na cíle v oblasti změny klimatu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17"/>
        <w:gridCol w:w="8506"/>
        <w:gridCol w:w="4135"/>
      </w:tblGrid>
      <w:tr w:rsidR="0071595D" w:rsidRPr="00DD47DF" w14:paraId="7B18B84E" w14:textId="77777777">
        <w:tc>
          <w:tcPr>
            <w:tcW w:w="567" w:type="pct"/>
            <w:shd w:val="clear" w:color="auto" w:fill="B8CCE4"/>
            <w:vAlign w:val="center"/>
          </w:tcPr>
          <w:p w14:paraId="4827231E" w14:textId="77777777" w:rsidR="0071595D" w:rsidRPr="00DD47DF" w:rsidRDefault="0071595D" w:rsidP="004E6DD3">
            <w:pPr>
              <w:pStyle w:val="Tabulka"/>
              <w:keepNext/>
              <w:keepLines/>
              <w:rPr>
                <w:rFonts w:cs="Calibri"/>
                <w:b/>
              </w:rPr>
            </w:pPr>
            <w:r w:rsidRPr="00DD47DF">
              <w:rPr>
                <w:rFonts w:cs="Calibri"/>
                <w:b/>
              </w:rPr>
              <w:t>Prioritní osa</w:t>
            </w:r>
          </w:p>
        </w:tc>
        <w:tc>
          <w:tcPr>
            <w:tcW w:w="2983" w:type="pct"/>
            <w:shd w:val="clear" w:color="auto" w:fill="B8CCE4"/>
            <w:vAlign w:val="center"/>
          </w:tcPr>
          <w:p w14:paraId="207AFE95" w14:textId="77777777" w:rsidR="0071595D" w:rsidRPr="00DD47DF" w:rsidRDefault="00833413" w:rsidP="004E6DD3">
            <w:pPr>
              <w:pStyle w:val="Tabulka"/>
              <w:keepNext/>
              <w:keepLines/>
              <w:rPr>
                <w:rFonts w:cs="Calibri"/>
                <w:b/>
              </w:rPr>
            </w:pPr>
            <w:r w:rsidRPr="00DD47DF">
              <w:rPr>
                <w:rFonts w:cs="Calibri"/>
                <w:b/>
              </w:rPr>
              <w:t>Orientační částka podpory, jež má být použita na cíle v oblasti změny klimatu (v EUR)</w:t>
            </w:r>
          </w:p>
        </w:tc>
        <w:tc>
          <w:tcPr>
            <w:tcW w:w="1450" w:type="pct"/>
            <w:shd w:val="clear" w:color="auto" w:fill="B8CCE4"/>
            <w:vAlign w:val="center"/>
          </w:tcPr>
          <w:p w14:paraId="298554F3" w14:textId="77777777" w:rsidR="0071595D" w:rsidRPr="00DD47DF" w:rsidRDefault="00833413" w:rsidP="004E6DD3">
            <w:pPr>
              <w:pStyle w:val="Tabulka"/>
              <w:keepNext/>
              <w:keepLines/>
              <w:rPr>
                <w:rFonts w:cs="Calibri"/>
                <w:b/>
              </w:rPr>
            </w:pPr>
            <w:r w:rsidRPr="00DD47DF">
              <w:rPr>
                <w:rFonts w:cs="Calibri"/>
                <w:b/>
              </w:rPr>
              <w:t>Podíl celkového přídělu pro operační program (v %)</w:t>
            </w:r>
          </w:p>
        </w:tc>
      </w:tr>
      <w:tr w:rsidR="0071595D" w:rsidRPr="00DD47DF" w14:paraId="728B8817" w14:textId="77777777">
        <w:tc>
          <w:tcPr>
            <w:tcW w:w="567" w:type="pct"/>
            <w:shd w:val="clear" w:color="auto" w:fill="auto"/>
            <w:vAlign w:val="center"/>
          </w:tcPr>
          <w:p w14:paraId="7E6373DB" w14:textId="77777777" w:rsidR="0071595D" w:rsidRPr="00DD47DF" w:rsidRDefault="00DA6FAB" w:rsidP="004E6DD3">
            <w:pPr>
              <w:pStyle w:val="Tabulka"/>
              <w:keepNext/>
              <w:keepLines/>
              <w:jc w:val="left"/>
              <w:rPr>
                <w:rFonts w:cs="Calibri"/>
              </w:rPr>
            </w:pPr>
            <w:r w:rsidRPr="00DD47DF">
              <w:rPr>
                <w:rFonts w:cs="Calibri"/>
              </w:rPr>
              <w:t>Prioritní osa 1</w:t>
            </w:r>
          </w:p>
        </w:tc>
        <w:tc>
          <w:tcPr>
            <w:tcW w:w="2983" w:type="pct"/>
            <w:shd w:val="clear" w:color="auto" w:fill="auto"/>
            <w:vAlign w:val="center"/>
          </w:tcPr>
          <w:p w14:paraId="48608B93" w14:textId="5282210F" w:rsidR="0071595D" w:rsidRPr="00DD47DF" w:rsidRDefault="00580034" w:rsidP="00DF6C15">
            <w:pPr>
              <w:pStyle w:val="Tabulka"/>
              <w:keepNext/>
              <w:keepLines/>
              <w:jc w:val="right"/>
              <w:rPr>
                <w:rFonts w:cs="Calibri"/>
              </w:rPr>
            </w:pPr>
            <w:r w:rsidRPr="00580034">
              <w:rPr>
                <w:rFonts w:cs="Calibri"/>
              </w:rPr>
              <w:t>108 834 504</w:t>
            </w:r>
          </w:p>
        </w:tc>
        <w:tc>
          <w:tcPr>
            <w:tcW w:w="1450" w:type="pct"/>
            <w:shd w:val="clear" w:color="auto" w:fill="auto"/>
            <w:vAlign w:val="center"/>
          </w:tcPr>
          <w:p w14:paraId="3AD75959" w14:textId="5F54ADD6" w:rsidR="0071595D" w:rsidRPr="00DD47DF" w:rsidRDefault="00922780" w:rsidP="00580034">
            <w:pPr>
              <w:pStyle w:val="Tabulka"/>
              <w:keepNext/>
              <w:keepLines/>
              <w:jc w:val="right"/>
              <w:rPr>
                <w:rFonts w:cs="Calibri"/>
              </w:rPr>
            </w:pPr>
            <w:r w:rsidRPr="00DD47DF">
              <w:rPr>
                <w:rFonts w:cs="Calibri"/>
              </w:rPr>
              <w:t>2,</w:t>
            </w:r>
            <w:r w:rsidR="00580034">
              <w:rPr>
                <w:rFonts w:cs="Calibri"/>
              </w:rPr>
              <w:t>51</w:t>
            </w:r>
          </w:p>
        </w:tc>
      </w:tr>
      <w:tr w:rsidR="00F34500" w:rsidRPr="00DD47DF" w14:paraId="131AD4C6" w14:textId="77777777">
        <w:tc>
          <w:tcPr>
            <w:tcW w:w="567" w:type="pct"/>
            <w:shd w:val="clear" w:color="auto" w:fill="auto"/>
            <w:vAlign w:val="center"/>
          </w:tcPr>
          <w:p w14:paraId="6DF0D59C" w14:textId="77777777" w:rsidR="00F34500" w:rsidRPr="00DD47DF" w:rsidRDefault="00DA6FAB" w:rsidP="00F34500">
            <w:pPr>
              <w:pStyle w:val="Tabulka"/>
              <w:jc w:val="left"/>
              <w:rPr>
                <w:rFonts w:cs="Calibri"/>
              </w:rPr>
            </w:pPr>
            <w:r w:rsidRPr="00DD47DF">
              <w:rPr>
                <w:rFonts w:cs="Calibri"/>
              </w:rPr>
              <w:t>Prioritní osa 3</w:t>
            </w:r>
          </w:p>
        </w:tc>
        <w:tc>
          <w:tcPr>
            <w:tcW w:w="2983" w:type="pct"/>
            <w:shd w:val="clear" w:color="auto" w:fill="auto"/>
            <w:vAlign w:val="center"/>
          </w:tcPr>
          <w:p w14:paraId="4B3FBA3B" w14:textId="331777C0" w:rsidR="00F34500" w:rsidRPr="00DD47DF" w:rsidRDefault="00580034" w:rsidP="00165558">
            <w:pPr>
              <w:pStyle w:val="Tabulka"/>
              <w:jc w:val="right"/>
              <w:rPr>
                <w:rFonts w:cs="Calibri"/>
              </w:rPr>
            </w:pPr>
            <w:r w:rsidRPr="00580034">
              <w:rPr>
                <w:rFonts w:cs="Calibri"/>
              </w:rPr>
              <w:t>1 011 286 112</w:t>
            </w:r>
            <w:r w:rsidR="0032362B" w:rsidRPr="00DD47DF">
              <w:rPr>
                <w:rFonts w:cs="Calibri"/>
              </w:rPr>
              <w:t xml:space="preserve"> </w:t>
            </w:r>
          </w:p>
        </w:tc>
        <w:tc>
          <w:tcPr>
            <w:tcW w:w="1450" w:type="pct"/>
            <w:shd w:val="clear" w:color="auto" w:fill="auto"/>
            <w:vAlign w:val="center"/>
          </w:tcPr>
          <w:p w14:paraId="66D84D50" w14:textId="19B2E9F4" w:rsidR="00F34500" w:rsidRPr="00DD47DF" w:rsidRDefault="0032362B" w:rsidP="00580034">
            <w:pPr>
              <w:pStyle w:val="Tabulka"/>
              <w:jc w:val="right"/>
              <w:rPr>
                <w:rFonts w:cs="Calibri"/>
              </w:rPr>
            </w:pPr>
            <w:r w:rsidRPr="00DD47DF">
              <w:rPr>
                <w:rFonts w:cs="Calibri"/>
              </w:rPr>
              <w:t>2</w:t>
            </w:r>
            <w:r w:rsidR="00580034">
              <w:rPr>
                <w:rFonts w:cs="Calibri"/>
              </w:rPr>
              <w:t>3,35</w:t>
            </w:r>
          </w:p>
        </w:tc>
      </w:tr>
      <w:tr w:rsidR="0071595D" w:rsidRPr="00DD47DF" w14:paraId="4A14AA46" w14:textId="77777777">
        <w:tc>
          <w:tcPr>
            <w:tcW w:w="567" w:type="pct"/>
            <w:shd w:val="clear" w:color="auto" w:fill="DBE5F1"/>
            <w:vAlign w:val="center"/>
          </w:tcPr>
          <w:p w14:paraId="07617A30" w14:textId="77777777" w:rsidR="0071595D" w:rsidRPr="00DD47DF" w:rsidRDefault="0071595D" w:rsidP="00F34500">
            <w:pPr>
              <w:pStyle w:val="Tabulka"/>
              <w:jc w:val="left"/>
              <w:rPr>
                <w:rFonts w:cs="Calibri"/>
              </w:rPr>
            </w:pPr>
            <w:r w:rsidRPr="00DD47DF">
              <w:rPr>
                <w:rFonts w:cs="Calibri"/>
              </w:rPr>
              <w:t>Celkem</w:t>
            </w:r>
          </w:p>
        </w:tc>
        <w:tc>
          <w:tcPr>
            <w:tcW w:w="2983" w:type="pct"/>
            <w:shd w:val="clear" w:color="auto" w:fill="DBE5F1"/>
            <w:vAlign w:val="center"/>
          </w:tcPr>
          <w:p w14:paraId="41993723" w14:textId="2A804A80" w:rsidR="0071595D" w:rsidRPr="00DD47DF" w:rsidRDefault="00580034" w:rsidP="003D7853">
            <w:pPr>
              <w:pStyle w:val="Tabulka"/>
              <w:jc w:val="right"/>
              <w:rPr>
                <w:rFonts w:cs="Calibri"/>
              </w:rPr>
            </w:pPr>
            <w:r>
              <w:rPr>
                <w:rFonts w:cs="Calibri"/>
              </w:rPr>
              <w:t>1 120 120 616</w:t>
            </w:r>
            <w:bookmarkStart w:id="115" w:name="_GoBack"/>
            <w:bookmarkEnd w:id="115"/>
          </w:p>
        </w:tc>
        <w:tc>
          <w:tcPr>
            <w:tcW w:w="1450" w:type="pct"/>
            <w:shd w:val="clear" w:color="auto" w:fill="DBE5F1"/>
            <w:vAlign w:val="center"/>
          </w:tcPr>
          <w:p w14:paraId="2DE5204B" w14:textId="17E0D213" w:rsidR="0071595D" w:rsidRPr="00DD47DF" w:rsidRDefault="00580034" w:rsidP="006E4304">
            <w:pPr>
              <w:pStyle w:val="Tabulka"/>
              <w:jc w:val="right"/>
              <w:rPr>
                <w:rFonts w:cs="Calibri"/>
              </w:rPr>
            </w:pPr>
            <w:r>
              <w:rPr>
                <w:rFonts w:cs="Calibri"/>
              </w:rPr>
              <w:t>25</w:t>
            </w:r>
            <w:r w:rsidR="0032362B" w:rsidRPr="00DD47DF">
              <w:rPr>
                <w:rFonts w:cs="Calibri"/>
              </w:rPr>
              <w:t>,</w:t>
            </w:r>
            <w:r>
              <w:rPr>
                <w:rFonts w:cs="Calibri"/>
              </w:rPr>
              <w:t>86</w:t>
            </w:r>
          </w:p>
        </w:tc>
      </w:tr>
    </w:tbl>
    <w:p w14:paraId="15D50EC8" w14:textId="77777777" w:rsidR="0071595D" w:rsidRPr="00DD47DF" w:rsidRDefault="0071595D" w:rsidP="0071595D">
      <w:pPr>
        <w:spacing w:after="200" w:line="276" w:lineRule="auto"/>
        <w:rPr>
          <w:rFonts w:ascii="Calibri" w:hAnsi="Calibri" w:cs="Calibri"/>
          <w:sz w:val="24"/>
          <w:szCs w:val="24"/>
        </w:rPr>
      </w:pPr>
    </w:p>
    <w:p w14:paraId="29A4CFD8" w14:textId="77777777" w:rsidR="00157951" w:rsidRPr="00DD47DF" w:rsidRDefault="00157951" w:rsidP="0071595D">
      <w:pPr>
        <w:spacing w:after="200" w:line="276" w:lineRule="auto"/>
        <w:rPr>
          <w:rFonts w:ascii="Calibri" w:hAnsi="Calibri" w:cs="Calibri"/>
          <w:sz w:val="24"/>
          <w:szCs w:val="24"/>
        </w:rPr>
        <w:sectPr w:rsidR="00157951" w:rsidRPr="00DD47DF" w:rsidSect="00157951">
          <w:headerReference w:type="default" r:id="rId48"/>
          <w:footerReference w:type="default" r:id="rId49"/>
          <w:headerReference w:type="first" r:id="rId50"/>
          <w:footerReference w:type="first" r:id="rId51"/>
          <w:pgSz w:w="16838" w:h="11906" w:orient="landscape"/>
          <w:pgMar w:top="1418" w:right="1418" w:bottom="1276" w:left="1276" w:header="709" w:footer="709" w:gutter="0"/>
          <w:cols w:space="708"/>
          <w:titlePg/>
          <w:docGrid w:linePitch="272"/>
        </w:sectPr>
      </w:pPr>
    </w:p>
    <w:p w14:paraId="32C66C5C" w14:textId="77777777" w:rsidR="009E6172" w:rsidRPr="00DD47DF" w:rsidRDefault="00833413" w:rsidP="00833413">
      <w:pPr>
        <w:pStyle w:val="Nadpis1"/>
      </w:pPr>
      <w:bookmarkStart w:id="116" w:name="_Toc351464424"/>
      <w:bookmarkStart w:id="117" w:name="_Toc506885056"/>
      <w:r w:rsidRPr="00DD47DF">
        <w:lastRenderedPageBreak/>
        <w:t>Integrovaný přístup k územnímu rozvoji</w:t>
      </w:r>
      <w:bookmarkEnd w:id="116"/>
      <w:bookmarkEnd w:id="117"/>
    </w:p>
    <w:p w14:paraId="0137C591" w14:textId="77777777" w:rsidR="00B512F1" w:rsidRPr="00DD47DF" w:rsidRDefault="00B512F1" w:rsidP="00B512F1">
      <w:pPr>
        <w:pStyle w:val="Standardntext"/>
      </w:pPr>
      <w:r w:rsidRPr="00DD47DF">
        <w:t xml:space="preserve">Východiskem pro zaměření územní dimenze a integrovaných přístupů v </w:t>
      </w:r>
      <w:r w:rsidR="00BD7D9C" w:rsidRPr="00DD47DF">
        <w:t xml:space="preserve">operačním </w:t>
      </w:r>
      <w:r w:rsidRPr="00DD47DF">
        <w:t xml:space="preserve">programu je </w:t>
      </w:r>
      <w:r w:rsidR="00AB4CD8" w:rsidRPr="00DD47DF">
        <w:t xml:space="preserve">vedle Dohody o partnerství </w:t>
      </w:r>
      <w:r w:rsidR="00BD7D9C" w:rsidRPr="00DD47DF">
        <w:t xml:space="preserve">ČR </w:t>
      </w:r>
      <w:r w:rsidRPr="00DD47DF">
        <w:rPr>
          <w:b/>
        </w:rPr>
        <w:t xml:space="preserve">Národní dokument k územní dimenzi </w:t>
      </w:r>
      <w:r w:rsidRPr="00DD47DF">
        <w:t>(dále také „NDÚD“)</w:t>
      </w:r>
      <w:r w:rsidR="00146E3D" w:rsidRPr="00DD47DF">
        <w:t>, který byl schválen usnesením vlády ČR ze dne 27. srpna 2014 č. 681</w:t>
      </w:r>
      <w:r w:rsidRPr="00DD47DF">
        <w:t>. Tento strategický dokument rozčleňuje území Č</w:t>
      </w:r>
      <w:r w:rsidR="00BD7D9C" w:rsidRPr="00DD47DF">
        <w:t xml:space="preserve">eské republiky </w:t>
      </w:r>
      <w:r w:rsidRPr="00DD47DF">
        <w:t>do několika kategorií, přičemž pro OP PIK jsou relevantní následující tři typy území či funkčních celků. V souladu s NDÚD jsou pro tyto typy území relevantní následující specifické cíle OP PIK</w:t>
      </w:r>
      <w:r w:rsidR="00720FC6" w:rsidRPr="00DD47DF">
        <w:rPr>
          <w:rStyle w:val="Znakapoznpodarou"/>
        </w:rPr>
        <w:footnoteReference w:id="81"/>
      </w:r>
      <w:r w:rsidRPr="00DD47DF">
        <w:t>, a proto je v nich vhodné využít silnou intenzitu podpory:</w:t>
      </w:r>
    </w:p>
    <w:p w14:paraId="53A2EB5F" w14:textId="77777777" w:rsidR="00B512F1" w:rsidRPr="00DD47DF" w:rsidRDefault="00B512F1" w:rsidP="00DA3512">
      <w:pPr>
        <w:pStyle w:val="Standardntext"/>
        <w:numPr>
          <w:ilvl w:val="0"/>
          <w:numId w:val="78"/>
        </w:numPr>
        <w:rPr>
          <w:b/>
        </w:rPr>
      </w:pPr>
      <w:r w:rsidRPr="00DD47DF">
        <w:rPr>
          <w:b/>
        </w:rPr>
        <w:t>Hospodářsky problémov</w:t>
      </w:r>
      <w:r w:rsidR="00C859E0" w:rsidRPr="00DD47DF">
        <w:rPr>
          <w:b/>
        </w:rPr>
        <w:t>é regiony</w:t>
      </w:r>
      <w:r w:rsidRPr="00DD47DF">
        <w:rPr>
          <w:b/>
        </w:rPr>
        <w:t xml:space="preserve"> a území s vysokou mírou nezaměstnanost</w:t>
      </w:r>
      <w:r w:rsidR="002832C1" w:rsidRPr="00DD47DF">
        <w:rPr>
          <w:b/>
        </w:rPr>
        <w:t>i</w:t>
      </w:r>
    </w:p>
    <w:p w14:paraId="2C2C6EFC" w14:textId="4A8DB572" w:rsidR="002556A0" w:rsidRPr="00DD47DF" w:rsidRDefault="00AB2971" w:rsidP="002556A0">
      <w:pPr>
        <w:pStyle w:val="Standardntext"/>
        <w:ind w:left="720"/>
      </w:pPr>
      <w:r w:rsidRPr="00AB2971">
        <w:t xml:space="preserve"> Jde o hospodářsky problémové regiony dle usnesení vlády ČR ze dne 15. května 2013 č. 344 a regiony dle usnesení vlády ČR ze dne 19. října 2015 č. 826 (blíže viz oddíl 5).</w:t>
      </w:r>
      <w:r w:rsidR="002556A0" w:rsidRPr="00DD47DF">
        <w:t xml:space="preserve">Pokud jde o území s vysokým podílem </w:t>
      </w:r>
      <w:r w:rsidR="00963510" w:rsidRPr="00DD47DF">
        <w:t>nezaměstnaných osob</w:t>
      </w:r>
      <w:r w:rsidR="002556A0" w:rsidRPr="00DD47DF">
        <w:t xml:space="preserve">, ta budou pro účely bonifikace projektů směřujících do těchto území definována jako okresy ČR s </w:t>
      </w:r>
      <w:r w:rsidR="00963510" w:rsidRPr="00DD47DF">
        <w:t xml:space="preserve">vyšším podílem nezaměstnaných osob </w:t>
      </w:r>
      <w:r w:rsidR="002556A0" w:rsidRPr="00DD47DF">
        <w:t xml:space="preserve">za měsíc předcházející vyhlášení výzvy pro předkládání projektů, než je průměrný podíl </w:t>
      </w:r>
      <w:r w:rsidR="002840F9" w:rsidRPr="00DD47DF">
        <w:t>nezaměstnaných osob</w:t>
      </w:r>
      <w:r w:rsidR="002556A0" w:rsidRPr="00DD47DF">
        <w:t xml:space="preserve"> ČR ve stejném období.</w:t>
      </w:r>
    </w:p>
    <w:p w14:paraId="3FAA85D3" w14:textId="77777777" w:rsidR="00B512F1" w:rsidRPr="00DD47DF" w:rsidRDefault="002556A0" w:rsidP="00466CFC">
      <w:pPr>
        <w:pStyle w:val="Standardntext"/>
        <w:ind w:left="708"/>
      </w:pPr>
      <w:r w:rsidRPr="00DD47DF">
        <w:t>Takto definovaná území se týkají většiny specifických cílů operačního programu a způsob jejich vymezení bude vždy uveden v příslušné výzvě k předkládání projektů vyhlášené pro daný specifický cíl operačního programu.</w:t>
      </w:r>
    </w:p>
    <w:p w14:paraId="0BDCC60C" w14:textId="77777777" w:rsidR="00B512F1" w:rsidRPr="00DD47DF" w:rsidRDefault="00B512F1" w:rsidP="00DA3512">
      <w:pPr>
        <w:pStyle w:val="Standardntext"/>
        <w:numPr>
          <w:ilvl w:val="0"/>
          <w:numId w:val="78"/>
        </w:numPr>
        <w:rPr>
          <w:b/>
        </w:rPr>
      </w:pPr>
      <w:r w:rsidRPr="00DD47DF">
        <w:rPr>
          <w:b/>
        </w:rPr>
        <w:t>Rozvojová a urbánní území</w:t>
      </w:r>
    </w:p>
    <w:p w14:paraId="2FA67E65" w14:textId="77777777" w:rsidR="00B512F1" w:rsidRPr="00DD47DF" w:rsidRDefault="00B512F1" w:rsidP="00B512F1">
      <w:pPr>
        <w:pStyle w:val="Standardntext"/>
        <w:ind w:left="720"/>
      </w:pPr>
      <w:r w:rsidRPr="00DD47DF">
        <w:t>Jde o rozvojová území dle typologie Strategie regionálního rozvoje ČR 2014-2020 a urbánní území, v nichž bude uplatněn integrovaný nástroj</w:t>
      </w:r>
      <w:r w:rsidR="00BD7D9C" w:rsidRPr="00DD47DF">
        <w:t xml:space="preserve"> (v případě OP PIK půjde o ITI)</w:t>
      </w:r>
      <w:r w:rsidRPr="00DD47DF">
        <w:t>.</w:t>
      </w:r>
    </w:p>
    <w:p w14:paraId="214BBFD6" w14:textId="77777777" w:rsidR="00B512F1" w:rsidRPr="00DD47DF" w:rsidRDefault="00C26FF4" w:rsidP="00B512F1">
      <w:pPr>
        <w:pStyle w:val="Standardntext"/>
        <w:ind w:left="720"/>
      </w:pPr>
      <w:r w:rsidRPr="00DD47DF">
        <w:t xml:space="preserve">V případě rozvojových území se </w:t>
      </w:r>
      <w:r w:rsidR="00181683" w:rsidRPr="00DD47DF">
        <w:t xml:space="preserve">intervence OP PIK </w:t>
      </w:r>
      <w:r w:rsidR="00B512F1" w:rsidRPr="00DD47DF">
        <w:t>týk</w:t>
      </w:r>
      <w:r w:rsidR="00181683" w:rsidRPr="00DD47DF">
        <w:t xml:space="preserve">ají </w:t>
      </w:r>
      <w:r w:rsidR="00B512F1" w:rsidRPr="00DD47DF">
        <w:t>specifických cílů 1.1, 1.2 a 4.2. V případě urbánních území se týk</w:t>
      </w:r>
      <w:r w:rsidR="00181683" w:rsidRPr="00DD47DF">
        <w:t>ají s</w:t>
      </w:r>
      <w:r w:rsidR="00B512F1" w:rsidRPr="00DD47DF">
        <w:t>pecifických cílů 1.1, 1.2, 2.1, 2.3, 2.4 a 3.5.</w:t>
      </w:r>
    </w:p>
    <w:p w14:paraId="720B31BB" w14:textId="77777777" w:rsidR="00B512F1" w:rsidRPr="00DD47DF" w:rsidRDefault="00B512F1" w:rsidP="00DA3512">
      <w:pPr>
        <w:pStyle w:val="Standardntext"/>
        <w:numPr>
          <w:ilvl w:val="0"/>
          <w:numId w:val="78"/>
        </w:numPr>
        <w:rPr>
          <w:b/>
        </w:rPr>
      </w:pPr>
      <w:r w:rsidRPr="00DD47DF">
        <w:rPr>
          <w:b/>
        </w:rPr>
        <w:t>Ostatní území</w:t>
      </w:r>
    </w:p>
    <w:p w14:paraId="327FCD98" w14:textId="402CC665" w:rsidR="00B512F1" w:rsidRPr="00DD47DF" w:rsidRDefault="006840A6" w:rsidP="00B512F1">
      <w:pPr>
        <w:pStyle w:val="Standardntext"/>
        <w:ind w:left="720"/>
      </w:pPr>
      <w:r w:rsidRPr="00700E39">
        <w:t>Jde o cílové území specifického cíle 4.1 a dílčí cílové území specifického cíle 2.3 (viz oddíl 2.A.6.1 těchto specifických cílů).</w:t>
      </w:r>
    </w:p>
    <w:p w14:paraId="6BFF0108" w14:textId="0461AA2D" w:rsidR="00B512F1" w:rsidRPr="00DD47DF" w:rsidRDefault="006840A6" w:rsidP="00B512F1">
      <w:pPr>
        <w:pStyle w:val="Standardntext"/>
      </w:pPr>
      <w:r w:rsidRPr="00700E39">
        <w:t>Takto identifikovaná územní dimenze u jednotlivých specifických cílů bude v OP PIK realizována v zásadě následujícími způsoby:</w:t>
      </w:r>
    </w:p>
    <w:p w14:paraId="30D76E51" w14:textId="77777777" w:rsidR="00757F45" w:rsidRPr="00DD47DF" w:rsidRDefault="00165E6D" w:rsidP="00DA3512">
      <w:pPr>
        <w:pStyle w:val="Standardntext"/>
        <w:numPr>
          <w:ilvl w:val="0"/>
          <w:numId w:val="79"/>
        </w:numPr>
      </w:pPr>
      <w:r w:rsidRPr="00DD47DF">
        <w:t>U</w:t>
      </w:r>
      <w:r w:rsidR="00710D23" w:rsidRPr="00DD47DF">
        <w:t>platnění</w:t>
      </w:r>
      <w:r w:rsidR="00EA7638" w:rsidRPr="00DD47DF">
        <w:t>m</w:t>
      </w:r>
      <w:r w:rsidR="00710D23" w:rsidRPr="00DD47DF">
        <w:t xml:space="preserve"> bonifikace projektů v hospodářsky problémových </w:t>
      </w:r>
      <w:r w:rsidR="00C859E0" w:rsidRPr="00DD47DF">
        <w:t xml:space="preserve">regionech </w:t>
      </w:r>
      <w:r w:rsidR="00710D23" w:rsidRPr="00DD47DF">
        <w:t>a územích s vysokou mírou nezaměstnanost</w:t>
      </w:r>
      <w:r w:rsidR="002832C1" w:rsidRPr="00DD47DF">
        <w:t>i</w:t>
      </w:r>
      <w:r w:rsidR="00EA7638" w:rsidRPr="00DD47DF">
        <w:t>,</w:t>
      </w:r>
    </w:p>
    <w:p w14:paraId="53AFEE2B" w14:textId="77777777" w:rsidR="009F75F9" w:rsidRPr="00DD47DF" w:rsidRDefault="009F75F9" w:rsidP="00DA3512">
      <w:pPr>
        <w:pStyle w:val="Standardntext"/>
        <w:numPr>
          <w:ilvl w:val="0"/>
          <w:numId w:val="79"/>
        </w:numPr>
      </w:pPr>
      <w:r w:rsidRPr="00DD47DF">
        <w:t xml:space="preserve">Řídící orgán po úvodních plošných výzvách k nově schváleným programům podpory návazně zváží cílené vyhlášení omezených specifických výzev </w:t>
      </w:r>
      <w:r w:rsidR="00736B31" w:rsidRPr="00DD47DF">
        <w:t xml:space="preserve">směřovaných </w:t>
      </w:r>
      <w:r w:rsidRPr="00DD47DF">
        <w:t>výhradně do hospodářsky problémových regionů a území s vysokou mírou nezaměstnanosti, aby lépe zacílil intenzitu podpory v takto strukturálně nejpostiženějších územích</w:t>
      </w:r>
      <w:r w:rsidR="00756158" w:rsidRPr="00DD47DF">
        <w:t>.</w:t>
      </w:r>
    </w:p>
    <w:p w14:paraId="1F50D22C" w14:textId="77777777" w:rsidR="00710D23" w:rsidRPr="00DD47DF" w:rsidRDefault="00165E6D" w:rsidP="00DA3512">
      <w:pPr>
        <w:pStyle w:val="Standardntext"/>
        <w:numPr>
          <w:ilvl w:val="0"/>
          <w:numId w:val="79"/>
        </w:numPr>
      </w:pPr>
      <w:r w:rsidRPr="00DD47DF">
        <w:t>I</w:t>
      </w:r>
      <w:r w:rsidR="00EA7638" w:rsidRPr="00DD47DF">
        <w:t>ntegrovanými nástroji, konkrétně integrovanými územními investicemi</w:t>
      </w:r>
      <w:r w:rsidR="00BD7D9C" w:rsidRPr="00DD47DF">
        <w:t xml:space="preserve"> (ITI)</w:t>
      </w:r>
      <w:r w:rsidR="00EA7638" w:rsidRPr="00DD47DF">
        <w:t>.</w:t>
      </w:r>
    </w:p>
    <w:p w14:paraId="7A9BA0B2" w14:textId="77777777" w:rsidR="00756158" w:rsidRDefault="00756158" w:rsidP="00DA3512">
      <w:pPr>
        <w:pStyle w:val="Standardntext"/>
        <w:numPr>
          <w:ilvl w:val="0"/>
          <w:numId w:val="79"/>
        </w:numPr>
      </w:pPr>
      <w:r w:rsidRPr="00DD47DF">
        <w:lastRenderedPageBreak/>
        <w:t>Územně cílené výzvy vyplývající z charakteru dané intervence v případě specifického cíle 4.1 (typ území „ostatní území“). Intervence v tohoto specifickém cíli směřují výhradně do lokalit, ve kterých neexistuje žádný provozovatel sítě pro vysokorychlostní přístup k internetu umožňující zajišťování služby reálnou rychlostí alespoň 30 Mbit/s a není pravděpodobné, že by v ní do tří let nějaký poskytovatel vybudoval infrastrukturu pro poskytování této služby (tzv. bílá místa).</w:t>
      </w:r>
    </w:p>
    <w:p w14:paraId="263E1C48" w14:textId="02C94A7A" w:rsidR="00544985" w:rsidRPr="00DD47DF" w:rsidRDefault="00544985" w:rsidP="00DA3512">
      <w:pPr>
        <w:pStyle w:val="Standardntext"/>
        <w:numPr>
          <w:ilvl w:val="0"/>
          <w:numId w:val="79"/>
        </w:numPr>
      </w:pPr>
      <w:r w:rsidRPr="00700E39">
        <w:t xml:space="preserve">Územně cílené výzvy v rámci </w:t>
      </w:r>
      <w:r w:rsidRPr="00700E39">
        <w:rPr>
          <w:b/>
          <w:bCs/>
        </w:rPr>
        <w:t xml:space="preserve">režimu regionální podpory zaměřeného na cestovní ruch v podporovaných specifických oblastech </w:t>
      </w:r>
      <w:r w:rsidRPr="00700E39">
        <w:t>v případě specifického cíle 2.3 (typ území „ostatní území“). Dílčí intervence v tomto specifickém cíli, jako součást</w:t>
      </w:r>
      <w:r w:rsidRPr="00700E39">
        <w:rPr>
          <w:b/>
          <w:bCs/>
        </w:rPr>
        <w:t xml:space="preserve"> </w:t>
      </w:r>
      <w:r w:rsidRPr="00700E39">
        <w:t>režimu regionální podpory zaměřeného na cestovní ruch v podporovaném regionu,</w:t>
      </w:r>
      <w:r w:rsidRPr="00700E39">
        <w:rPr>
          <w:b/>
          <w:bCs/>
        </w:rPr>
        <w:t xml:space="preserve"> </w:t>
      </w:r>
      <w:r w:rsidRPr="00700E39">
        <w:t>který má obzvlášť pozitivní účinek na regionální rozvoj, směřují výhradně do lokalit,</w:t>
      </w:r>
      <w:r w:rsidRPr="00700E39">
        <w:rPr>
          <w:b/>
          <w:bCs/>
        </w:rPr>
        <w:t xml:space="preserve"> </w:t>
      </w:r>
      <w:r w:rsidRPr="00700E39">
        <w:t>v nichž může podpora cestovního ruchu tvořit potenciálně zdůvodnitelné využívání</w:t>
      </w:r>
      <w:r w:rsidRPr="00700E39">
        <w:rPr>
          <w:b/>
          <w:bCs/>
        </w:rPr>
        <w:t xml:space="preserve"> </w:t>
      </w:r>
      <w:r w:rsidRPr="00700E39">
        <w:t>fondů ESI jako prostředek diversifikace a odhalování hospodářského potenciálu</w:t>
      </w:r>
      <w:r w:rsidRPr="00700E39">
        <w:rPr>
          <w:b/>
          <w:bCs/>
        </w:rPr>
        <w:t xml:space="preserve"> </w:t>
      </w:r>
      <w:r w:rsidRPr="00700E39">
        <w:t>venkovských oblastí (tzv. malé venkovské obce s výjimečným potenciálem přírodního</w:t>
      </w:r>
      <w:r w:rsidRPr="00700E39">
        <w:rPr>
          <w:b/>
          <w:bCs/>
        </w:rPr>
        <w:t xml:space="preserve"> </w:t>
      </w:r>
      <w:r w:rsidRPr="00700E39">
        <w:t>subsystému cestovního ruchu).</w:t>
      </w:r>
    </w:p>
    <w:p w14:paraId="3F70CE24" w14:textId="77777777" w:rsidR="00AA5B29" w:rsidRPr="00DD47DF" w:rsidRDefault="00833413" w:rsidP="00833413">
      <w:pPr>
        <w:pStyle w:val="Nadpis2"/>
        <w:rPr>
          <w:rFonts w:cs="Calibri"/>
        </w:rPr>
      </w:pPr>
      <w:bookmarkStart w:id="118" w:name="_Toc506885057"/>
      <w:r w:rsidRPr="00DD47DF">
        <w:rPr>
          <w:rFonts w:cs="Calibri"/>
        </w:rPr>
        <w:t>Nástroje k zajištění komunitně vedeného místního rozvoje</w:t>
      </w:r>
      <w:bookmarkEnd w:id="118"/>
    </w:p>
    <w:p w14:paraId="65A1101F" w14:textId="77777777" w:rsidR="00A107C6" w:rsidRPr="00DD47DF" w:rsidRDefault="0093745F" w:rsidP="00AC4A31">
      <w:pPr>
        <w:pStyle w:val="Standardntext"/>
      </w:pPr>
      <w:r w:rsidRPr="00DD47DF">
        <w:t>V souladu s Dohodou o partnerství a v</w:t>
      </w:r>
      <w:r w:rsidR="00A107C6" w:rsidRPr="00DD47DF">
        <w:t>zhledem</w:t>
      </w:r>
      <w:r w:rsidRPr="00DD47DF">
        <w:t xml:space="preserve"> k charakteru OP PIK nebude v Operačním programu využita metoda komunitně vedeného místního rozvoje ve smyslu čl. 32 obecného nařízení.  </w:t>
      </w:r>
      <w:r w:rsidR="00CB2164" w:rsidRPr="00DD47DF">
        <w:t>Místní akční skupiny (dále jen „</w:t>
      </w:r>
      <w:r w:rsidR="00A107C6" w:rsidRPr="00DD47DF">
        <w:t>MAS</w:t>
      </w:r>
      <w:r w:rsidR="00CB2164" w:rsidRPr="00DD47DF">
        <w:t xml:space="preserve">“) však mohou na základě svých znalostí problematiky daného území </w:t>
      </w:r>
      <w:r w:rsidR="00A107C6" w:rsidRPr="00DD47DF">
        <w:t xml:space="preserve">napomoci ke zvyšování absorpční kapacity v území a zajištění monitoringu problémů a potenciálu daného území. </w:t>
      </w:r>
      <w:r w:rsidR="00D53A31" w:rsidRPr="00DD47DF">
        <w:t>Iniciativní partnerská pomoc</w:t>
      </w:r>
      <w:r w:rsidRPr="00DD47DF">
        <w:t xml:space="preserve"> MAS by </w:t>
      </w:r>
      <w:r w:rsidR="00D53A31" w:rsidRPr="00DD47DF">
        <w:t>nebyla financována z technické pomoci Operačního programu, v relevantních případech by však mohla být podpořena z Integrovaného regionálního</w:t>
      </w:r>
      <w:r w:rsidRPr="00DD47DF">
        <w:t xml:space="preserve"> operačního programu v gesci Ministerstva pro místní rozvoj</w:t>
      </w:r>
      <w:r w:rsidR="00D53A31" w:rsidRPr="00DD47DF">
        <w:t xml:space="preserve"> za podmínek tam uvedených. </w:t>
      </w:r>
      <w:r w:rsidR="00CB2164" w:rsidRPr="00DD47DF">
        <w:t>Spolupráce Řídícího orgánu OP PIK a MAS bude probíhat prostřednictvím účasti MAS v Monitorovacím výboru</w:t>
      </w:r>
      <w:r w:rsidR="00A73AD5" w:rsidRPr="00DD47DF">
        <w:t>.</w:t>
      </w:r>
    </w:p>
    <w:p w14:paraId="6EF45551" w14:textId="77777777" w:rsidR="002F6CB3" w:rsidRPr="00DD47DF" w:rsidRDefault="00833413" w:rsidP="00833413">
      <w:pPr>
        <w:pStyle w:val="Nadpis2"/>
        <w:rPr>
          <w:rFonts w:cs="Calibri"/>
        </w:rPr>
      </w:pPr>
      <w:bookmarkStart w:id="119" w:name="_Toc506885058"/>
      <w:r w:rsidRPr="00DD47DF">
        <w:rPr>
          <w:rFonts w:cs="Calibri"/>
        </w:rPr>
        <w:t>Integrovaná opatření pro udržitelný rozvoj měst</w:t>
      </w:r>
      <w:bookmarkEnd w:id="119"/>
    </w:p>
    <w:p w14:paraId="2E79FF62" w14:textId="77777777" w:rsidR="007957E8" w:rsidRPr="00DD47DF" w:rsidRDefault="00AA3134" w:rsidP="007957E8">
      <w:pPr>
        <w:pStyle w:val="Standardntext"/>
      </w:pPr>
      <w:r w:rsidRPr="00DD47DF">
        <w:t>Integrovan</w:t>
      </w:r>
      <w:r w:rsidR="00D60C74" w:rsidRPr="00DD47DF">
        <w:t>á opatření pro udržitelný rozvoj měst</w:t>
      </w:r>
      <w:r w:rsidRPr="00DD47DF">
        <w:t xml:space="preserve"> se </w:t>
      </w:r>
      <w:r w:rsidR="00D60C74" w:rsidRPr="00DD47DF">
        <w:t xml:space="preserve">v OP PIK </w:t>
      </w:r>
      <w:r w:rsidRPr="00DD47DF">
        <w:t xml:space="preserve">realizují </w:t>
      </w:r>
      <w:r w:rsidR="00587A0C" w:rsidRPr="00DD47DF">
        <w:t xml:space="preserve">výhradně </w:t>
      </w:r>
      <w:r w:rsidRPr="00DD47DF">
        <w:t xml:space="preserve">prostřednictvím </w:t>
      </w:r>
      <w:r w:rsidRPr="00DD47DF">
        <w:rPr>
          <w:b/>
        </w:rPr>
        <w:t xml:space="preserve">integrovaných </w:t>
      </w:r>
      <w:r w:rsidR="00D60C74" w:rsidRPr="00DD47DF">
        <w:rPr>
          <w:b/>
        </w:rPr>
        <w:t>územních investic</w:t>
      </w:r>
      <w:r w:rsidR="00D60C74" w:rsidRPr="00DD47DF">
        <w:t xml:space="preserve"> </w:t>
      </w:r>
      <w:r w:rsidR="007957E8" w:rsidRPr="00DD47DF">
        <w:t>(viz oddíl 4.3).</w:t>
      </w:r>
    </w:p>
    <w:p w14:paraId="19472F4A" w14:textId="77777777" w:rsidR="00263E78" w:rsidRPr="00DD47DF" w:rsidRDefault="00D94782" w:rsidP="004E6DD3">
      <w:pPr>
        <w:pStyle w:val="Titulek"/>
        <w:keepNext/>
        <w:keepLines/>
      </w:pPr>
      <w:r w:rsidRPr="00DD47DF">
        <w:lastRenderedPageBreak/>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20</w:t>
      </w:r>
      <w:r w:rsidR="002756E7" w:rsidRPr="00DD47DF">
        <w:rPr>
          <w:noProof/>
        </w:rPr>
        <w:fldChar w:fldCharType="end"/>
      </w:r>
      <w:r w:rsidR="009F444D" w:rsidRPr="00DD47DF">
        <w:rPr>
          <w:noProof/>
        </w:rPr>
        <w:t>:</w:t>
      </w:r>
      <w:r w:rsidR="00263E78" w:rsidRPr="00DD47DF">
        <w:t xml:space="preserve"> </w:t>
      </w:r>
      <w:r w:rsidR="00833413" w:rsidRPr="00DD47DF">
        <w:t>Integrovaná opatření pro udržitelný rozvoj měst – orientační částky podpory z EFRR a ESF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92"/>
        <w:gridCol w:w="3585"/>
        <w:gridCol w:w="4449"/>
      </w:tblGrid>
      <w:tr w:rsidR="00263E78" w:rsidRPr="00DD47DF" w14:paraId="40D10620" w14:textId="77777777">
        <w:trPr>
          <w:trHeight w:val="441"/>
        </w:trPr>
        <w:tc>
          <w:tcPr>
            <w:tcW w:w="0" w:type="auto"/>
            <w:vMerge w:val="restart"/>
            <w:shd w:val="clear" w:color="auto" w:fill="B8CCE4"/>
            <w:vAlign w:val="center"/>
          </w:tcPr>
          <w:p w14:paraId="5AEDF7CF" w14:textId="77777777" w:rsidR="00263E78" w:rsidRPr="00DD47DF" w:rsidRDefault="00263E78" w:rsidP="004E6DD3">
            <w:pPr>
              <w:pStyle w:val="Tabulka"/>
              <w:keepNext/>
              <w:keepLines/>
              <w:rPr>
                <w:rFonts w:cs="Calibri"/>
                <w:b/>
                <w:lang w:eastAsia="en-US"/>
              </w:rPr>
            </w:pPr>
            <w:r w:rsidRPr="00DD47DF">
              <w:rPr>
                <w:rFonts w:cs="Calibri"/>
                <w:b/>
                <w:lang w:eastAsia="en-US"/>
              </w:rPr>
              <w:t>Fond</w:t>
            </w:r>
          </w:p>
        </w:tc>
        <w:tc>
          <w:tcPr>
            <w:tcW w:w="3585" w:type="dxa"/>
            <w:vMerge w:val="restart"/>
            <w:shd w:val="clear" w:color="auto" w:fill="B8CCE4"/>
            <w:vAlign w:val="center"/>
          </w:tcPr>
          <w:p w14:paraId="76489670" w14:textId="77777777" w:rsidR="00263E78" w:rsidRPr="00DD47DF" w:rsidRDefault="00833413" w:rsidP="004E6DD3">
            <w:pPr>
              <w:pStyle w:val="Tabulka"/>
              <w:keepNext/>
              <w:keepLines/>
              <w:rPr>
                <w:rFonts w:cs="Calibri"/>
                <w:b/>
                <w:lang w:eastAsia="en-US"/>
              </w:rPr>
            </w:pPr>
            <w:r w:rsidRPr="00DD47DF">
              <w:rPr>
                <w:rFonts w:cs="Calibri"/>
                <w:b/>
                <w:color w:val="000000"/>
                <w:kern w:val="32"/>
                <w:lang w:eastAsia="en-US"/>
              </w:rPr>
              <w:t>Podpora z EFRR a ESF (orientačně) (v EUR)</w:t>
            </w:r>
          </w:p>
        </w:tc>
        <w:tc>
          <w:tcPr>
            <w:tcW w:w="4449" w:type="dxa"/>
            <w:vMerge w:val="restart"/>
            <w:shd w:val="clear" w:color="auto" w:fill="B8CCE4"/>
            <w:vAlign w:val="center"/>
          </w:tcPr>
          <w:p w14:paraId="59C04983" w14:textId="77777777" w:rsidR="00263E78" w:rsidRPr="00DD47DF" w:rsidRDefault="00833413" w:rsidP="004E6DD3">
            <w:pPr>
              <w:pStyle w:val="Tabulka"/>
              <w:keepNext/>
              <w:keepLines/>
              <w:rPr>
                <w:rFonts w:cs="Calibri"/>
                <w:b/>
                <w:lang w:eastAsia="en-US"/>
              </w:rPr>
            </w:pPr>
            <w:r w:rsidRPr="00DD47DF">
              <w:rPr>
                <w:rFonts w:cs="Calibri"/>
                <w:b/>
                <w:color w:val="000000"/>
                <w:kern w:val="32"/>
                <w:lang w:eastAsia="en-US"/>
              </w:rPr>
              <w:t>Podíl celkového přídělu fondu na operační program</w:t>
            </w:r>
          </w:p>
        </w:tc>
      </w:tr>
      <w:tr w:rsidR="00263E78" w:rsidRPr="00DD47DF" w14:paraId="2EA1DA8C" w14:textId="77777777">
        <w:trPr>
          <w:trHeight w:val="373"/>
        </w:trPr>
        <w:tc>
          <w:tcPr>
            <w:tcW w:w="0" w:type="auto"/>
            <w:vMerge/>
            <w:shd w:val="clear" w:color="auto" w:fill="B8CCE4"/>
            <w:vAlign w:val="center"/>
          </w:tcPr>
          <w:p w14:paraId="2DE4C3CE" w14:textId="77777777" w:rsidR="00263E78" w:rsidRPr="00DD47DF" w:rsidRDefault="00263E78" w:rsidP="004E6DD3">
            <w:pPr>
              <w:pStyle w:val="Tabulka"/>
              <w:keepNext/>
              <w:keepLines/>
              <w:rPr>
                <w:rFonts w:cs="Calibri"/>
                <w:lang w:eastAsia="en-US"/>
              </w:rPr>
            </w:pPr>
          </w:p>
        </w:tc>
        <w:tc>
          <w:tcPr>
            <w:tcW w:w="3585" w:type="dxa"/>
            <w:vMerge/>
            <w:shd w:val="clear" w:color="auto" w:fill="B8CCE4"/>
            <w:vAlign w:val="center"/>
          </w:tcPr>
          <w:p w14:paraId="3C3888EF" w14:textId="77777777" w:rsidR="00263E78" w:rsidRPr="00DD47DF" w:rsidRDefault="00263E78" w:rsidP="004E6DD3">
            <w:pPr>
              <w:pStyle w:val="Tabulka"/>
              <w:keepNext/>
              <w:keepLines/>
              <w:rPr>
                <w:rFonts w:cs="Calibri"/>
                <w:color w:val="000000"/>
                <w:kern w:val="32"/>
                <w:lang w:eastAsia="en-US"/>
              </w:rPr>
            </w:pPr>
          </w:p>
        </w:tc>
        <w:tc>
          <w:tcPr>
            <w:tcW w:w="4449" w:type="dxa"/>
            <w:vMerge/>
            <w:shd w:val="clear" w:color="auto" w:fill="B8CCE4"/>
            <w:vAlign w:val="center"/>
          </w:tcPr>
          <w:p w14:paraId="5FE9FD28" w14:textId="77777777" w:rsidR="00263E78" w:rsidRPr="00DD47DF" w:rsidRDefault="00263E78" w:rsidP="004E6DD3">
            <w:pPr>
              <w:pStyle w:val="Tabulka"/>
              <w:keepNext/>
              <w:keepLines/>
              <w:rPr>
                <w:rFonts w:cs="Calibri"/>
                <w:color w:val="000000"/>
                <w:kern w:val="32"/>
                <w:lang w:eastAsia="en-US"/>
              </w:rPr>
            </w:pPr>
          </w:p>
        </w:tc>
      </w:tr>
      <w:tr w:rsidR="00355CBB" w:rsidRPr="00DD47DF" w14:paraId="3DAB123D" w14:textId="77777777">
        <w:tc>
          <w:tcPr>
            <w:tcW w:w="0" w:type="auto"/>
            <w:vAlign w:val="center"/>
          </w:tcPr>
          <w:p w14:paraId="1249FFBC" w14:textId="77777777" w:rsidR="00355CBB" w:rsidRPr="00DD47DF" w:rsidRDefault="00355CBB" w:rsidP="004E6DD3">
            <w:pPr>
              <w:pStyle w:val="Tabulka"/>
              <w:keepNext/>
              <w:keepLines/>
              <w:jc w:val="left"/>
              <w:rPr>
                <w:rFonts w:cs="Calibri"/>
                <w:lang w:eastAsia="en-US"/>
              </w:rPr>
            </w:pPr>
            <w:r w:rsidRPr="00DD47DF">
              <w:rPr>
                <w:rFonts w:cs="Calibri"/>
                <w:lang w:eastAsia="en-US"/>
              </w:rPr>
              <w:t>Celkem EFRR</w:t>
            </w:r>
          </w:p>
        </w:tc>
        <w:tc>
          <w:tcPr>
            <w:tcW w:w="3585" w:type="dxa"/>
            <w:vAlign w:val="center"/>
          </w:tcPr>
          <w:p w14:paraId="3BE47EBA" w14:textId="31CA42A9" w:rsidR="00355CBB" w:rsidRPr="00DD47DF" w:rsidRDefault="00A436D2" w:rsidP="00DF6C15">
            <w:pPr>
              <w:pStyle w:val="Tabulka"/>
              <w:keepNext/>
              <w:keepLines/>
              <w:rPr>
                <w:rFonts w:cs="Calibri"/>
                <w:lang w:eastAsia="en-US"/>
              </w:rPr>
            </w:pPr>
            <w:r w:rsidRPr="00700E39">
              <w:rPr>
                <w:rFonts w:cs="Calibri"/>
                <w:lang w:eastAsia="en-US"/>
              </w:rPr>
              <w:t>149 714 815</w:t>
            </w:r>
          </w:p>
        </w:tc>
        <w:tc>
          <w:tcPr>
            <w:tcW w:w="4449" w:type="dxa"/>
            <w:vAlign w:val="center"/>
          </w:tcPr>
          <w:p w14:paraId="47DE7E96" w14:textId="376C1DB8" w:rsidR="00355CBB" w:rsidRPr="00DD47DF" w:rsidRDefault="00A436D2" w:rsidP="004E6DD3">
            <w:pPr>
              <w:pStyle w:val="Tabulka"/>
              <w:keepNext/>
              <w:keepLines/>
              <w:rPr>
                <w:rFonts w:cs="Calibri"/>
                <w:lang w:eastAsia="en-US"/>
              </w:rPr>
            </w:pPr>
            <w:r w:rsidRPr="00700E39">
              <w:rPr>
                <w:rFonts w:cs="Calibri"/>
                <w:lang w:eastAsia="en-US"/>
              </w:rPr>
              <w:t>3,46</w:t>
            </w:r>
            <w:r w:rsidR="00AE2DC8" w:rsidRPr="00DD47DF">
              <w:rPr>
                <w:rFonts w:cs="Calibri"/>
                <w:lang w:eastAsia="en-US"/>
              </w:rPr>
              <w:t xml:space="preserve"> %</w:t>
            </w:r>
          </w:p>
        </w:tc>
      </w:tr>
    </w:tbl>
    <w:p w14:paraId="66E78E84" w14:textId="77777777" w:rsidR="002F6CB3" w:rsidRPr="00DD47DF" w:rsidRDefault="00833413" w:rsidP="00833413">
      <w:pPr>
        <w:pStyle w:val="Nadpis2"/>
      </w:pPr>
      <w:bookmarkStart w:id="120" w:name="_Toc506885059"/>
      <w:r w:rsidRPr="00DD47DF">
        <w:rPr>
          <w:rFonts w:cs="Calibri"/>
        </w:rPr>
        <w:t>Integrované územní investice</w:t>
      </w:r>
      <w:bookmarkEnd w:id="120"/>
    </w:p>
    <w:p w14:paraId="5C534E6B" w14:textId="77777777" w:rsidR="002C6857" w:rsidRPr="006B1878" w:rsidRDefault="002C6857" w:rsidP="002C6857">
      <w:pPr>
        <w:pStyle w:val="Standardntext"/>
      </w:pPr>
      <w:r w:rsidRPr="006B1878">
        <w:t>Integrované územní investice (dále také „ITI“) budou v souladu s čl. 36 obecného nařízení a na základě jejich vymezení ve Strategii regionálního rozvoje ČR 2014-2020 využity v největších metropolitních oblastech celostátního významu</w:t>
      </w:r>
      <w:r w:rsidRPr="006B1878">
        <w:rPr>
          <w:rStyle w:val="Znakapoznpodarou"/>
        </w:rPr>
        <w:footnoteReference w:id="82"/>
      </w:r>
      <w:r w:rsidRPr="006B1878">
        <w:t xml:space="preserve">. </w:t>
      </w:r>
    </w:p>
    <w:p w14:paraId="02F4515E" w14:textId="77777777" w:rsidR="002C6857" w:rsidRPr="003D5BD2" w:rsidRDefault="002C6857" w:rsidP="002C6857">
      <w:pPr>
        <w:pStyle w:val="Standardntext"/>
      </w:pPr>
      <w:r w:rsidRPr="006B1878">
        <w:t>Integrované územní investice budou naplňovány projekty spolufinancovanými z různých operačních programů a budou obsaženy v integrované strategii (podle čl. 7 odst. 4 nařízení  o EFRR jde o „udržitelnou městskou strategii“). Nositelem integrované strategie bude určené jádrové město příslušné městské aglomerace (metropolitní oblasti).</w:t>
      </w:r>
      <w:r w:rsidRPr="003D5BD2">
        <w:t xml:space="preserve">  </w:t>
      </w:r>
    </w:p>
    <w:p w14:paraId="71E2253D" w14:textId="77777777" w:rsidR="002C6857" w:rsidRPr="001F72D8" w:rsidRDefault="002C6857" w:rsidP="002C6857">
      <w:pPr>
        <w:pStyle w:val="Standardntext"/>
      </w:pPr>
      <w:r w:rsidRPr="006B4B07">
        <w:t xml:space="preserve">Město v roli nositele integrované strategie bude pověřeno veřejnoprávní smlouvou uzavřenou s řídicím orgánem operačního programu  k výkonu </w:t>
      </w:r>
      <w:r w:rsidRPr="001F72D8">
        <w:t xml:space="preserve">funkce zprostředkujícího subjektu ve smyslu čl. 123 odst. 6 obecného nařízení a čl. 7 odst. 5 nařízení o EFRR v rozsahu posuzování souladu projektů/operací s konkrétní integrovanou strategií. </w:t>
      </w:r>
    </w:p>
    <w:p w14:paraId="0BBB87CE" w14:textId="77777777" w:rsidR="002C6857" w:rsidRPr="001F72D8" w:rsidRDefault="002C6857" w:rsidP="002C6857">
      <w:pPr>
        <w:pStyle w:val="Standardntext"/>
      </w:pPr>
      <w:r w:rsidRPr="001F72D8">
        <w:t>Každá z metropolitních oblastí může předložit ke schválení a realizaci jednu integrovanou strategii, která vyhodnocuje problémy a potenciál daného území, definuje své cíle, stanoví indikátory a k jejich dosažení vymezí ve finančním plánu potřebnou alokaci z OP PIK. Výběr strategií bude probíhat ve  dvou kolech – kontrola formálních náležitostí a kontrola přijatelnosti (provede Ministerstvo pro místní rozvoj) a obsahové posouzení souladu strategie s cíli, zaměřením a podmínkami OP PIK (provede ŘO OP PIK). Zároveň platí, že každá integrovaná strategie musí být v souladu s Národní RIS3. Projekty, které budou vycházet z integrované strategie a budou v souladu s Národní RIS3, budou v procesu hodnocení Řídícím orgánem OP PIK bonifikovány. Jestliže integrovaná strategie úspěšně projde oběma koly výběru, vyhotoví řídící orgán Prohlášení o akceptaci integrované strategie, která bude obsahovat všechny klíčové parametry schvalované integrované strategie. Poté je strategie projednána Národní stálou konferencí, která na základě předložených dokumentů doporučí ministrovi pro místní rozvoj podpis memoranda o realizaci integrovaných strategií s nositeli integrovaných nástrojů</w:t>
      </w:r>
      <w:r w:rsidRPr="001F72D8">
        <w:rPr>
          <w:rStyle w:val="Znakapoznpodarou"/>
        </w:rPr>
        <w:footnoteReference w:id="83"/>
      </w:r>
      <w:r w:rsidRPr="001F72D8">
        <w:t>, jenž vyhověly požadavkům hodnotícího procesu a byly akceptovány všemi dotčenými řídícími orgány.</w:t>
      </w:r>
    </w:p>
    <w:p w14:paraId="3455B0F2" w14:textId="77777777" w:rsidR="002C6857" w:rsidRPr="001F72D8" w:rsidRDefault="002C6857" w:rsidP="002C6857">
      <w:pPr>
        <w:pStyle w:val="Standardntext"/>
      </w:pPr>
      <w:r w:rsidRPr="001F72D8">
        <w:lastRenderedPageBreak/>
        <w:t>ŘO OP PIK na základě výsledku hodnocení integrovaných strategií</w:t>
      </w:r>
      <w:r w:rsidRPr="00275489">
        <w:t xml:space="preserve"> zarezervuje v rámci operačního programu finanční alokaci pro realizaci projektů vycházejících z těchto strategií. ŘO OP PIK dále bude prostřednictvím Monitorovacího výboru programu stanovovat kritéria pro čerpání těchto alokací pro danou metropolitní oblast, rozhodovat o zrušení příslušné části rezervace finančních alokací v případě nepl</w:t>
      </w:r>
      <w:r w:rsidRPr="001F72D8">
        <w:t xml:space="preserve">nění podmínek ze strany nositele integrované strategie, vyhlašovat příslušné výzvy pro předkládání integrovaných projektů do příslušných specifických cílů operačního programu. Vlastní hodnocení a podíl nositele ITI na tomto procesu budou upraveny ve veřejnoprávní smlouvě uzavřené mezi ŘO OP PIK a  nositelem ITI.  </w:t>
      </w:r>
    </w:p>
    <w:p w14:paraId="5671F5DA" w14:textId="77777777" w:rsidR="002C6857" w:rsidRPr="001F72D8" w:rsidRDefault="002C6857" w:rsidP="002C6857">
      <w:pPr>
        <w:pStyle w:val="Standardntext"/>
      </w:pPr>
      <w:r w:rsidRPr="001F72D8">
        <w:t xml:space="preserve">ITI budou soustředěny převážně na realizaci větších strategických projektů, které mají významný pozitivní dopad pro řešená území; podpořeny mohou být i menší projekty, které větší projekty vhodně doplní pro dosažení žádoucích synergických efektů. Projekty předkládané v rámci integrovaných strategií (dále také „integrované projekty“) do výzev OP PIK musí respektovat podmínky stanovené ŘO OP PIK a musí plnit předem stanovená, závazná kritéria  včetně zajištění monitorování a vyhodnocení. Integrovaný projekt bude posuzován nositelem zejména z hlediska jeho vazby na příslušnou integrovanou strategii a příspěvku k naplňování této strategie. </w:t>
      </w:r>
    </w:p>
    <w:p w14:paraId="6CF1800A" w14:textId="77777777" w:rsidR="002C6857" w:rsidRPr="00EF300C" w:rsidRDefault="002C6857" w:rsidP="002C6857">
      <w:pPr>
        <w:pStyle w:val="Standardntext"/>
      </w:pPr>
      <w:r w:rsidRPr="001F72D8">
        <w:t>Bližší specifikace přípravy, hodnocení, schvalování, implementace a monitorování ITI je součástí Metodického pokynu pro využití integrovaných nástrojů v programovém období 2014 – 2020, systém řízení výzev Metodickým pokynem pro řízení výzev, hodnocení a výběr projektů v programovém období 2014 – 2020 a řídicí dokumentací OP PIK.</w:t>
      </w:r>
    </w:p>
    <w:p w14:paraId="07C9E34B" w14:textId="77777777" w:rsidR="002D66D6" w:rsidRPr="00DD47DF" w:rsidRDefault="002C6857" w:rsidP="002C6857">
      <w:pPr>
        <w:pStyle w:val="Standardntext"/>
      </w:pPr>
      <w:r w:rsidRPr="00EF300C">
        <w:t>V rámci principu víceúrovňového partnerství j</w:t>
      </w:r>
      <w:r>
        <w:t>e</w:t>
      </w:r>
      <w:r w:rsidRPr="003D5BD2">
        <w:t xml:space="preserve"> </w:t>
      </w:r>
      <w:r>
        <w:t xml:space="preserve">také </w:t>
      </w:r>
      <w:r w:rsidRPr="003D5BD2">
        <w:t>zřízena platforma Národní stálé konference, která bude  zajišťovat vzájemnou provázanost a koordinaci realizace územní dimenze, a to prostřednictvím zapojení řídících orgánů a regionálních i dalších partnerů. Pro rozhodování ŘO OP PIK ve věci implementace programu budou mít výstupy z jednání Národní stálé konference doporučující charakter.</w:t>
      </w:r>
    </w:p>
    <w:p w14:paraId="672157D6" w14:textId="77777777" w:rsidR="004E680E" w:rsidRPr="00DD47DF" w:rsidRDefault="00833413" w:rsidP="00833413">
      <w:pPr>
        <w:pStyle w:val="Nadpis2"/>
        <w:rPr>
          <w:rFonts w:cs="Calibri"/>
        </w:rPr>
      </w:pPr>
      <w:bookmarkStart w:id="121" w:name="_Toc506885060"/>
      <w:r w:rsidRPr="00DD47DF">
        <w:rPr>
          <w:rFonts w:cs="Calibri"/>
        </w:rPr>
        <w:t>Ujednání pro meziregionální a nadnárodní opatření v rámci operačního programu s příjemci, kteří se nacházejí alespoň v jednom dalším členském státu</w:t>
      </w:r>
      <w:bookmarkEnd w:id="121"/>
    </w:p>
    <w:p w14:paraId="0533914D" w14:textId="77777777" w:rsidR="00F44C65" w:rsidRPr="00DD47DF" w:rsidRDefault="00626DF9" w:rsidP="00F44C65">
      <w:pPr>
        <w:pStyle w:val="Standardntext"/>
      </w:pPr>
      <w:r w:rsidRPr="00DD47DF">
        <w:t xml:space="preserve">Pokud se shledá relevantním pro tento operační program, Řídící orgán OP PIK přezkoumá možnost podpořit spolupráci s příjemci majícími sídlo alespoň v jednom dalším státě Evropské unie prostřednictvím realizace meziregionálních a mezinárodních kooperačních </w:t>
      </w:r>
      <w:r w:rsidR="00F44C65" w:rsidRPr="00DD47DF">
        <w:t>aktivit.</w:t>
      </w:r>
    </w:p>
    <w:p w14:paraId="2659E14F" w14:textId="77777777" w:rsidR="009D1858" w:rsidRPr="00DD47DF" w:rsidRDefault="009D1858" w:rsidP="009D1858">
      <w:pPr>
        <w:pStyle w:val="Nadpis2"/>
        <w:rPr>
          <w:rFonts w:cs="Calibri"/>
        </w:rPr>
      </w:pPr>
      <w:bookmarkStart w:id="122" w:name="_Toc506885061"/>
      <w:r w:rsidRPr="00DD47DF">
        <w:rPr>
          <w:rFonts w:cs="Calibri"/>
        </w:rPr>
        <w:t>Přínos plánovaných opatření programu k realizaci makroregionálních strategií a strategií pro přímořské oblasti v závislosti na potřebách programové oblasti určených příslušným členským státem</w:t>
      </w:r>
      <w:bookmarkEnd w:id="122"/>
    </w:p>
    <w:p w14:paraId="61255F3A" w14:textId="77777777" w:rsidR="00383382" w:rsidRPr="00DD47DF" w:rsidRDefault="00A85820" w:rsidP="00A85820">
      <w:pPr>
        <w:pStyle w:val="Standardntext"/>
        <w:rPr>
          <w:bCs/>
        </w:rPr>
      </w:pPr>
      <w:r w:rsidRPr="00DD47DF">
        <w:t>OP PIK je koncipován tak, aby přispíval k dosažení hospodářské, sociální a územní soudržnosti. Jako jedno z východisek pro tento účel byla vzata pro ČR relevantní makroregionální strategie - Strategie EU pro Podunají</w:t>
      </w:r>
      <w:r w:rsidR="00B44BDE" w:rsidRPr="00DD47DF">
        <w:t>,</w:t>
      </w:r>
      <w:r w:rsidRPr="00DD47DF">
        <w:t xml:space="preserve"> </w:t>
      </w:r>
      <w:r w:rsidR="00383382" w:rsidRPr="00DD47DF">
        <w:t xml:space="preserve">která je Makroregionální strategií Evropské unie. Tato strategie je definována jako integrovaný rámec pro spolupráci, vztahující se k členským státům EU i třetím zemím ze stejné geografické oblasti, za účelem řešení společných výzev a posílení spolupráce s cílem dosažení ekonomické, sociální a teritoriální soudržnosti. Implementace makroregionálních strategií se řídí tzv. principem trojí neutrality (pravidlo 3NE): rozpočtová/finanční neutralita (žádné dodatečné výdaje), legislativní neutralita </w:t>
      </w:r>
      <w:r w:rsidR="00383382" w:rsidRPr="00DD47DF">
        <w:lastRenderedPageBreak/>
        <w:t xml:space="preserve">(žádná nová legislativa) a institucionální neutralita (žádné nové instituce). V rámci Strategie pro Podunají byl zpracován Akční plán </w:t>
      </w:r>
      <w:r w:rsidR="00383382" w:rsidRPr="00DD47DF">
        <w:rPr>
          <w:bCs/>
        </w:rPr>
        <w:t>definující čtyři pilíře rozpracované do jedenácti prioritních oblastí. Každá z prioritních oblastí obsahuje své cíle a jejich plnění rozpracovává do akcí.</w:t>
      </w:r>
    </w:p>
    <w:p w14:paraId="71C31181" w14:textId="77777777" w:rsidR="00383382" w:rsidRPr="00DD47DF" w:rsidRDefault="00A85820" w:rsidP="00383382">
      <w:pPr>
        <w:pStyle w:val="Standardntext"/>
        <w:rPr>
          <w:bCs/>
        </w:rPr>
      </w:pPr>
      <w:r w:rsidRPr="00DD47DF">
        <w:rPr>
          <w:bCs/>
        </w:rPr>
        <w:t xml:space="preserve">Strategii EU pro Podunají, konkrétně pak čtyři vybrané prioritní oblasti jejího Akčního plánu, je možno provádět prostřednictvím aktivit OP PIK, kam byly promítnuty následujícím způsobem. </w:t>
      </w:r>
      <w:r w:rsidR="00383382" w:rsidRPr="00DD47DF">
        <w:rPr>
          <w:bCs/>
        </w:rPr>
        <w:t xml:space="preserve">Pro prioritní oblast 2 </w:t>
      </w:r>
      <w:r w:rsidR="00EA5DD7" w:rsidRPr="00DD47DF">
        <w:rPr>
          <w:bCs/>
        </w:rPr>
        <w:t xml:space="preserve">Strategie </w:t>
      </w:r>
      <w:r w:rsidR="00383382" w:rsidRPr="00DD47DF">
        <w:rPr>
          <w:bCs/>
        </w:rPr>
        <w:t xml:space="preserve">„Podpora udržitelné energetiky“ půjde zejména o realizaci specifických cílů </w:t>
      </w:r>
      <w:r w:rsidR="00EA5DD7" w:rsidRPr="00DD47DF">
        <w:rPr>
          <w:bCs/>
        </w:rPr>
        <w:t xml:space="preserve">OP PIK </w:t>
      </w:r>
      <w:r w:rsidR="00383382" w:rsidRPr="00DD47DF">
        <w:rPr>
          <w:bCs/>
        </w:rPr>
        <w:t xml:space="preserve">3.1, 3.2 a 3.5. V prioritní oblasti 7 </w:t>
      </w:r>
      <w:r w:rsidR="00EA5DD7" w:rsidRPr="00DD47DF">
        <w:rPr>
          <w:bCs/>
        </w:rPr>
        <w:t xml:space="preserve">Strategie </w:t>
      </w:r>
      <w:r w:rsidR="00383382" w:rsidRPr="00DD47DF">
        <w:rPr>
          <w:bCs/>
        </w:rPr>
        <w:t xml:space="preserve">„Rozvoj znalostní společnosti pomocí výzkumu, vzdělávání a informačních technologií“ se jedná o specifické cíle </w:t>
      </w:r>
      <w:r w:rsidR="00EA5DD7" w:rsidRPr="00DD47DF">
        <w:rPr>
          <w:bCs/>
        </w:rPr>
        <w:t xml:space="preserve">OP PIK </w:t>
      </w:r>
      <w:r w:rsidR="00383382" w:rsidRPr="00DD47DF">
        <w:rPr>
          <w:bCs/>
        </w:rPr>
        <w:t xml:space="preserve">1.1, 1.2 a 4.1. K naplnění cílů prioritní oblasti 8 </w:t>
      </w:r>
      <w:r w:rsidR="00EA5DD7" w:rsidRPr="00DD47DF">
        <w:rPr>
          <w:bCs/>
        </w:rPr>
        <w:t xml:space="preserve">Strategie </w:t>
      </w:r>
      <w:r w:rsidR="00383382" w:rsidRPr="00DD47DF">
        <w:rPr>
          <w:bCs/>
        </w:rPr>
        <w:t xml:space="preserve">„Podpora konkurenceschopnosti podniků“ budou přispívat specifické cíle </w:t>
      </w:r>
      <w:r w:rsidR="00CC4005" w:rsidRPr="00DD47DF">
        <w:rPr>
          <w:bCs/>
        </w:rPr>
        <w:t xml:space="preserve">OP PIK </w:t>
      </w:r>
      <w:r w:rsidR="00383382" w:rsidRPr="00DD47DF">
        <w:rPr>
          <w:bCs/>
        </w:rPr>
        <w:t xml:space="preserve">2.1, 2.2 a 3.4. V rámci prioritní oblasti 9 </w:t>
      </w:r>
      <w:r w:rsidR="00CC4005" w:rsidRPr="00DD47DF">
        <w:rPr>
          <w:bCs/>
        </w:rPr>
        <w:t xml:space="preserve">Strategie </w:t>
      </w:r>
      <w:r w:rsidR="00383382" w:rsidRPr="00DD47DF">
        <w:rPr>
          <w:bCs/>
        </w:rPr>
        <w:t>„Investice do lidí a dovedností“ je uvedena podpora kreativity a podnikavosti, která svých charakterem odpovídá náplni prioritních os 1 a 2 OP PIK.</w:t>
      </w:r>
    </w:p>
    <w:p w14:paraId="63836F1B" w14:textId="77777777" w:rsidR="00383382" w:rsidRPr="00DD47DF" w:rsidRDefault="00383382" w:rsidP="00383382">
      <w:pPr>
        <w:pStyle w:val="Standardntext"/>
      </w:pPr>
      <w:r w:rsidRPr="00DD47DF">
        <w:t>Mechanismy koordinace budou zajištěny ad hoc konzultacemi se členy řídících výborů pro Strategii EU pro Podunají. Tato vazba umožní nejen přenos cílů uvedených priorit Strategie EU pro Podunají při programování ve vazbě na vypisování výzev, ale zohlední tak</w:t>
      </w:r>
      <w:r w:rsidR="00A85820" w:rsidRPr="00DD47DF">
        <w:t>é</w:t>
      </w:r>
      <w:r w:rsidRPr="00DD47DF">
        <w:t xml:space="preserve"> priority České republiky ve společném stanovení konkrétních cílů makroregionu prostřednictvím činnosti těchto zástupců v řídících výborech.</w:t>
      </w:r>
      <w:r w:rsidR="00A85820" w:rsidRPr="00DD47DF">
        <w:t xml:space="preserve"> </w:t>
      </w:r>
      <w:r w:rsidR="00A85820" w:rsidRPr="00DD47DF">
        <w:rPr>
          <w:bCs/>
        </w:rPr>
        <w:t>V řídících výborech pro Strategii EU pro Podunají jsou zastoupeni zástupci příslušných ministerstev ČR, jakož i jejich resortní kolegové z ostatních států účastnících se Strategie. Pravidelných jednání těchto řídících výborů je tak možno využít i ke spolupráci s představiteli dalších států. Vzhledem k tomu, že na okraj jednání bývají účastny též různé dotčené strany ze států zapojených do Strategie (např. zástupci akademické sféry, podnikatelské sféry či neziskové organizace, které mohou patřit mezi příjemce), dochází zde ke zpětné vazbě mezi všemi aktéry, jichž se Strategie EU pro Podunají dotýká. Obdobně funguje spolupráce u příležitosti Výročních fór Strategie EU pro Podunají, jež jsou organizována za účasti všech prioritních oblastí Strategie.</w:t>
      </w:r>
    </w:p>
    <w:p w14:paraId="444A58B8" w14:textId="77777777" w:rsidR="00383382" w:rsidRPr="00DD47DF" w:rsidRDefault="00383382" w:rsidP="009D1858">
      <w:pPr>
        <w:pStyle w:val="Standardntext"/>
      </w:pPr>
    </w:p>
    <w:p w14:paraId="733A529F" w14:textId="77777777" w:rsidR="004E680E" w:rsidRPr="00DD47DF" w:rsidRDefault="00F64D76" w:rsidP="009F444D">
      <w:pPr>
        <w:pStyle w:val="Nadpis1"/>
      </w:pPr>
      <w:bookmarkStart w:id="123" w:name="_Toc506885062"/>
      <w:r w:rsidRPr="00DD47DF">
        <w:lastRenderedPageBreak/>
        <w:t>Specifické</w:t>
      </w:r>
      <w:r w:rsidR="009F444D" w:rsidRPr="00DD47DF">
        <w:t xml:space="preserve"> potřeby zeměpisných oblastí nejvíce postižených chudobou nebo cílových skupin, jimž nejvíce hrozí diskriminace nebo sociální vyloučení</w:t>
      </w:r>
      <w:bookmarkEnd w:id="123"/>
    </w:p>
    <w:p w14:paraId="1F809E6A" w14:textId="77777777" w:rsidR="004E680E" w:rsidRPr="00DD47DF" w:rsidRDefault="009F444D" w:rsidP="00F64D76">
      <w:pPr>
        <w:pStyle w:val="Nadpis2"/>
      </w:pPr>
      <w:bookmarkStart w:id="124" w:name="_Toc506885063"/>
      <w:r w:rsidRPr="00DD47DF">
        <w:t>Zeměpisné oblasti nejvíce postižené chudobou</w:t>
      </w:r>
      <w:r w:rsidR="00F64D76" w:rsidRPr="00DD47DF">
        <w:t xml:space="preserve"> </w:t>
      </w:r>
      <w:r w:rsidRPr="00DD47DF">
        <w:t>/</w:t>
      </w:r>
      <w:r w:rsidR="00F64D76" w:rsidRPr="00DD47DF">
        <w:t xml:space="preserve"> </w:t>
      </w:r>
      <w:r w:rsidRPr="00DD47DF">
        <w:t>cílové skupiny, jimž nejvíce hrozí diskriminace</w:t>
      </w:r>
      <w:r w:rsidR="00F64D76" w:rsidRPr="00DD47DF">
        <w:t xml:space="preserve"> nebo sociální vyloučení</w:t>
      </w:r>
      <w:bookmarkEnd w:id="124"/>
    </w:p>
    <w:p w14:paraId="244A1DB4" w14:textId="77777777" w:rsidR="00EA28B0" w:rsidRPr="00DD47DF" w:rsidRDefault="00EA28B0" w:rsidP="00EA28B0">
      <w:pPr>
        <w:pStyle w:val="Standardntext"/>
      </w:pPr>
      <w:r w:rsidRPr="00DD47DF">
        <w:t xml:space="preserve">Dle </w:t>
      </w:r>
      <w:r w:rsidRPr="00DD47DF">
        <w:rPr>
          <w:b/>
        </w:rPr>
        <w:t>analýzy regionální konkurenceschopnosti</w:t>
      </w:r>
      <w:r w:rsidRPr="00DD47DF">
        <w:t xml:space="preserve"> obsažené ve </w:t>
      </w:r>
      <w:r w:rsidRPr="00DD47DF">
        <w:rPr>
          <w:rFonts w:cs="Calibri"/>
        </w:rPr>
        <w:t>Strategii regionálního rozvoje ČR pro období 2014 – 2020</w:t>
      </w:r>
      <w:r w:rsidRPr="00DD47DF">
        <w:t>, která posuzuje jednotlivé regiony ČR z hlediska 32 socioekonomických ukazatelů (v oblastech jako velikost trhu, technologická připravenost, sofistikovanost podnikání, inovace a dalších) vyplývá, že za komplexně nekonkurenceschopné regiony je možno jednoznačně určit Ústecký a Karlovarský kraj. Dva vůbec nejslabší mikroregiony jsou lokalizovány rovněž v Moravskoslezském kraji. Zlepšení situace v těchto regionech vyžaduje vysoké investice do podpory podnikatelských subjektů, technologické infrastruktury, lidských zdrojů atd.</w:t>
      </w:r>
    </w:p>
    <w:p w14:paraId="4A624A06" w14:textId="77777777" w:rsidR="00EA28B0" w:rsidRPr="00DD47DF" w:rsidRDefault="00EA28B0" w:rsidP="00EA28B0">
      <w:pPr>
        <w:pStyle w:val="Standardntext"/>
      </w:pPr>
      <w:r w:rsidRPr="00DD47DF">
        <w:t xml:space="preserve">Jak je uvedeno v oddíle 4, OP PIK se zaměřuje na </w:t>
      </w:r>
      <w:r w:rsidRPr="00DD47DF">
        <w:rPr>
          <w:i/>
        </w:rPr>
        <w:t>hospodářsky problémové regiony a území s vysokou mírou nezaměstnanosti</w:t>
      </w:r>
      <w:r w:rsidRPr="00DD47DF">
        <w:t xml:space="preserve">. Vymezení </w:t>
      </w:r>
      <w:r w:rsidRPr="00DD47DF">
        <w:rPr>
          <w:b/>
        </w:rPr>
        <w:t>hospodářsky problémových regionů</w:t>
      </w:r>
      <w:r w:rsidRPr="00DD47DF">
        <w:t xml:space="preserve"> vychází ze SRR</w:t>
      </w:r>
      <w:r w:rsidRPr="00DD47DF">
        <w:rPr>
          <w:rFonts w:cs="Calibri"/>
        </w:rPr>
        <w:t>, která vymezuje tyto regiony na úrovni obcí s rozšířenou působností při zohlednění několika ukazatelů</w:t>
      </w:r>
      <w:r w:rsidRPr="00DD47DF">
        <w:t xml:space="preserve"> (HDP, míra nezaměstnanosti, zadluženost obce s rozšířenou působností na 1 obyvatele, dávky v hmotné nouzi, saldo migrace na 1000 obyvatel). Na tomto základě SRR identifikuje 57 hospodářsky problémových regionů, které představují dohromady 2 621 740 obyvatel, což odpovídá 24,8 % počtu obyvatel ČR při rozloze 24,7% ČR. Obecně lze říci, že vysoké míry nezaměstnanosti dominují v příhraničních oblastech a ve vnitřních periferiích. Konkrétní seznam hospodářsky problémových regionů je obsažen v příloze SRR, která byla schválena usnesením vlády ČR ze dne 15. května 2013 č. 344. Územní rozmístění těchto regionů v rámci ČR zobrazuje mapa níže.</w:t>
      </w:r>
    </w:p>
    <w:p w14:paraId="37BE9488" w14:textId="567E7090" w:rsidR="00EA28B0" w:rsidRPr="00DD47DF" w:rsidRDefault="00835DA2" w:rsidP="00EA28B0">
      <w:pPr>
        <w:pStyle w:val="Standardntext"/>
      </w:pPr>
      <w:r w:rsidRPr="00835DA2">
        <w:t>V kategorii hospodářsky problémových regionů a území s vysokou mírou nezaměstnanosti jsou také obsaženy regiony dle usnesení vlády ČR ze dne 19. října 2015 č. 826, tj. Moravskoslezský, Ústecký kraj a Karlovarský kraj, popř. zde budou zahrnuty regiony dle dalších budoucích usnesení vlády ČR týkajících se hospodářsky problémových regionů ČR.</w:t>
      </w:r>
      <w:r w:rsidR="00EA28B0" w:rsidRPr="00DD47DF">
        <w:t xml:space="preserve"> Rovněž dle SRR je v oblasti trhu práce dlouhodobě nejproblémovějším regionem Ústecký kraj, druhým problémovým územím je Moravskoslezský kraj (oba z hlediska míry nezaměstnanosti i míry dlouhodobé nezaměstnanosti).</w:t>
      </w:r>
      <w:r w:rsidR="00EA28B0" w:rsidRPr="00DD47DF">
        <w:rPr>
          <w:rStyle w:val="Znakapoznpodarou"/>
        </w:rPr>
        <w:footnoteReference w:id="84"/>
      </w:r>
      <w:r w:rsidR="00EA28B0" w:rsidRPr="00DD47DF">
        <w:t xml:space="preserve"> Regiony s největším výskytem dlouhodobé nezaměstnanosti lze dle SRR rovněž zařadit mezi sociálně vyloučené lokality či oblasti s potenciálem sociálního vyloučení (viz také oddíl 3.1.5 Dohody o partnerství).</w:t>
      </w:r>
    </w:p>
    <w:p w14:paraId="255502C5" w14:textId="77777777" w:rsidR="00EA28B0" w:rsidRPr="00DD47DF" w:rsidRDefault="00EA28B0" w:rsidP="00EA28B0">
      <w:pPr>
        <w:pStyle w:val="Standardntext"/>
      </w:pPr>
      <w:r w:rsidRPr="00DD47DF">
        <w:t xml:space="preserve">V úzké součinnosti se zmocněncem vlády pro řešení problémů spojených s revitalizací Moravskoslezského a Ústeckého kraje bude specifická podpora zaměřena na tyto dva kraje, které nejvíce ze všech krajů ČR čelí - vedle nadprůměrné míry nezaměstnanosti - také dlouhodobě selektivní migraci a nízké míře podnikavosti. Moravskoslezský kraj vykazuje nejhorší postavení z hlediska podílu MSP na celkové zaměstnanosti v ČR. Ústecký kraj dlouhodobě řeší dramatickou stagnaci aplikovaného průmyslového výzkumu a vývoje jako zdroje inovačních impulsů pro rozvoj malého a středního podnikání a nízké míře využití bývalých průmyslových areálů. Pokud jde o vlastní podporu MSP a vstupu lidí do podnikání je </w:t>
      </w:r>
      <w:r w:rsidRPr="00DD47DF">
        <w:lastRenderedPageBreak/>
        <w:t>potřebnost podpory i absorpční kapacita mezi regiony v podstatě rovnoměrně rozložená, nicméně potřebu specifické pozornosti vykazují zejména hospodářsky problémové regiony.</w:t>
      </w:r>
    </w:p>
    <w:p w14:paraId="4957FF7B" w14:textId="77777777" w:rsidR="00EA28B0" w:rsidRPr="00DD47DF" w:rsidRDefault="00EA28B0" w:rsidP="00EA28B0">
      <w:pPr>
        <w:pStyle w:val="Titulek"/>
        <w:keepNext/>
      </w:pPr>
      <w:r w:rsidRPr="00DD47DF">
        <w:t>Obrázek: Mapa hospodářsky problémových regionů a území s vysokou mírou nezaměstnanosti</w:t>
      </w:r>
    </w:p>
    <w:p w14:paraId="4FF0E933" w14:textId="77777777" w:rsidR="00450C8F" w:rsidRPr="00DD47DF" w:rsidRDefault="00EA28B0" w:rsidP="00EA28B0">
      <w:pPr>
        <w:pStyle w:val="Standardntext"/>
      </w:pPr>
      <w:r w:rsidRPr="00DD47DF">
        <w:rPr>
          <w:noProof/>
        </w:rPr>
        <w:drawing>
          <wp:inline distT="0" distB="0" distL="0" distR="0" wp14:anchorId="4AFC3186" wp14:editId="4804CA34">
            <wp:extent cx="5849620" cy="3709035"/>
            <wp:effectExtent l="0" t="0" r="0" b="571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orp_kraje+orp.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49620" cy="3709035"/>
                    </a:xfrm>
                    <a:prstGeom prst="rect">
                      <a:avLst/>
                    </a:prstGeom>
                  </pic:spPr>
                </pic:pic>
              </a:graphicData>
            </a:graphic>
          </wp:inline>
        </w:drawing>
      </w:r>
    </w:p>
    <w:p w14:paraId="682F295C" w14:textId="77777777" w:rsidR="001731F7" w:rsidRPr="00DD47DF" w:rsidRDefault="001731F7" w:rsidP="00787406">
      <w:pPr>
        <w:pStyle w:val="Standardntext"/>
      </w:pPr>
    </w:p>
    <w:p w14:paraId="74529479" w14:textId="77777777" w:rsidR="004E680E" w:rsidRPr="00DD47DF" w:rsidRDefault="00F64D76" w:rsidP="00F64D76">
      <w:pPr>
        <w:pStyle w:val="Nadpis2"/>
      </w:pPr>
      <w:bookmarkStart w:id="125" w:name="_Toc506885064"/>
      <w:r w:rsidRPr="00DD47DF">
        <w:t>Strategie pro řešení specifických potřeb zeměpisných oblastí nejvíce postižených chudobou / cílových skupin, jimž nejvíce hrozí diskriminace nebo sociální vyloučení a případně přínos k integrovanému přístupu stanovenému za tímto účelem v dohodě o partnerství</w:t>
      </w:r>
      <w:bookmarkEnd w:id="125"/>
    </w:p>
    <w:p w14:paraId="1F16CEEF" w14:textId="77777777" w:rsidR="00EA28B0" w:rsidRPr="00DD47DF" w:rsidRDefault="00EA28B0" w:rsidP="00EA28B0">
      <w:pPr>
        <w:pStyle w:val="Standardntext"/>
      </w:pPr>
      <w:r w:rsidRPr="00DD47DF">
        <w:t>V souladu s Dohodou o partnerství budou specifické potřeby výše vymezených hospodářsky problémových regionů a území s vysokou mírou nezaměstnanosti jakožto sociálně vyloučených lokalit zohledněny pomocí preference tohoto typu území. V podmínkách OP PIK to znamená, že budou bonifikovány projekty realizované malými a středními podniky na území hospodářsky problémových regionů a území s vysokou mírou nezaměstnanosti.</w:t>
      </w:r>
    </w:p>
    <w:p w14:paraId="490D6CBB" w14:textId="77777777" w:rsidR="00EA28B0" w:rsidRPr="00DD47DF" w:rsidRDefault="00EA28B0" w:rsidP="00EA28B0">
      <w:pPr>
        <w:pStyle w:val="Standardntext"/>
      </w:pPr>
      <w:r w:rsidRPr="00DD47DF">
        <w:t xml:space="preserve">Cílovou skupinou jsou tedy podnikatelské subjekty (malé a střední podniky), které budou prostřednictvím své činnosti stimulovat ekonomickou aktivitu v daných lokalitách a tím přispívat ke zmírnění dopadů sociální exkluze a zlepšení kvality života osob zde žijících. Růst nabídky pracovních míst díky vzniku nových a rozvoji existujících podnikatelských aktivit  bude </w:t>
      </w:r>
      <w:r w:rsidR="00861E58" w:rsidRPr="00DD47DF">
        <w:t xml:space="preserve">přímo </w:t>
      </w:r>
      <w:r w:rsidR="00727734" w:rsidRPr="00DD47DF">
        <w:t xml:space="preserve">monitorován </w:t>
      </w:r>
      <w:r w:rsidRPr="00DD47DF">
        <w:t>prostřednictvím společného indikátoru výstupu „Zvýšení zaměstnanosti v podporovaných podnicích“.</w:t>
      </w:r>
    </w:p>
    <w:p w14:paraId="23112DD5" w14:textId="77777777" w:rsidR="002256CD" w:rsidRPr="00DD47DF" w:rsidRDefault="00EA28B0" w:rsidP="00EA28B0">
      <w:pPr>
        <w:pStyle w:val="Standardntext"/>
      </w:pPr>
      <w:r w:rsidRPr="00DD47DF">
        <w:lastRenderedPageBreak/>
        <w:t xml:space="preserve">Provázanost jednotlivých opatření směřujících ke zlepšení socio-ekonomické situace v sociálně vyloučených lokalitách bude mj. zajištěna prostřednictvím naplňování příslušných cílů </w:t>
      </w:r>
      <w:r w:rsidR="002256CD" w:rsidRPr="00DD47DF">
        <w:t xml:space="preserve">jednotlivých </w:t>
      </w:r>
      <w:r w:rsidRPr="00DD47DF">
        <w:t xml:space="preserve">integrovaných strategií ze strany nositelů </w:t>
      </w:r>
      <w:r w:rsidR="002256CD" w:rsidRPr="00DD47DF">
        <w:t xml:space="preserve">těch </w:t>
      </w:r>
      <w:r w:rsidRPr="00DD47DF">
        <w:t>integrovaných územích investic</w:t>
      </w:r>
      <w:r w:rsidR="002256CD" w:rsidRPr="00DD47DF">
        <w:t>, na jejichž území se hospodářsky problémové regiony a území s vysokou mírou nezaměstnanosti nachází</w:t>
      </w:r>
      <w:r w:rsidRPr="00DD47DF">
        <w:t xml:space="preserve"> (</w:t>
      </w:r>
      <w:r w:rsidR="002256CD" w:rsidRPr="00DD47DF">
        <w:t>zejména Ostravská, Ústecko-Chomutovská či Olomoucká ITI)</w:t>
      </w:r>
      <w:r w:rsidRPr="00DD47DF">
        <w:t>.</w:t>
      </w:r>
    </w:p>
    <w:p w14:paraId="65180D6F" w14:textId="77777777" w:rsidR="00EB504A" w:rsidRPr="00DD47DF" w:rsidRDefault="00EB504A" w:rsidP="00EB504A">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21</w:t>
      </w:r>
      <w:r w:rsidR="002756E7" w:rsidRPr="00DD47DF">
        <w:rPr>
          <w:noProof/>
        </w:rPr>
        <w:fldChar w:fldCharType="end"/>
      </w:r>
      <w:r w:rsidRPr="00DD47DF">
        <w:rPr>
          <w:noProof/>
        </w:rPr>
        <w:t>:</w:t>
      </w:r>
      <w:r w:rsidRPr="00DD47DF">
        <w:t xml:space="preserve"> Opatření pro řešení specifických potřeb zeměpisných oblastí nejvíce postižených chudobou  / cílových skupin, jimž nejvíce hrozí diskriminace nebo sociální vyloučení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68"/>
        <w:gridCol w:w="2742"/>
        <w:gridCol w:w="992"/>
        <w:gridCol w:w="709"/>
        <w:gridCol w:w="1043"/>
        <w:gridCol w:w="2272"/>
      </w:tblGrid>
      <w:tr w:rsidR="00A94514" w:rsidRPr="00DD47DF" w14:paraId="7C86A139" w14:textId="77777777" w:rsidTr="00466CFC">
        <w:trPr>
          <w:trHeight w:val="879"/>
        </w:trPr>
        <w:tc>
          <w:tcPr>
            <w:tcW w:w="1568" w:type="dxa"/>
            <w:shd w:val="clear" w:color="auto" w:fill="B8CCE4"/>
            <w:vAlign w:val="center"/>
          </w:tcPr>
          <w:p w14:paraId="66C838FC" w14:textId="77777777" w:rsidR="00A94514" w:rsidRPr="00DD47DF" w:rsidRDefault="00A94514" w:rsidP="00D162A4">
            <w:pPr>
              <w:pStyle w:val="Tabulka"/>
              <w:keepNext/>
              <w:keepLines/>
              <w:rPr>
                <w:rFonts w:cs="Calibri"/>
                <w:b/>
                <w:lang w:eastAsia="en-US"/>
              </w:rPr>
            </w:pPr>
            <w:r w:rsidRPr="00DD47DF">
              <w:rPr>
                <w:rFonts w:cs="Calibri"/>
                <w:b/>
                <w:lang w:eastAsia="en-US"/>
              </w:rPr>
              <w:t>Cílová skupina / zeměpisná oblast</w:t>
            </w:r>
          </w:p>
        </w:tc>
        <w:tc>
          <w:tcPr>
            <w:tcW w:w="2742" w:type="dxa"/>
            <w:shd w:val="clear" w:color="auto" w:fill="B8CCE4"/>
            <w:vAlign w:val="center"/>
          </w:tcPr>
          <w:p w14:paraId="2A3EF756" w14:textId="77777777" w:rsidR="00A94514" w:rsidRPr="00DD47DF" w:rsidRDefault="00A94514" w:rsidP="00D162A4">
            <w:pPr>
              <w:pStyle w:val="Tabulka"/>
              <w:keepNext/>
              <w:keepLines/>
              <w:rPr>
                <w:rFonts w:cs="Calibri"/>
                <w:b/>
                <w:lang w:eastAsia="en-US"/>
              </w:rPr>
            </w:pPr>
            <w:r w:rsidRPr="00DD47DF">
              <w:rPr>
                <w:rFonts w:cs="Calibri"/>
                <w:b/>
                <w:color w:val="000000"/>
                <w:kern w:val="32"/>
                <w:lang w:eastAsia="en-US"/>
              </w:rPr>
              <w:t>Hlavní typy plánovaného opatření jakožto součást integrovaného přístupu</w:t>
            </w:r>
          </w:p>
        </w:tc>
        <w:tc>
          <w:tcPr>
            <w:tcW w:w="992" w:type="dxa"/>
            <w:shd w:val="clear" w:color="auto" w:fill="B8CCE4"/>
            <w:vAlign w:val="center"/>
          </w:tcPr>
          <w:p w14:paraId="4CA36546" w14:textId="77777777" w:rsidR="00A94514" w:rsidRPr="00DD47DF" w:rsidRDefault="00A94514" w:rsidP="00D162A4">
            <w:pPr>
              <w:pStyle w:val="Tabulka"/>
              <w:keepNext/>
              <w:keepLines/>
              <w:rPr>
                <w:rFonts w:cs="Calibri"/>
                <w:b/>
                <w:lang w:eastAsia="en-US"/>
              </w:rPr>
            </w:pPr>
            <w:r w:rsidRPr="00DD47DF">
              <w:rPr>
                <w:rFonts w:cs="Calibri"/>
                <w:b/>
                <w:color w:val="000000"/>
                <w:kern w:val="32"/>
                <w:lang w:eastAsia="en-US"/>
              </w:rPr>
              <w:t>Prioritní osa</w:t>
            </w:r>
          </w:p>
        </w:tc>
        <w:tc>
          <w:tcPr>
            <w:tcW w:w="709" w:type="dxa"/>
            <w:shd w:val="clear" w:color="auto" w:fill="B8CCE4"/>
            <w:vAlign w:val="center"/>
          </w:tcPr>
          <w:p w14:paraId="33710FC3" w14:textId="77777777" w:rsidR="00A94514" w:rsidRPr="00DD47DF" w:rsidRDefault="00A94514" w:rsidP="00D162A4">
            <w:pPr>
              <w:pStyle w:val="Tabulka"/>
              <w:keepNext/>
              <w:keepLines/>
              <w:rPr>
                <w:rFonts w:cs="Calibri"/>
                <w:b/>
                <w:color w:val="000000"/>
                <w:kern w:val="32"/>
                <w:lang w:eastAsia="en-US"/>
              </w:rPr>
            </w:pPr>
            <w:r w:rsidRPr="00DD47DF">
              <w:rPr>
                <w:rFonts w:cs="Calibri"/>
                <w:b/>
                <w:color w:val="000000"/>
                <w:kern w:val="32"/>
                <w:lang w:eastAsia="en-US"/>
              </w:rPr>
              <w:t>Fond</w:t>
            </w:r>
          </w:p>
        </w:tc>
        <w:tc>
          <w:tcPr>
            <w:tcW w:w="1043" w:type="dxa"/>
            <w:shd w:val="clear" w:color="auto" w:fill="B8CCE4"/>
            <w:vAlign w:val="center"/>
          </w:tcPr>
          <w:p w14:paraId="137683CF" w14:textId="77777777" w:rsidR="00A94514" w:rsidRPr="00DD47DF" w:rsidRDefault="00A94514" w:rsidP="00D162A4">
            <w:pPr>
              <w:pStyle w:val="Tabulka"/>
              <w:keepNext/>
              <w:keepLines/>
              <w:rPr>
                <w:rFonts w:cs="Calibri"/>
                <w:b/>
                <w:color w:val="000000"/>
                <w:kern w:val="32"/>
                <w:lang w:eastAsia="en-US"/>
              </w:rPr>
            </w:pPr>
            <w:r w:rsidRPr="00DD47DF">
              <w:rPr>
                <w:rFonts w:cs="Calibri"/>
                <w:b/>
                <w:color w:val="000000"/>
                <w:kern w:val="32"/>
                <w:lang w:eastAsia="en-US"/>
              </w:rPr>
              <w:t>Kategorie regionů</w:t>
            </w:r>
          </w:p>
        </w:tc>
        <w:tc>
          <w:tcPr>
            <w:tcW w:w="2272" w:type="dxa"/>
            <w:shd w:val="clear" w:color="auto" w:fill="B8CCE4"/>
            <w:vAlign w:val="center"/>
          </w:tcPr>
          <w:p w14:paraId="44AB591E" w14:textId="77777777" w:rsidR="00A94514" w:rsidRPr="00DD47DF" w:rsidRDefault="00A94514" w:rsidP="00D162A4">
            <w:pPr>
              <w:pStyle w:val="Tabulka"/>
              <w:keepNext/>
              <w:keepLines/>
              <w:rPr>
                <w:rFonts w:cs="Calibri"/>
                <w:b/>
                <w:color w:val="000000"/>
                <w:kern w:val="32"/>
                <w:lang w:eastAsia="en-US"/>
              </w:rPr>
            </w:pPr>
            <w:r w:rsidRPr="00DD47DF">
              <w:rPr>
                <w:rFonts w:cs="Calibri"/>
                <w:b/>
                <w:color w:val="000000"/>
                <w:kern w:val="32"/>
                <w:lang w:eastAsia="en-US"/>
              </w:rPr>
              <w:t>Investiční priorita</w:t>
            </w:r>
          </w:p>
        </w:tc>
      </w:tr>
      <w:tr w:rsidR="00A94514" w:rsidRPr="00DD47DF" w14:paraId="4462314E" w14:textId="77777777" w:rsidTr="00466CFC">
        <w:tc>
          <w:tcPr>
            <w:tcW w:w="1568" w:type="dxa"/>
            <w:vAlign w:val="center"/>
          </w:tcPr>
          <w:p w14:paraId="53E3F2EE" w14:textId="77777777" w:rsidR="00A94514" w:rsidRPr="00DD47DF" w:rsidRDefault="00A94514" w:rsidP="00D162A4">
            <w:pPr>
              <w:pStyle w:val="Tabulka"/>
              <w:keepNext/>
              <w:keepLines/>
              <w:jc w:val="left"/>
              <w:rPr>
                <w:rFonts w:cs="Calibri"/>
                <w:lang w:eastAsia="en-US"/>
              </w:rPr>
            </w:pPr>
            <w:r w:rsidRPr="00DD47DF">
              <w:rPr>
                <w:rFonts w:cs="Calibri"/>
                <w:lang w:eastAsia="en-US"/>
              </w:rPr>
              <w:t>Hospodářsky problémové regiony a území s vysokou mírou nezaměstnanosti</w:t>
            </w:r>
          </w:p>
        </w:tc>
        <w:tc>
          <w:tcPr>
            <w:tcW w:w="2742" w:type="dxa"/>
            <w:vAlign w:val="center"/>
          </w:tcPr>
          <w:p w14:paraId="6AEB6B9A" w14:textId="77777777" w:rsidR="00A94514" w:rsidRPr="00DD47DF" w:rsidRDefault="00A94514" w:rsidP="00D162A4">
            <w:pPr>
              <w:pStyle w:val="Tabulka"/>
              <w:keepNext/>
              <w:keepLines/>
              <w:jc w:val="left"/>
              <w:rPr>
                <w:rFonts w:cs="Calibri"/>
                <w:lang w:eastAsia="en-US"/>
              </w:rPr>
            </w:pPr>
            <w:r w:rsidRPr="00DD47DF">
              <w:rPr>
                <w:rFonts w:cs="Calibri"/>
                <w:lang w:eastAsia="en-US"/>
              </w:rPr>
              <w:t>Bonifikace projektů v cílové zeměpisné oblasti.</w:t>
            </w:r>
          </w:p>
          <w:p w14:paraId="648BD64C" w14:textId="77777777" w:rsidR="00A94514" w:rsidRPr="00DD47DF" w:rsidRDefault="00A94514" w:rsidP="00D162A4">
            <w:pPr>
              <w:pStyle w:val="Tabulka"/>
              <w:keepNext/>
              <w:keepLines/>
              <w:jc w:val="left"/>
              <w:rPr>
                <w:rFonts w:cs="Calibri"/>
                <w:lang w:eastAsia="en-US"/>
              </w:rPr>
            </w:pPr>
            <w:r w:rsidRPr="00DD47DF">
              <w:rPr>
                <w:rFonts w:cs="Calibri"/>
                <w:lang w:eastAsia="en-US"/>
              </w:rPr>
              <w:t>Řídící orgán po úvodních plošných výzvách návazně zváží cílené vyhlášení omezených specifických výzev směřovaných výhradně do cílových zeměpisných oblastí.</w:t>
            </w:r>
          </w:p>
          <w:p w14:paraId="63A91C6A" w14:textId="77777777" w:rsidR="004905C4" w:rsidRPr="00DD47DF" w:rsidRDefault="004905C4" w:rsidP="004905C4">
            <w:pPr>
              <w:pStyle w:val="Tabulka"/>
              <w:keepNext/>
              <w:keepLines/>
              <w:jc w:val="left"/>
              <w:rPr>
                <w:rFonts w:cs="Calibri"/>
                <w:lang w:eastAsia="en-US"/>
              </w:rPr>
            </w:pPr>
            <w:r w:rsidRPr="00DD47DF">
              <w:rPr>
                <w:rFonts w:cs="Calibri"/>
                <w:lang w:eastAsia="en-US"/>
              </w:rPr>
              <w:t>Příspěvek OP PIK k relevantním ITI, na jejichž území se cílové zeměpisné oblasti nachází.</w:t>
            </w:r>
          </w:p>
        </w:tc>
        <w:tc>
          <w:tcPr>
            <w:tcW w:w="992" w:type="dxa"/>
            <w:vAlign w:val="center"/>
          </w:tcPr>
          <w:p w14:paraId="69B4038B" w14:textId="77777777" w:rsidR="00A94514" w:rsidRPr="00DD47DF" w:rsidRDefault="00A94514" w:rsidP="00D162A4">
            <w:pPr>
              <w:pStyle w:val="Tabulka"/>
              <w:keepNext/>
              <w:keepLines/>
              <w:jc w:val="left"/>
              <w:rPr>
                <w:rFonts w:cs="Calibri"/>
                <w:lang w:eastAsia="en-US"/>
              </w:rPr>
            </w:pPr>
            <w:r w:rsidRPr="00DD47DF">
              <w:rPr>
                <w:rFonts w:cs="Calibri"/>
                <w:lang w:eastAsia="en-US"/>
              </w:rPr>
              <w:t>PO 2</w:t>
            </w:r>
          </w:p>
        </w:tc>
        <w:tc>
          <w:tcPr>
            <w:tcW w:w="709" w:type="dxa"/>
            <w:vAlign w:val="center"/>
          </w:tcPr>
          <w:p w14:paraId="39F8E10F" w14:textId="77777777" w:rsidR="00A94514" w:rsidRPr="00DD47DF" w:rsidRDefault="00A94514" w:rsidP="00D162A4">
            <w:pPr>
              <w:pStyle w:val="Tabulka"/>
              <w:keepNext/>
              <w:keepLines/>
              <w:jc w:val="left"/>
              <w:rPr>
                <w:rFonts w:cs="Calibri"/>
                <w:lang w:eastAsia="en-US"/>
              </w:rPr>
            </w:pPr>
            <w:r w:rsidRPr="00DD47DF">
              <w:rPr>
                <w:rFonts w:cs="Calibri"/>
                <w:lang w:eastAsia="en-US"/>
              </w:rPr>
              <w:t>EFRR</w:t>
            </w:r>
          </w:p>
        </w:tc>
        <w:tc>
          <w:tcPr>
            <w:tcW w:w="1043" w:type="dxa"/>
            <w:vAlign w:val="center"/>
          </w:tcPr>
          <w:p w14:paraId="1BDED611" w14:textId="77777777" w:rsidR="00A94514" w:rsidRPr="00DD47DF" w:rsidRDefault="00A94514" w:rsidP="00D162A4">
            <w:pPr>
              <w:pStyle w:val="Tabulka"/>
              <w:keepNext/>
              <w:keepLines/>
              <w:jc w:val="left"/>
              <w:rPr>
                <w:rFonts w:cs="Calibri"/>
                <w:lang w:eastAsia="en-US"/>
              </w:rPr>
            </w:pPr>
            <w:r w:rsidRPr="00DD47DF">
              <w:rPr>
                <w:rFonts w:cs="Calibri"/>
                <w:lang w:eastAsia="en-US"/>
              </w:rPr>
              <w:t>Méně rozvinuté regiony</w:t>
            </w:r>
          </w:p>
        </w:tc>
        <w:tc>
          <w:tcPr>
            <w:tcW w:w="2272" w:type="dxa"/>
            <w:vAlign w:val="center"/>
          </w:tcPr>
          <w:p w14:paraId="4EC706F1" w14:textId="77777777" w:rsidR="00A94514" w:rsidRPr="00DD47DF" w:rsidRDefault="00A94514" w:rsidP="00D162A4">
            <w:pPr>
              <w:pStyle w:val="Tabulka"/>
              <w:keepNext/>
              <w:keepLines/>
              <w:jc w:val="left"/>
              <w:rPr>
                <w:rFonts w:cs="Calibri"/>
                <w:lang w:eastAsia="en-US"/>
              </w:rPr>
            </w:pPr>
            <w:r w:rsidRPr="00DD47DF">
              <w:rPr>
                <w:rFonts w:cs="Calibri"/>
                <w:lang w:eastAsia="en-US"/>
              </w:rPr>
              <w:t xml:space="preserve">3 a) </w:t>
            </w:r>
            <w:r w:rsidRPr="00DD47DF">
              <w:rPr>
                <w:rFonts w:cs="Calibri"/>
              </w:rPr>
              <w:t>Podpora podnikání, zejména usnadněním hospodářského využívání nových myšlenek a podporou zakládání nových firem, mimo jiné prostřednictvím podnikatelských inkubátorů</w:t>
            </w:r>
          </w:p>
        </w:tc>
      </w:tr>
    </w:tbl>
    <w:p w14:paraId="060A4A71" w14:textId="77777777" w:rsidR="00D616ED" w:rsidRPr="00DD47DF" w:rsidRDefault="00D616ED" w:rsidP="008A5FCE">
      <w:pPr>
        <w:pStyle w:val="Standardntext"/>
      </w:pPr>
    </w:p>
    <w:p w14:paraId="53D68101" w14:textId="77777777" w:rsidR="00174180" w:rsidRPr="00DD47DF" w:rsidRDefault="00174180" w:rsidP="00174180">
      <w:pPr>
        <w:overflowPunct/>
        <w:jc w:val="both"/>
        <w:textAlignment w:val="auto"/>
        <w:rPr>
          <w:rFonts w:ascii="Calibri" w:hAnsi="Calibri" w:cs="Calibri"/>
          <w:color w:val="FF0000"/>
          <w:sz w:val="24"/>
          <w:szCs w:val="24"/>
        </w:rPr>
      </w:pPr>
    </w:p>
    <w:p w14:paraId="671FE6CB" w14:textId="77777777" w:rsidR="004E680E" w:rsidRPr="00DD47DF" w:rsidRDefault="00F64D76" w:rsidP="00F735EC">
      <w:pPr>
        <w:pStyle w:val="Nadpis1"/>
      </w:pPr>
      <w:bookmarkStart w:id="126" w:name="_Toc506885065"/>
      <w:r w:rsidRPr="00DD47DF">
        <w:lastRenderedPageBreak/>
        <w:t>Specifické</w:t>
      </w:r>
      <w:r w:rsidR="00F735EC" w:rsidRPr="00DD47DF">
        <w:t xml:space="preserve"> potřeby zeměpisných oblastí, které jsou </w:t>
      </w:r>
      <w:r w:rsidRPr="00DD47DF">
        <w:t>závažně a trvale znevýhodněny přírodními nebo demografickými podmínkami</w:t>
      </w:r>
      <w:bookmarkEnd w:id="126"/>
      <w:r w:rsidR="004E680E" w:rsidRPr="00DD47DF">
        <w:t xml:space="preserve"> </w:t>
      </w:r>
    </w:p>
    <w:p w14:paraId="4DE5D502" w14:textId="77777777" w:rsidR="00F735EC" w:rsidRPr="00DD47DF" w:rsidRDefault="000F7B0A" w:rsidP="008A5FCE">
      <w:pPr>
        <w:pStyle w:val="Standardntext"/>
      </w:pPr>
      <w:bookmarkStart w:id="127" w:name="_Toc351464430"/>
      <w:r w:rsidRPr="00DD47DF">
        <w:t>Není relevantní pro OP PIK.</w:t>
      </w:r>
    </w:p>
    <w:p w14:paraId="052990B6" w14:textId="77777777" w:rsidR="00174180" w:rsidRPr="00DD47DF" w:rsidRDefault="00174180" w:rsidP="00174180">
      <w:pPr>
        <w:overflowPunct/>
        <w:jc w:val="both"/>
        <w:textAlignment w:val="auto"/>
        <w:rPr>
          <w:rFonts w:ascii="Calibri" w:hAnsi="Calibri" w:cs="Calibri"/>
          <w:color w:val="FF0000"/>
          <w:sz w:val="24"/>
          <w:szCs w:val="24"/>
        </w:rPr>
      </w:pPr>
    </w:p>
    <w:p w14:paraId="26A14792" w14:textId="77777777" w:rsidR="009E6172" w:rsidRPr="00DD47DF" w:rsidRDefault="00F64D76" w:rsidP="00F735EC">
      <w:pPr>
        <w:pStyle w:val="Nadpis1"/>
      </w:pPr>
      <w:bookmarkStart w:id="128" w:name="_Toc506885066"/>
      <w:bookmarkEnd w:id="127"/>
      <w:r w:rsidRPr="00DD47DF">
        <w:lastRenderedPageBreak/>
        <w:t>O</w:t>
      </w:r>
      <w:r w:rsidR="00F735EC" w:rsidRPr="00DD47DF">
        <w:t xml:space="preserve">rgány </w:t>
      </w:r>
      <w:r w:rsidRPr="00DD47DF">
        <w:t xml:space="preserve">a subjekty </w:t>
      </w:r>
      <w:r w:rsidR="00F735EC" w:rsidRPr="00DD47DF">
        <w:t xml:space="preserve">odpovědné za řízení, kontrolu a audit a </w:t>
      </w:r>
      <w:r w:rsidRPr="00DD47DF">
        <w:t>úloha</w:t>
      </w:r>
      <w:r w:rsidR="00F735EC" w:rsidRPr="00DD47DF">
        <w:t xml:space="preserve"> </w:t>
      </w:r>
      <w:r w:rsidRPr="00DD47DF">
        <w:t xml:space="preserve">příslušných </w:t>
      </w:r>
      <w:r w:rsidR="00F735EC" w:rsidRPr="00DD47DF">
        <w:t>partnerů</w:t>
      </w:r>
      <w:bookmarkEnd w:id="128"/>
      <w:r w:rsidR="00BA4E72" w:rsidRPr="00DD47DF">
        <w:t xml:space="preserve"> </w:t>
      </w:r>
    </w:p>
    <w:p w14:paraId="14438163" w14:textId="77777777" w:rsidR="006A127B" w:rsidRPr="00DD47DF" w:rsidRDefault="00F64D76" w:rsidP="00F64D76">
      <w:pPr>
        <w:pStyle w:val="Nadpis2"/>
        <w:rPr>
          <w:rFonts w:cs="Calibri"/>
        </w:rPr>
      </w:pPr>
      <w:bookmarkStart w:id="129" w:name="_Toc506885067"/>
      <w:r w:rsidRPr="00DD47DF">
        <w:rPr>
          <w:rFonts w:cs="Calibri"/>
        </w:rPr>
        <w:t>Příslušné orgány a subjekty</w:t>
      </w:r>
      <w:bookmarkEnd w:id="129"/>
    </w:p>
    <w:p w14:paraId="7CC7622B" w14:textId="77777777" w:rsidR="00D10CBC" w:rsidRPr="00DD47DF" w:rsidRDefault="00D10CBC" w:rsidP="00167303">
      <w:pPr>
        <w:pStyle w:val="Titulek"/>
        <w:keepNext/>
        <w:keepLines/>
      </w:pPr>
      <w:r w:rsidRPr="00DD47DF">
        <w:t xml:space="preserve">Tabulka </w:t>
      </w:r>
      <w:r w:rsidR="002756E7" w:rsidRPr="00DD47DF">
        <w:fldChar w:fldCharType="begin"/>
      </w:r>
      <w:r w:rsidR="000E35F2" w:rsidRPr="00DD47DF">
        <w:instrText xml:space="preserve"> SEQ Tabulka \* ARABIC \r23 </w:instrText>
      </w:r>
      <w:r w:rsidR="002756E7" w:rsidRPr="00DD47DF">
        <w:fldChar w:fldCharType="separate"/>
      </w:r>
      <w:r w:rsidR="00117847">
        <w:rPr>
          <w:noProof/>
        </w:rPr>
        <w:t>23</w:t>
      </w:r>
      <w:r w:rsidR="002756E7" w:rsidRPr="00DD47DF">
        <w:rPr>
          <w:noProof/>
        </w:rPr>
        <w:fldChar w:fldCharType="end"/>
      </w:r>
      <w:r w:rsidRPr="00DD47DF">
        <w:t xml:space="preserve">: </w:t>
      </w:r>
      <w:r w:rsidR="00F64D76" w:rsidRPr="00DD47DF">
        <w:t>Příslušné orgány a subjekty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686"/>
        <w:gridCol w:w="3366"/>
      </w:tblGrid>
      <w:tr w:rsidR="00D1521B" w:rsidRPr="00DD47DF" w14:paraId="4C6CDDCF" w14:textId="77777777">
        <w:tc>
          <w:tcPr>
            <w:tcW w:w="1260" w:type="pct"/>
            <w:shd w:val="clear" w:color="auto" w:fill="B8CCE4"/>
            <w:vAlign w:val="center"/>
          </w:tcPr>
          <w:p w14:paraId="080DF619" w14:textId="77777777" w:rsidR="00D1521B" w:rsidRPr="00DD47DF" w:rsidRDefault="00F64D76" w:rsidP="00F64D76">
            <w:pPr>
              <w:pStyle w:val="Tabulka"/>
              <w:keepNext/>
              <w:keepLines/>
              <w:rPr>
                <w:rFonts w:cs="Calibri"/>
                <w:b/>
              </w:rPr>
            </w:pPr>
            <w:r w:rsidRPr="00DD47DF">
              <w:rPr>
                <w:rFonts w:cs="Calibri"/>
                <w:b/>
              </w:rPr>
              <w:t>Orgán</w:t>
            </w:r>
            <w:r w:rsidR="00D1521B" w:rsidRPr="00DD47DF">
              <w:rPr>
                <w:rFonts w:cs="Calibri"/>
                <w:b/>
              </w:rPr>
              <w:t>/</w:t>
            </w:r>
            <w:r w:rsidRPr="00DD47DF">
              <w:rPr>
                <w:rFonts w:cs="Calibri"/>
                <w:b/>
              </w:rPr>
              <w:t>subjekt</w:t>
            </w:r>
          </w:p>
        </w:tc>
        <w:tc>
          <w:tcPr>
            <w:tcW w:w="1955" w:type="pct"/>
            <w:shd w:val="clear" w:color="auto" w:fill="B8CCE4"/>
            <w:vAlign w:val="center"/>
          </w:tcPr>
          <w:p w14:paraId="1AA6D4E8" w14:textId="77777777" w:rsidR="00D1521B" w:rsidRPr="00DD47DF" w:rsidRDefault="00D1521B" w:rsidP="00F64D76">
            <w:pPr>
              <w:pStyle w:val="Tabulka"/>
              <w:keepNext/>
              <w:keepLines/>
              <w:rPr>
                <w:rFonts w:cs="Calibri"/>
                <w:b/>
              </w:rPr>
            </w:pPr>
            <w:r w:rsidRPr="00DD47DF">
              <w:rPr>
                <w:rFonts w:cs="Calibri"/>
                <w:b/>
              </w:rPr>
              <w:t xml:space="preserve">Název </w:t>
            </w:r>
            <w:r w:rsidR="00F64D76" w:rsidRPr="00DD47DF">
              <w:rPr>
                <w:rFonts w:cs="Calibri"/>
                <w:b/>
              </w:rPr>
              <w:t>orgánu</w:t>
            </w:r>
            <w:r w:rsidRPr="00DD47DF">
              <w:rPr>
                <w:rFonts w:cs="Calibri"/>
                <w:b/>
              </w:rPr>
              <w:t>/</w:t>
            </w:r>
            <w:r w:rsidR="00F64D76" w:rsidRPr="00DD47DF">
              <w:rPr>
                <w:rFonts w:cs="Calibri"/>
                <w:b/>
              </w:rPr>
              <w:t xml:space="preserve">subjektu a </w:t>
            </w:r>
            <w:r w:rsidRPr="00DD47DF">
              <w:rPr>
                <w:rFonts w:cs="Calibri"/>
                <w:b/>
              </w:rPr>
              <w:t>odbor</w:t>
            </w:r>
            <w:r w:rsidR="00F64D76" w:rsidRPr="00DD47DF">
              <w:rPr>
                <w:rFonts w:cs="Calibri"/>
                <w:b/>
              </w:rPr>
              <w:t>u</w:t>
            </w:r>
            <w:r w:rsidRPr="00DD47DF">
              <w:rPr>
                <w:rFonts w:cs="Calibri"/>
                <w:b/>
              </w:rPr>
              <w:t xml:space="preserve"> či oddělení</w:t>
            </w:r>
          </w:p>
        </w:tc>
        <w:tc>
          <w:tcPr>
            <w:tcW w:w="1785" w:type="pct"/>
            <w:shd w:val="clear" w:color="auto" w:fill="B8CCE4"/>
            <w:vAlign w:val="center"/>
          </w:tcPr>
          <w:p w14:paraId="0D428820" w14:textId="77777777" w:rsidR="00D1521B" w:rsidRPr="00DD47DF" w:rsidRDefault="00F64D76" w:rsidP="00F64D76">
            <w:pPr>
              <w:pStyle w:val="Tabulka"/>
              <w:keepNext/>
              <w:keepLines/>
              <w:rPr>
                <w:rFonts w:cs="Calibri"/>
                <w:b/>
              </w:rPr>
            </w:pPr>
            <w:r w:rsidRPr="00DD47DF">
              <w:rPr>
                <w:rFonts w:cs="Calibri"/>
                <w:b/>
              </w:rPr>
              <w:t>Vedoucí orgánu/subjektu (pozice nebo funkce)</w:t>
            </w:r>
          </w:p>
        </w:tc>
      </w:tr>
      <w:tr w:rsidR="00D1521B" w:rsidRPr="00DD47DF" w14:paraId="00901F2C" w14:textId="77777777">
        <w:trPr>
          <w:trHeight w:val="325"/>
        </w:trPr>
        <w:tc>
          <w:tcPr>
            <w:tcW w:w="1260" w:type="pct"/>
            <w:vAlign w:val="center"/>
          </w:tcPr>
          <w:p w14:paraId="07863228" w14:textId="77777777" w:rsidR="00D1521B" w:rsidRPr="00DD47DF" w:rsidRDefault="00D1521B" w:rsidP="007D5FD2">
            <w:pPr>
              <w:pStyle w:val="Tabulka"/>
              <w:jc w:val="left"/>
              <w:rPr>
                <w:rFonts w:cs="Calibri"/>
                <w:b/>
              </w:rPr>
            </w:pPr>
            <w:r w:rsidRPr="00DD47DF">
              <w:rPr>
                <w:rFonts w:cs="Calibri"/>
                <w:b/>
              </w:rPr>
              <w:t>Řídící orgán</w:t>
            </w:r>
          </w:p>
        </w:tc>
        <w:tc>
          <w:tcPr>
            <w:tcW w:w="1955" w:type="pct"/>
            <w:vAlign w:val="center"/>
          </w:tcPr>
          <w:p w14:paraId="423EE7D9" w14:textId="77777777" w:rsidR="00D1521B" w:rsidRPr="00DD47DF" w:rsidRDefault="00D1521B" w:rsidP="00976E9C">
            <w:pPr>
              <w:pStyle w:val="Tabulka"/>
              <w:jc w:val="left"/>
              <w:rPr>
                <w:rFonts w:cs="Calibri"/>
              </w:rPr>
            </w:pPr>
            <w:r w:rsidRPr="00DD47DF">
              <w:rPr>
                <w:rFonts w:cs="Calibri"/>
              </w:rPr>
              <w:t>Mi</w:t>
            </w:r>
            <w:r w:rsidR="000E47D9" w:rsidRPr="00DD47DF">
              <w:rPr>
                <w:rFonts w:cs="Calibri"/>
              </w:rPr>
              <w:t>nisterstvo průmyslu a obchodu</w:t>
            </w:r>
            <w:r w:rsidR="00F05C0C" w:rsidRPr="00DD47DF">
              <w:rPr>
                <w:rStyle w:val="Znakapoznpodarou"/>
                <w:rFonts w:cs="Calibri"/>
              </w:rPr>
              <w:footnoteReference w:id="85"/>
            </w:r>
            <w:r w:rsidRPr="00DD47DF">
              <w:rPr>
                <w:rFonts w:cs="Calibri"/>
              </w:rPr>
              <w:t xml:space="preserve"> / </w:t>
            </w:r>
            <w:r w:rsidR="00976E9C" w:rsidRPr="00DD47DF">
              <w:rPr>
                <w:rFonts w:cs="Calibri"/>
              </w:rPr>
              <w:t>Útvar náměstka ministra pro fondy EU</w:t>
            </w:r>
          </w:p>
        </w:tc>
        <w:tc>
          <w:tcPr>
            <w:tcW w:w="1785" w:type="pct"/>
            <w:vAlign w:val="center"/>
          </w:tcPr>
          <w:p w14:paraId="025135F8" w14:textId="77777777" w:rsidR="00D1521B" w:rsidRPr="00DD47DF" w:rsidRDefault="000E0629" w:rsidP="000E0629">
            <w:pPr>
              <w:pStyle w:val="Tabulka"/>
              <w:jc w:val="left"/>
              <w:rPr>
                <w:rFonts w:cs="Calibri"/>
              </w:rPr>
            </w:pPr>
            <w:r w:rsidRPr="00DD47DF">
              <w:rPr>
                <w:rFonts w:cs="Calibri"/>
              </w:rPr>
              <w:t>N</w:t>
            </w:r>
            <w:r w:rsidR="00976E9C" w:rsidRPr="00DD47DF">
              <w:rPr>
                <w:rFonts w:cs="Calibri"/>
              </w:rPr>
              <w:t>áměstek ministra pro fondy EU</w:t>
            </w:r>
          </w:p>
        </w:tc>
      </w:tr>
      <w:tr w:rsidR="00FB33B3" w:rsidRPr="00DD47DF" w14:paraId="2E11D8A7" w14:textId="77777777">
        <w:trPr>
          <w:trHeight w:val="325"/>
        </w:trPr>
        <w:tc>
          <w:tcPr>
            <w:tcW w:w="1260" w:type="pct"/>
            <w:vAlign w:val="center"/>
          </w:tcPr>
          <w:p w14:paraId="340897AE" w14:textId="77777777" w:rsidR="00FB33B3" w:rsidRPr="00DD47DF" w:rsidRDefault="00FB33B3" w:rsidP="007D5FD2">
            <w:pPr>
              <w:pStyle w:val="Tabulka"/>
              <w:jc w:val="left"/>
              <w:rPr>
                <w:rFonts w:cs="Calibri"/>
                <w:b/>
              </w:rPr>
            </w:pPr>
            <w:r w:rsidRPr="00DD47DF">
              <w:rPr>
                <w:rFonts w:cs="Calibri"/>
                <w:b/>
              </w:rPr>
              <w:t xml:space="preserve">Zprostředkující subjekt </w:t>
            </w:r>
          </w:p>
        </w:tc>
        <w:tc>
          <w:tcPr>
            <w:tcW w:w="1955" w:type="pct"/>
            <w:vAlign w:val="center"/>
          </w:tcPr>
          <w:p w14:paraId="48AFBDA1" w14:textId="4BB1287E" w:rsidR="00370384" w:rsidRPr="00DD47DF" w:rsidRDefault="00370384" w:rsidP="00834D1C">
            <w:pPr>
              <w:pStyle w:val="Tabulka"/>
              <w:jc w:val="left"/>
              <w:rPr>
                <w:rFonts w:cs="Calibri"/>
              </w:rPr>
            </w:pPr>
            <w:r>
              <w:t xml:space="preserve">V roce </w:t>
            </w:r>
            <w:r w:rsidR="00834D1C">
              <w:t xml:space="preserve">2016 </w:t>
            </w:r>
            <w:r>
              <w:t>bude založena nová agentura, která bude plnit roli zprostředkujícího subjektu pro OP PIK. Tato agentura bude podřízena zákonu o státní službě, přičemž k podřízení agentury pod služební zákon dojde novelou zákona č. 47/20002 Sb., o podpoře malého a středního podnikání. Po přechodnou dobu budou zaměstnanci stávající agentury CzechInvest zabývající se implementací Evropských strukturálních a investičních fondů v rámci OP PIK  podřízeni obdobným pravidlům jako jsou pravidla zákona o státní službě</w:t>
            </w:r>
          </w:p>
        </w:tc>
        <w:tc>
          <w:tcPr>
            <w:tcW w:w="1785" w:type="pct"/>
            <w:vAlign w:val="center"/>
          </w:tcPr>
          <w:p w14:paraId="190AA4DE" w14:textId="77777777" w:rsidR="00370384" w:rsidRDefault="00370384" w:rsidP="00370384">
            <w:pPr>
              <w:pStyle w:val="Tabulka"/>
              <w:jc w:val="left"/>
            </w:pPr>
            <w:r>
              <w:t>Po přechodnou dobu: generální ředitel agentury pro podporu podnikání a investic Czech</w:t>
            </w:r>
            <w:r w:rsidR="00110890">
              <w:t>In</w:t>
            </w:r>
            <w:r>
              <w:t>vest.</w:t>
            </w:r>
          </w:p>
          <w:p w14:paraId="48638C80" w14:textId="77777777" w:rsidR="00DD47DF" w:rsidRPr="00DD47DF" w:rsidRDefault="00370384" w:rsidP="00370384">
            <w:pPr>
              <w:pStyle w:val="Tabulka"/>
              <w:jc w:val="left"/>
              <w:rPr>
                <w:rFonts w:cs="Calibri"/>
              </w:rPr>
            </w:pPr>
            <w:r>
              <w:t>Následně: generální ředitel nově vzniklé agentury plnící pro OP PIK roli zprostředkujícího subjektu.</w:t>
            </w:r>
          </w:p>
        </w:tc>
      </w:tr>
      <w:tr w:rsidR="0040363A" w:rsidRPr="00DD47DF" w14:paraId="442E5D08" w14:textId="77777777">
        <w:trPr>
          <w:trHeight w:val="325"/>
        </w:trPr>
        <w:tc>
          <w:tcPr>
            <w:tcW w:w="1260" w:type="pct"/>
            <w:vAlign w:val="center"/>
          </w:tcPr>
          <w:p w14:paraId="7DB14373" w14:textId="77777777" w:rsidR="0040363A" w:rsidRPr="00DD47DF" w:rsidRDefault="00260D88" w:rsidP="00260D88">
            <w:pPr>
              <w:pStyle w:val="Tabulka"/>
              <w:jc w:val="left"/>
              <w:rPr>
                <w:rFonts w:cs="Calibri"/>
                <w:b/>
              </w:rPr>
            </w:pPr>
            <w:r>
              <w:rPr>
                <w:rFonts w:cs="Calibri"/>
                <w:b/>
              </w:rPr>
              <w:t>Nositelé ITI</w:t>
            </w:r>
            <w:r w:rsidR="00110890">
              <w:rPr>
                <w:rStyle w:val="Znakapoznpodarou"/>
                <w:rFonts w:cs="Calibri"/>
                <w:b/>
              </w:rPr>
              <w:footnoteReference w:id="86"/>
            </w:r>
            <w:r>
              <w:rPr>
                <w:rFonts w:cs="Calibri"/>
                <w:b/>
              </w:rPr>
              <w:t xml:space="preserve"> </w:t>
            </w:r>
            <w:r w:rsidRPr="00260D88">
              <w:rPr>
                <w:rFonts w:cs="Calibri"/>
                <w:b/>
              </w:rPr>
              <w:t>s přesně písemně vymezenou mírou přenesených pravomocí, ve smyslu čl. 123 odst. 6 obecného nařízení</w:t>
            </w:r>
          </w:p>
        </w:tc>
        <w:tc>
          <w:tcPr>
            <w:tcW w:w="1955" w:type="pct"/>
            <w:vAlign w:val="center"/>
          </w:tcPr>
          <w:p w14:paraId="1475893E" w14:textId="77777777" w:rsidR="0040363A" w:rsidRPr="00DD47DF" w:rsidRDefault="0040363A" w:rsidP="008F7178">
            <w:pPr>
              <w:pStyle w:val="Tabulka"/>
              <w:jc w:val="left"/>
              <w:rPr>
                <w:rFonts w:cs="Calibri"/>
              </w:rPr>
            </w:pPr>
            <w:r w:rsidRPr="00DD47DF">
              <w:rPr>
                <w:rFonts w:cs="Calibri"/>
              </w:rPr>
              <w:t>Odbor/oddělení magistrátu statutárního města</w:t>
            </w:r>
          </w:p>
        </w:tc>
        <w:tc>
          <w:tcPr>
            <w:tcW w:w="1785" w:type="pct"/>
            <w:vAlign w:val="center"/>
          </w:tcPr>
          <w:p w14:paraId="7C1EC9BD" w14:textId="77777777" w:rsidR="0040363A" w:rsidRPr="00DD47DF" w:rsidRDefault="0040363A" w:rsidP="008F7178">
            <w:pPr>
              <w:pStyle w:val="Tabulka"/>
              <w:jc w:val="left"/>
              <w:rPr>
                <w:rFonts w:cs="Calibri"/>
              </w:rPr>
            </w:pPr>
            <w:r w:rsidRPr="00DD47DF">
              <w:rPr>
                <w:rFonts w:cs="Calibri"/>
              </w:rPr>
              <w:t>Primátor/Vedoucí odboru/oddělení magistrátu statutárního města</w:t>
            </w:r>
          </w:p>
        </w:tc>
      </w:tr>
      <w:tr w:rsidR="0040363A" w:rsidRPr="00DD47DF" w14:paraId="5AFE0195" w14:textId="77777777">
        <w:trPr>
          <w:trHeight w:val="325"/>
        </w:trPr>
        <w:tc>
          <w:tcPr>
            <w:tcW w:w="1260" w:type="pct"/>
            <w:vAlign w:val="center"/>
          </w:tcPr>
          <w:p w14:paraId="41B3E209" w14:textId="77777777" w:rsidR="0040363A" w:rsidRPr="00DD47DF" w:rsidRDefault="0040363A" w:rsidP="007D5FD2">
            <w:pPr>
              <w:pStyle w:val="Tabulka"/>
              <w:jc w:val="left"/>
              <w:rPr>
                <w:rFonts w:cs="Calibri"/>
                <w:b/>
              </w:rPr>
            </w:pPr>
            <w:r w:rsidRPr="00DD47DF">
              <w:rPr>
                <w:rFonts w:cs="Calibri"/>
                <w:b/>
              </w:rPr>
              <w:t>Certifikační orgán</w:t>
            </w:r>
          </w:p>
        </w:tc>
        <w:tc>
          <w:tcPr>
            <w:tcW w:w="1955" w:type="pct"/>
            <w:vAlign w:val="center"/>
          </w:tcPr>
          <w:p w14:paraId="2CF33CDA" w14:textId="77777777" w:rsidR="0040363A" w:rsidRPr="00DD47DF" w:rsidRDefault="0040363A" w:rsidP="00F05C0C">
            <w:pPr>
              <w:pStyle w:val="Tabulka"/>
              <w:jc w:val="left"/>
              <w:rPr>
                <w:rFonts w:cs="Calibri"/>
              </w:rPr>
            </w:pPr>
            <w:r w:rsidRPr="00DD47DF">
              <w:rPr>
                <w:rFonts w:cs="Calibri"/>
              </w:rPr>
              <w:t>Ministerstvo financí</w:t>
            </w:r>
            <w:r w:rsidRPr="00DD47DF">
              <w:rPr>
                <w:rStyle w:val="Znakapoznpodarou"/>
                <w:rFonts w:cs="Calibri"/>
              </w:rPr>
              <w:footnoteReference w:id="87"/>
            </w:r>
            <w:r w:rsidRPr="00DD47DF">
              <w:rPr>
                <w:rFonts w:cs="Calibri"/>
              </w:rPr>
              <w:t xml:space="preserve"> / Národní fond</w:t>
            </w:r>
          </w:p>
        </w:tc>
        <w:tc>
          <w:tcPr>
            <w:tcW w:w="1785" w:type="pct"/>
            <w:vAlign w:val="center"/>
          </w:tcPr>
          <w:p w14:paraId="0A7238E9" w14:textId="77777777" w:rsidR="0040363A" w:rsidRPr="00DD47DF" w:rsidRDefault="0040363A" w:rsidP="007D5FD2">
            <w:pPr>
              <w:pStyle w:val="Tabulka"/>
              <w:jc w:val="left"/>
              <w:rPr>
                <w:rFonts w:cs="Calibri"/>
              </w:rPr>
            </w:pPr>
            <w:r w:rsidRPr="00DD47DF">
              <w:rPr>
                <w:rFonts w:cs="Calibri"/>
              </w:rPr>
              <w:t>Ředitel</w:t>
            </w:r>
          </w:p>
        </w:tc>
      </w:tr>
      <w:tr w:rsidR="0040363A" w:rsidRPr="00DD47DF" w14:paraId="49316E76" w14:textId="77777777">
        <w:trPr>
          <w:trHeight w:val="325"/>
        </w:trPr>
        <w:tc>
          <w:tcPr>
            <w:tcW w:w="1260" w:type="pct"/>
            <w:vAlign w:val="center"/>
          </w:tcPr>
          <w:p w14:paraId="5D8FA125" w14:textId="77777777" w:rsidR="0040363A" w:rsidRPr="00DD47DF" w:rsidRDefault="0040363A" w:rsidP="007D5FD2">
            <w:pPr>
              <w:pStyle w:val="Tabulka"/>
              <w:jc w:val="left"/>
              <w:rPr>
                <w:rFonts w:cs="Calibri"/>
                <w:b/>
              </w:rPr>
            </w:pPr>
            <w:r w:rsidRPr="00DD47DF">
              <w:rPr>
                <w:rFonts w:cs="Calibri"/>
                <w:b/>
              </w:rPr>
              <w:t>Auditní orgán</w:t>
            </w:r>
          </w:p>
        </w:tc>
        <w:tc>
          <w:tcPr>
            <w:tcW w:w="1955" w:type="pct"/>
            <w:vAlign w:val="center"/>
          </w:tcPr>
          <w:p w14:paraId="6A25F77C" w14:textId="77777777" w:rsidR="0040363A" w:rsidRPr="00DD47DF" w:rsidRDefault="0040363A" w:rsidP="00F05C0C">
            <w:pPr>
              <w:pStyle w:val="Tabulka"/>
              <w:jc w:val="left"/>
              <w:rPr>
                <w:rFonts w:cs="Calibri"/>
              </w:rPr>
            </w:pPr>
            <w:r w:rsidRPr="00DD47DF">
              <w:rPr>
                <w:rFonts w:cs="Calibri"/>
              </w:rPr>
              <w:t>Ministerstvo financí</w:t>
            </w:r>
            <w:r w:rsidRPr="00DD47DF">
              <w:rPr>
                <w:rStyle w:val="Znakapoznpodarou"/>
                <w:rFonts w:cs="Calibri"/>
              </w:rPr>
              <w:footnoteReference w:id="88"/>
            </w:r>
            <w:r w:rsidRPr="00DD47DF">
              <w:rPr>
                <w:rFonts w:cs="Calibri"/>
              </w:rPr>
              <w:t xml:space="preserve"> / Auditní orgán</w:t>
            </w:r>
          </w:p>
        </w:tc>
        <w:tc>
          <w:tcPr>
            <w:tcW w:w="1785" w:type="pct"/>
            <w:vAlign w:val="center"/>
          </w:tcPr>
          <w:p w14:paraId="4D94313A" w14:textId="77777777" w:rsidR="0040363A" w:rsidRPr="00DD47DF" w:rsidRDefault="0040363A" w:rsidP="007D5FD2">
            <w:pPr>
              <w:pStyle w:val="Tabulka"/>
              <w:jc w:val="left"/>
              <w:rPr>
                <w:rFonts w:cs="Calibri"/>
                <w:color w:val="FF0000"/>
              </w:rPr>
            </w:pPr>
            <w:r w:rsidRPr="00DD47DF">
              <w:rPr>
                <w:rFonts w:cs="Calibri"/>
              </w:rPr>
              <w:t>Ředitel</w:t>
            </w:r>
          </w:p>
        </w:tc>
      </w:tr>
      <w:tr w:rsidR="0040363A" w:rsidRPr="00DD47DF" w14:paraId="50B90CFD" w14:textId="77777777">
        <w:tc>
          <w:tcPr>
            <w:tcW w:w="1260" w:type="pct"/>
            <w:vAlign w:val="center"/>
          </w:tcPr>
          <w:p w14:paraId="08679065" w14:textId="77777777" w:rsidR="0040363A" w:rsidRPr="00DD47DF" w:rsidRDefault="0040363A" w:rsidP="00F64D76">
            <w:pPr>
              <w:pStyle w:val="Tabulka"/>
              <w:jc w:val="left"/>
              <w:rPr>
                <w:rFonts w:cs="Calibri"/>
                <w:b/>
                <w:bCs/>
              </w:rPr>
            </w:pPr>
            <w:r w:rsidRPr="00DD47DF">
              <w:rPr>
                <w:rFonts w:cs="Calibri"/>
                <w:b/>
              </w:rPr>
              <w:t xml:space="preserve">Subjekt, kterému má </w:t>
            </w:r>
            <w:r w:rsidRPr="00DD47DF">
              <w:rPr>
                <w:rFonts w:cs="Calibri"/>
                <w:b/>
              </w:rPr>
              <w:lastRenderedPageBreak/>
              <w:t>Komise poukazovat platby</w:t>
            </w:r>
          </w:p>
        </w:tc>
        <w:tc>
          <w:tcPr>
            <w:tcW w:w="1955" w:type="pct"/>
            <w:vAlign w:val="center"/>
          </w:tcPr>
          <w:p w14:paraId="081B18E9" w14:textId="77777777" w:rsidR="0040363A" w:rsidRPr="00DD47DF" w:rsidRDefault="0040363A" w:rsidP="00F05C0C">
            <w:pPr>
              <w:pStyle w:val="Tabulka"/>
              <w:jc w:val="left"/>
              <w:rPr>
                <w:rFonts w:cs="Calibri"/>
              </w:rPr>
            </w:pPr>
            <w:r w:rsidRPr="00DD47DF">
              <w:rPr>
                <w:rFonts w:cs="Calibri"/>
              </w:rPr>
              <w:lastRenderedPageBreak/>
              <w:t>Ministerstvo financí</w:t>
            </w:r>
            <w:r w:rsidRPr="00DD47DF">
              <w:rPr>
                <w:rStyle w:val="Znakapoznpodarou"/>
                <w:rFonts w:cs="Calibri"/>
              </w:rPr>
              <w:footnoteReference w:id="89"/>
            </w:r>
            <w:r w:rsidRPr="00DD47DF">
              <w:rPr>
                <w:rFonts w:cs="Calibri"/>
              </w:rPr>
              <w:t xml:space="preserve"> / Národní fond</w:t>
            </w:r>
          </w:p>
        </w:tc>
        <w:tc>
          <w:tcPr>
            <w:tcW w:w="1785" w:type="pct"/>
            <w:vAlign w:val="center"/>
          </w:tcPr>
          <w:p w14:paraId="12974830" w14:textId="77777777" w:rsidR="0040363A" w:rsidRPr="00DD47DF" w:rsidRDefault="0040363A" w:rsidP="007D5FD2">
            <w:pPr>
              <w:pStyle w:val="Tabulka"/>
              <w:jc w:val="left"/>
              <w:rPr>
                <w:rFonts w:cs="Calibri"/>
                <w:color w:val="FF0000"/>
              </w:rPr>
            </w:pPr>
            <w:r w:rsidRPr="00DD47DF">
              <w:rPr>
                <w:rFonts w:cs="Calibri"/>
              </w:rPr>
              <w:t>Ředitel</w:t>
            </w:r>
          </w:p>
        </w:tc>
      </w:tr>
    </w:tbl>
    <w:p w14:paraId="66341E8C" w14:textId="77777777" w:rsidR="006A127B" w:rsidRPr="00DD47DF" w:rsidRDefault="00F64D76" w:rsidP="00F64D76">
      <w:pPr>
        <w:pStyle w:val="Nadpis2"/>
        <w:rPr>
          <w:rFonts w:cs="Calibri"/>
        </w:rPr>
      </w:pPr>
      <w:bookmarkStart w:id="130" w:name="_Toc506885068"/>
      <w:r w:rsidRPr="00DD47DF">
        <w:rPr>
          <w:rFonts w:cs="Calibri"/>
        </w:rPr>
        <w:t>Zapojení příslušných partnerů</w:t>
      </w:r>
      <w:bookmarkEnd w:id="130"/>
    </w:p>
    <w:p w14:paraId="7884DC7D" w14:textId="77777777" w:rsidR="006A127B" w:rsidRPr="00DD47DF" w:rsidRDefault="00F64D76" w:rsidP="00F64D76">
      <w:pPr>
        <w:pStyle w:val="Nadpis3"/>
        <w:rPr>
          <w:rFonts w:cs="Calibri"/>
        </w:rPr>
      </w:pPr>
      <w:bookmarkStart w:id="131" w:name="_Toc506885069"/>
      <w:r w:rsidRPr="00DD47DF">
        <w:rPr>
          <w:rFonts w:cs="Calibri"/>
        </w:rPr>
        <w:t>Opatření přijatá k zapojení příslušných partnerů do přípravy operačního programu a úlohy partnerů při provádění, monitorování a hodnocení operačního programu</w:t>
      </w:r>
      <w:bookmarkEnd w:id="131"/>
    </w:p>
    <w:p w14:paraId="1C0B9C60" w14:textId="77777777" w:rsidR="002D7AD5" w:rsidRPr="00DD47DF" w:rsidRDefault="002D7AD5" w:rsidP="002D7AD5">
      <w:pPr>
        <w:pStyle w:val="Standardntext"/>
      </w:pPr>
      <w:r w:rsidRPr="00DD47DF">
        <w:t xml:space="preserve">V roce 2011 byl na MPO ustanoven </w:t>
      </w:r>
      <w:r w:rsidRPr="00DD47DF">
        <w:rPr>
          <w:b/>
        </w:rPr>
        <w:t>Řídící tým pro programovací období k využívání prostředků ze strukturálních fondů EU 2014 – 2020</w:t>
      </w:r>
      <w:r w:rsidRPr="00DD47DF">
        <w:t>. Jeho úkolem je projednávat výstupy prací na kohezní politice a operačním programu před jejich předložením na poradu vedení MPO, Ministerstvu pro místní rozvoj a vládě ČR.</w:t>
      </w:r>
    </w:p>
    <w:p w14:paraId="047AD72F" w14:textId="77777777" w:rsidR="002D7AD5" w:rsidRPr="00DD47DF" w:rsidRDefault="00637F69" w:rsidP="002D7AD5">
      <w:pPr>
        <w:pStyle w:val="Standardntext"/>
      </w:pPr>
      <w:r w:rsidRPr="00DD47DF">
        <w:t xml:space="preserve"> V </w:t>
      </w:r>
      <w:r w:rsidR="002D7AD5" w:rsidRPr="00DD47DF">
        <w:t xml:space="preserve">roce 2011 a 2012, tj. v období před zahájením prací na programu, </w:t>
      </w:r>
      <w:r w:rsidRPr="00DD47DF">
        <w:t xml:space="preserve">byly organizovány </w:t>
      </w:r>
      <w:r w:rsidR="002D7AD5" w:rsidRPr="00DD47DF">
        <w:t xml:space="preserve">tzv. kulaté stoly se sociálními a hospodářskými partnery, na kterých byly diskutovány otázky týkající se návrhů zaměření intervencí budoucího programu. Jednání formou kulatých stolů získalo na významu a probíhalo i ve fázi vlastní přípravy programu; v roce 2013 např. v rámci </w:t>
      </w:r>
      <w:r w:rsidR="002D7AD5" w:rsidRPr="00DD47DF">
        <w:rPr>
          <w:b/>
        </w:rPr>
        <w:t>Enterprise Europe Network</w:t>
      </w:r>
      <w:r w:rsidR="002D7AD5" w:rsidRPr="00DD47DF">
        <w:rPr>
          <w:rStyle w:val="Znakapoznpodarou"/>
          <w:b/>
        </w:rPr>
        <w:footnoteReference w:id="90"/>
      </w:r>
      <w:r w:rsidR="002D7AD5" w:rsidRPr="00DD47DF">
        <w:rPr>
          <w:b/>
        </w:rPr>
        <w:t xml:space="preserve"> organizovanými Technologickým centrem Akademie věd ČR</w:t>
      </w:r>
      <w:r w:rsidR="002D7AD5" w:rsidRPr="00DD47DF">
        <w:t xml:space="preserve"> ve vybraných regionech ČR za účasti podnikatelů z příslušných regionů, kdy hlavním tématem vedle zaměření OP PIK na oblast VaVaI byly regionální RIS3 připravované příslušnými regionálními RIS3 manažery. Smyslem bylo konzultovat se zástupci firemního sektoru návrh programu, zjistit jejich názory na strukturu, specifické cíle, na rozdělení intervenčních oblastí, na navržená opatření, podporované činnosti, apod. Pozitivní z těchto setkání je skutečnost, že prioritní osa programu zaměřená na VaVaI (stěžejní téma kulatých stolů s touto cílovou skupinou) byla hodnocena kladně a navržené intervence byly shledány účelnými. Jako určitý problém hodný pozornosti k řešení z ESIF (ESF) byl obecně deklarován ze strany podnikatelů výrazný nedostatek technicky vzdělaných odborníků ve firmách.</w:t>
      </w:r>
    </w:p>
    <w:p w14:paraId="779DE469" w14:textId="77777777" w:rsidR="002D7AD5" w:rsidRPr="00DD47DF" w:rsidRDefault="002D7AD5" w:rsidP="002D7AD5">
      <w:pPr>
        <w:pStyle w:val="Standardntext"/>
      </w:pPr>
      <w:r w:rsidRPr="00DD47DF">
        <w:t xml:space="preserve">Aktivitou, která se dá zařadit pod princip partnerství a jejíž výsledky již jsou nebo v další fázi budou v programu zohledněny, je realizace externího projektu </w:t>
      </w:r>
      <w:r w:rsidRPr="00DD47DF">
        <w:rPr>
          <w:b/>
        </w:rPr>
        <w:t>GEM – Global Entrepreneurship Monitor 2013</w:t>
      </w:r>
      <w:r w:rsidRPr="00DD47DF">
        <w:t>. Jde o mezinárodní studii, kterou za ČR zpracovává VŠE za finanční spoluúčasti TA ČR a dále ve spolupráci s MPO. Cílem projektu je měřit rozdíly v podnikatelské aktivitě mezi různými zeměmi, identifikovat faktory, které tuto aktivitu ovlivňují a identifikovat opatření, která mohou podnikatelskou aktivitu podpořit. Výsledky projektu jsou ve vazbě na OP PIK relevantně využitelné pro nadefinování aktivit a intervencí programu v podstatě ve všech stávajících prioritních osách, zejména pak v oblasti rozvoje podnikání a motivace k podnikání, podnikavosti, zvyšování konkurenceschopnosti malých a středních podniků, VaV a inovací, spolupráce podniků a VaV institucí, motivace firem spolupracovat s výzkumnou sférou a vysokými školami, poradenství a nabídce služeb pro podniky, v oblasti energetiky (snižování energetické náročnosti). Se zjištěními GEMu bude pracováno při dalších pracích na programu.</w:t>
      </w:r>
    </w:p>
    <w:p w14:paraId="7F509524" w14:textId="77777777" w:rsidR="002D7AD5" w:rsidRPr="00DD47DF" w:rsidRDefault="002D7AD5" w:rsidP="002D7AD5">
      <w:pPr>
        <w:pStyle w:val="Standardntext"/>
      </w:pPr>
      <w:r w:rsidRPr="00DD47DF">
        <w:lastRenderedPageBreak/>
        <w:t>V souladu s čl. 5 obecného nařízení probíh</w:t>
      </w:r>
      <w:r w:rsidR="00243B68" w:rsidRPr="00DD47DF">
        <w:t xml:space="preserve">ala </w:t>
      </w:r>
      <w:r w:rsidRPr="00DD47DF">
        <w:t xml:space="preserve">příprava OP PIK </w:t>
      </w:r>
      <w:r w:rsidRPr="00DD47DF">
        <w:rPr>
          <w:b/>
        </w:rPr>
        <w:t>při plném respektování principu partnerství</w:t>
      </w:r>
      <w:r w:rsidRPr="00DD47DF">
        <w:t>, tj. zapojení relevantních sociálních a hospodářských partnerů a dalších národních aktérů do přípravy programu (zástupci ministerstev, hospodářských svazů a asociací, zástupci odborových svazů, zaměstnavatelských a podnikatelských svazů, asociace krajů, svazu měst a obcí, vysokých škol a akademické sféry, nevládních organizací, a dalších organizací a institucí). Respektování principu partnerství zahrnuje přípravu programu a v další fázi jeho implementaci; provádění, monitorování, hodnocení. Seznam všech partnerů zapojených do přípravy programu je uveden v kapitole 12.3.</w:t>
      </w:r>
    </w:p>
    <w:p w14:paraId="51766FCD" w14:textId="77777777" w:rsidR="002D7AD5" w:rsidRPr="00DD47DF" w:rsidRDefault="002D7AD5" w:rsidP="002D7AD5">
      <w:pPr>
        <w:pStyle w:val="Standardntext"/>
      </w:pPr>
      <w:r w:rsidRPr="00DD47DF">
        <w:t xml:space="preserve">MPO jako Řídící orgán </w:t>
      </w:r>
      <w:r w:rsidR="00CB57B2" w:rsidRPr="00DD47DF">
        <w:t xml:space="preserve">OP PIK ustanovilo </w:t>
      </w:r>
      <w:r w:rsidRPr="00DD47DF">
        <w:rPr>
          <w:b/>
        </w:rPr>
        <w:t>pracovní skupiny</w:t>
      </w:r>
      <w:r w:rsidRPr="00DD47DF">
        <w:t xml:space="preserve"> pro rozpracování prioritních os programu, pro řešení finančních nástrojů a pro řešení horizontálních témat souvisejících s implementací programu (indikátory, implementační systém, veřejná podpora, veřejné zakázky, metodika, informační systém, monitoring, atd.). </w:t>
      </w:r>
      <w:r w:rsidR="00CB57B2" w:rsidRPr="00DD47DF">
        <w:t xml:space="preserve">Tyto </w:t>
      </w:r>
      <w:r w:rsidRPr="00DD47DF">
        <w:t>pracovní skupiny, jejichž členy jsou zástupci Řídícího orgánu věcně se zabývající příslušnými agendami, byly rozšířeny o zástupce relevantních ministerstev (MMR, MPSV, MŠMT, MD, MŽP, MK) a dalších externích odborníků na problematiku řešenou v dané pracovní skupině. Hospodářští a sociální partneři byli vybíráni v rámci konzultací s vedoucími pracovních skupin. Ti, na základě svých zkušeností a dřívější spolupráce, vytipovali okruh zástupců z hospodářských a sociálních partnerů, jejichž odborné zaměření bylo pro přípravu OP PIK a jeho jednotlivých prioritních os relevantní a přínosné.</w:t>
      </w:r>
      <w:r w:rsidR="00BA4E72" w:rsidRPr="00DD47DF">
        <w:t xml:space="preserve"> </w:t>
      </w:r>
    </w:p>
    <w:p w14:paraId="47ABF0B3" w14:textId="77777777" w:rsidR="002D7AD5" w:rsidRPr="00DD47DF" w:rsidRDefault="002D7AD5" w:rsidP="002D7AD5">
      <w:pPr>
        <w:pStyle w:val="Standardntext"/>
      </w:pPr>
      <w:r w:rsidRPr="00DD47DF">
        <w:t xml:space="preserve">V lednu 2013 ustanovilo MPO </w:t>
      </w:r>
      <w:r w:rsidRPr="00DD47DF">
        <w:rPr>
          <w:b/>
        </w:rPr>
        <w:t xml:space="preserve">Platformu pro přípravu OP PIK. </w:t>
      </w:r>
      <w:r w:rsidRPr="00DD47DF">
        <w:t>Do Platformy byli jmenováni jako členové vedle zástupců MPO zástupci MMR-NOK, MF, zástupci řídicích orgánů relevantních operačních programů (MŠMT, MPSV, MŽP, MZe, MD), agentury CzechInvest, TA ČR a hospodářských a sociálních partnerů, včetně zástupců neziskové sféry. Jednání Platformy se účastní rovněž vedoucí pracovních skupin MPO a zástupci ex-ante hodnotitele a SEA hodnotitele programu. Členové Platformy dohlíží na přípravu programu a zajišťují zohlednění zájmů relevantních partnerů a respektování principu partnerství při jeho přípravě. Jednotlivé instituce, organizace a svazy byly vybírány do Platformy podle relevantnosti zaměření jejich činnosti k operačnímu programu a na základě oslovení Řídícím orgánem OP PIK jmenovaly samy své zástupce. V několika případech požádaly o zastoupení v Platformě přímo. Během přípravy operačního programu jsou konzultovány a připomínkovány pracovní verze programu nejprve v rámci Řídícího orgánu, návazně v pracovních skupinách, dále s jednotlivými věcně příslušnými útvary MPO a následně i s dalšími partnery, mj. v rámci jednání Platformy. Postupně schvalované a připomínkované verze operačního programu jsou aktualizovány, a to také v návaznosti na výstupy SEA a ex-ante hodnocení programu a na základě připomínek ze strany MMR-NOK. Mimo jednání Platformy a pracovních skupin probíhají na principu partnerství rovněž bilaterální jednání. V souvislosti s principem partnerství je Řídící orgán OP PIK zapojen i do činnosti pracovních skupin a platforem řízených MMR: Meziresortní expertní poradní skupina pro přípravu metodického prostředí, PS pro přípravu Dohody o partnerství, PS k rozpracování programů 2014 – 2020, PS k integrovaným přístupům a územní dimenzi, dále je Řídící orgán OP PIK zapojen do činnosti platforem a řídících výborů ostatních řídících orgánů a v neposlední řadě do činnosti Rady pro ESI fondy a jejích tematicky zaměřených pracovních skupin.</w:t>
      </w:r>
    </w:p>
    <w:p w14:paraId="2A3DEC14" w14:textId="77777777" w:rsidR="002D7AD5" w:rsidRPr="00DD47DF" w:rsidRDefault="002D7AD5" w:rsidP="002D7AD5">
      <w:pPr>
        <w:pStyle w:val="Standardntext"/>
      </w:pPr>
      <w:r w:rsidRPr="00DD47DF">
        <w:t xml:space="preserve">V první fázi přípravy programu byly s partnery konzultovány nejprve možnosti jejich zapojení do činnosti příslušných pracovních skupin Řídícího orgánu a následně to byly již otázky vlastního věcného zaměření programu a jeho prioritních os, tj. věcné nastavení intervencí programu, jejich koncentrace či rozšíření, dále otázky forem podpory (dotace, finanční nástroje), příjemců (malé a střední podniky, velké podniky a další subjekty), hraničních oblastí </w:t>
      </w:r>
      <w:r w:rsidRPr="00DD47DF">
        <w:lastRenderedPageBreak/>
        <w:t>(překryvů a synergií) s ostatními programy. Dále byly projednávány otázky zapracování a zohlednění územní dimenze v programu, indikátorů, finančních alokací a nastavení systému implementace a jeho jednotlivých subjektů.</w:t>
      </w:r>
      <w:r w:rsidR="00BA4E72" w:rsidRPr="00DD47DF">
        <w:t xml:space="preserve"> </w:t>
      </w:r>
    </w:p>
    <w:p w14:paraId="24968812" w14:textId="77777777" w:rsidR="002D7AD5" w:rsidRPr="00DD47DF" w:rsidRDefault="002D7AD5" w:rsidP="002D7AD5">
      <w:pPr>
        <w:pStyle w:val="Standardntext"/>
      </w:pPr>
      <w:r w:rsidRPr="00DD47DF">
        <w:t xml:space="preserve">Základním nástrojem pro zapojení partnerů do implementace, monitorování, a evaluací operačního programu bude </w:t>
      </w:r>
      <w:r w:rsidRPr="00DD47DF">
        <w:rPr>
          <w:b/>
        </w:rPr>
        <w:t>Monitorovací výbor OP PIK</w:t>
      </w:r>
      <w:r w:rsidRPr="00DD47DF">
        <w:t>. Monitorovací výbor bude ustanoven na návrh Řídicího orgánu nejpozději do 3 měsíců od schválení programu Evropskou komisí. Při sestavování Monitorovacího výboru bude primárně vycházeno z členství v Platformě MPO pro přípravu OP PIK tak, aby se aktéři zapojení do přípravy OP PIK odpovídajícím způsobem podíleli také na jeho provádění.</w:t>
      </w:r>
      <w:r w:rsidR="00243B68" w:rsidRPr="00DD47DF">
        <w:t xml:space="preserve"> Zapojení partnerů do činnosti </w:t>
      </w:r>
      <w:r w:rsidR="00637F69" w:rsidRPr="00DD47DF">
        <w:t xml:space="preserve">a jednání </w:t>
      </w:r>
      <w:r w:rsidR="00243B68" w:rsidRPr="00DD47DF">
        <w:t>MV OP PIK</w:t>
      </w:r>
      <w:r w:rsidR="00637F69" w:rsidRPr="00DD47DF">
        <w:t xml:space="preserve"> a náklady s tím spojené budou hrazeny z prostředků technické pomoci programu, tj. v rámci SC 5.1 prioritní osy 5 programu. Vedle MV OP PIK bude ustanovena na principu partnerství dále </w:t>
      </w:r>
      <w:r w:rsidR="00637F69" w:rsidRPr="00DD47DF">
        <w:rPr>
          <w:b/>
        </w:rPr>
        <w:t>Platforma pro plánování výzev</w:t>
      </w:r>
      <w:r w:rsidR="00637F69" w:rsidRPr="00DD47DF">
        <w:t xml:space="preserve">, jejíž činnost bude také financována z prostředků technické pomoci. </w:t>
      </w:r>
    </w:p>
    <w:p w14:paraId="3DEED4FC" w14:textId="77777777" w:rsidR="002D7AD5" w:rsidRPr="00DD47DF" w:rsidRDefault="002D7AD5" w:rsidP="002D7AD5">
      <w:pPr>
        <w:pStyle w:val="Modrnadpis"/>
        <w:ind w:left="0" w:firstLine="0"/>
      </w:pPr>
      <w:r w:rsidRPr="00DD47DF">
        <w:t>Hlavní výsledky a závěry z jednání s partnery ve fázi přípravy programu a jejich zohlednění v operačním programu</w:t>
      </w:r>
    </w:p>
    <w:p w14:paraId="0E6D951A" w14:textId="77777777" w:rsidR="002D7AD5" w:rsidRPr="00DD47DF" w:rsidRDefault="002D7AD5" w:rsidP="002D7AD5">
      <w:pPr>
        <w:pStyle w:val="Standardntext"/>
      </w:pPr>
      <w:r w:rsidRPr="00DD47DF">
        <w:t xml:space="preserve">K OP PIK proběhla tři kola připomínkových řízení, ve kterých mohly k návrhu programu vznést připomínky jak členové Platformy, tak členové pracovních skupin. Došlé připomínky byly partnerům prezentovány a s nimi projednány. Při připomínkování první verze programu (březen 2013) převažovaly otázky věcného zaměření intervencí programu a národních strategií, ze kterých by měl program vycházet. V této fázi bylo potřeba ze strany Řídícího orgánu vysvětlovat partnerům celkovou filosofii kohezní politiky 2014 - 2020, která je v mnohem větší míře zaměřena na výsledky a na koncentraci zdrojů na menší počet priorit vázaných na tematické cíle a investiční priority dle příslušných nařízení. Diskuse se vedly např. v oblasti energetiky (distribuční a přenosové sítě), v oblasti míry a rozsahu uplatnění finančních nástrojů v programu, o otázce podpory nejen MSP, ale i velkých podniků, což je pro ČR důležitá otázka při vyjednání programu. </w:t>
      </w:r>
    </w:p>
    <w:p w14:paraId="1CFDB9D9" w14:textId="77777777" w:rsidR="002D7AD5" w:rsidRPr="00DD47DF" w:rsidRDefault="00CB57B2" w:rsidP="002D7AD5">
      <w:pPr>
        <w:pStyle w:val="Standardntext"/>
      </w:pPr>
      <w:r w:rsidRPr="00DD47DF">
        <w:t xml:space="preserve">Při </w:t>
      </w:r>
      <w:r w:rsidR="002D7AD5" w:rsidRPr="00DD47DF">
        <w:t xml:space="preserve">připomínkování druhé verze (červen 2013) a následně čtvrté verze programu (listopad 2013) byly diskutovány otázky vztahující se k implementaci (určení </w:t>
      </w:r>
      <w:r w:rsidR="00487A2D" w:rsidRPr="00DD47DF">
        <w:t xml:space="preserve">zprostředkujícího </w:t>
      </w:r>
      <w:r w:rsidR="002D7AD5" w:rsidRPr="00DD47DF">
        <w:t>subjekt</w:t>
      </w:r>
      <w:r w:rsidR="00487A2D" w:rsidRPr="00DD47DF">
        <w:t>u</w:t>
      </w:r>
      <w:r w:rsidR="002D7AD5" w:rsidRPr="00DD47DF">
        <w:t>, zapojení regionálních partnerů, apod.), návrhy absorpční kapacity a rozložení alokací na jednotlivé prioritní osy, územní dimenze a zejména soulad programu s Dohodou o partnerství. V této fázi bylo docíleno zásadního posunu v zaměření prioritní osy 1, čímž došlo při redukci specifických cílů k efektivnějšímu provázání aktivit mezi OP PIK a OP VVV (podpora aplikovaného průmyslového výzkumu v rámci OP PIK), a prioritní osy 2, kde bylo upřesněno zejména zaměření a rozsah specializovaných služeb pro MSP a odborné vzdělávání v podnicích ve vazbě na OPZ. Dále došlo k zásadním změnám v prioritní ose 3 v oblasti energetiky (inteligentní přenosové sítě, přesun tématu VaVaI v energetice do prioritní osy 1, ekoinovace). Diskutovány byly otázky vazeb mezi programy, zejména vazby mezi OP PIK a OP VVV, kde se předpokládají největší synergické efekty, dále</w:t>
      </w:r>
      <w:r w:rsidR="00BA4E72" w:rsidRPr="00DD47DF">
        <w:t xml:space="preserve"> OP PIK a OPZ</w:t>
      </w:r>
      <w:r w:rsidR="002D7AD5" w:rsidRPr="00DD47DF">
        <w:t xml:space="preserve">, OP ŽP, PRV a OP PPR. V souvislosti s posledně jmenovaným programem byla zvážena možnost využití čl. 70 obecného nařízení k podpoře subjektů v rámci prioritní osy 1 mimo programovou oblast OP PIK, tj. z regionu podporovaného v rámci OP PPR. Důležitým tématem bylo využití finančních nástrojů a příjemců v oblasti finančních nástrojů. V otázce řešení územní dimenze a integrovaných nástrojů (zejména ITI) došlo v rámci jednání s relevantními regionálními partnery a MMR-NOK ke shodě ohledně zohlednění této problematiky v operačním programu. V závěrečné fázi tvorby programu (červen 2014) byla témata z oblasti VaV a inovací navrhovaná k podpoře </w:t>
      </w:r>
      <w:r w:rsidR="002D7AD5" w:rsidRPr="00DD47DF">
        <w:lastRenderedPageBreak/>
        <w:t>v OP PIK diskutována s relevantními partnery z řad podnikatelů v rámci kulatých stolů, které Řídící orgán organizoval pro naplněni doporučení využít v rámci principu partnerství tzv. „</w:t>
      </w:r>
      <w:r w:rsidR="002D7AD5" w:rsidRPr="00DD47DF">
        <w:rPr>
          <w:b/>
        </w:rPr>
        <w:t>entrepreneurial discovery proces</w:t>
      </w:r>
      <w:r w:rsidR="002D7AD5" w:rsidRPr="00DD47DF">
        <w:t>“. Výsledky těchto setkání budou využity zejména při koncipování jednotlivých programů podpory pro VaV a inovace a systému jejich implementace</w:t>
      </w:r>
      <w:r w:rsidR="00637F69" w:rsidRPr="00DD47DF">
        <w:t xml:space="preserve"> (zejména ve vazbě na RIS3)</w:t>
      </w:r>
      <w:r w:rsidR="002D7AD5" w:rsidRPr="00DD47DF">
        <w:t>.</w:t>
      </w:r>
    </w:p>
    <w:p w14:paraId="4CCF8489" w14:textId="77777777" w:rsidR="002D7AD5" w:rsidRPr="00DD47DF" w:rsidRDefault="002D7AD5" w:rsidP="002D7AD5">
      <w:pPr>
        <w:pStyle w:val="Standardntext"/>
      </w:pPr>
      <w:r w:rsidRPr="00DD47DF">
        <w:t>V rámci přípravy prioritní osy 1 nebyly zaznamenány zásadní připomínky týkající se zvolených oblastí podpory, připomínky se týkaly spíše rozčlenění aktivit do specifických cílů, které byly následně upraveny, a ujasňování obsahu plánovaných podporovaných aktivit, které byly promítnuty do rozpracovaných typových projektů. Zohledněny byly rovněž připomínky týkající se nastavení indikátorové soustavy.</w:t>
      </w:r>
    </w:p>
    <w:p w14:paraId="501C5948" w14:textId="77777777" w:rsidR="002D7AD5" w:rsidRPr="00DD47DF" w:rsidRDefault="002D7AD5" w:rsidP="002D7AD5">
      <w:pPr>
        <w:pStyle w:val="Standardntext"/>
      </w:pPr>
      <w:r w:rsidRPr="00DD47DF">
        <w:t>Připomínky partnerů k návrhům v rámci prioritní osy 2 jsou uplatňovány průběžně při jejich přípravě a projednávání. V úvodní etapě přípravy se připomínky týkaly především stanovení cílů, kterých má být PO 2 dosaženo a navrhovaných aktivit. Dále se řešil zejména přístup k podporám začínajících a rozvojových podniků, podnikatelské infrastruktury, poradenství pro začínající podniky, podpora internacionalizace MSP, sociálního podnikání, odborného vzdělávání zaměstnanců a zaměstnavatelů, a také otázky územní dimenze a formy podpory. Připomínky partnerů byly diskutovány na jednáních pracovní skupiny PO 2, elektronicky a také při osobních setkáních na jednáních platformy a dalších tematických akcích OP PIK. Převážná většina připomínek byla na základě argumentace vypořádána a nebyly zaznamenány zásadní rozpory.</w:t>
      </w:r>
    </w:p>
    <w:p w14:paraId="6A99ED01" w14:textId="77777777" w:rsidR="002D7AD5" w:rsidRPr="00DD47DF" w:rsidRDefault="002D7AD5" w:rsidP="002D7AD5">
      <w:pPr>
        <w:pStyle w:val="Standardntext"/>
      </w:pPr>
      <w:r w:rsidRPr="00DD47DF">
        <w:t>V průběhu přípravy PO 3 proběhlo několik jednání, na kterých byly mj. se zástupci odborných asociací, energetických expertů a nevládních organizací diskutovány otázky týkající se zaměření podporovaných aktivit a finanční alokace jednotlivých specifických cílů. Veškeré připomínky byly vypořádány v rámci diskuzních setkání případně přes formální připomínkové řízení. Opakovaně zmiňovaným požadavkem bylo navýšení alokace u SC 3.2 z důvodu naplňování Směrnice Evropského parlamentu a Rady 2012/27/EU o energetické účinnosti, která stanovuje zavedení orientačních vnitrostátních cílů energetické účinnosti do roku 2020. Tento požadavek byl s ohledem na relevantnost plně akceptován. Dále bylo například diskutováno zařazení instalace obnovitelných zdrojů energie v podnicích do SC 3.2, kde pracovní skupina dospěla ke konsenzu v podobě zařazení s upřesněním, že se musí jednat o zařízení pro vlastní spotřebu podniku.</w:t>
      </w:r>
    </w:p>
    <w:p w14:paraId="2E263501" w14:textId="77777777" w:rsidR="002D7AD5" w:rsidRPr="00DD47DF" w:rsidRDefault="002D7AD5" w:rsidP="002D7AD5">
      <w:pPr>
        <w:pStyle w:val="Standardntext"/>
      </w:pPr>
      <w:r w:rsidRPr="00DD47DF">
        <w:t>Pokud jde o prioritní osu 4, partneři zapojení do přípravy této prioritní osy uplatnili v zásadě jen několik málo připomínek zásadního charakteru, např. připomínky týkající se typu technologie aplikovatelné v rámci SC 4.1 (řešení založené na družicové telekomunikaci) či vymezení příjemců podpory v SC 4.2 (neomezovat příjemce selektivně dle klasifikace ekonomických činností).</w:t>
      </w:r>
    </w:p>
    <w:p w14:paraId="0ACC2196" w14:textId="77777777" w:rsidR="002D7AD5" w:rsidRPr="00DD47DF" w:rsidRDefault="002D7AD5" w:rsidP="002D7AD5">
      <w:pPr>
        <w:pStyle w:val="Standardntext"/>
      </w:pPr>
      <w:r w:rsidRPr="00DD47DF">
        <w:t>Povinnou součástí přípravy operačního programu bylo předběžné (ex-ante) hodnocení, které probíhalo paralelně s přípravou programu. Ex-ante hodnotitel byl zapojen do jednání Platformy a dle potřeby se účastnil jednání pracovních skupin či bilaterálních jednání Řídícího orgánu. Verze OP PIK předložená EK je zhodnocena v závěrečné zprávě ex-ante hodnocení, která je přílohou programového dokumentu. Spolupráce řídícího orgánu s ex-ante hodnotitelem probíhala dle doporučení MMR-NOK a EK po celou dobu tvorby programu</w:t>
      </w:r>
      <w:r w:rsidR="00CB57B2" w:rsidRPr="00DD47DF">
        <w:t xml:space="preserve">. </w:t>
      </w:r>
    </w:p>
    <w:p w14:paraId="54313023" w14:textId="77777777" w:rsidR="002F5A67" w:rsidRPr="00DD47DF" w:rsidRDefault="002D7AD5" w:rsidP="002D7AD5">
      <w:pPr>
        <w:pStyle w:val="Standardntext"/>
      </w:pPr>
      <w:r w:rsidRPr="00DD47DF">
        <w:t xml:space="preserve">Za účelem informování veřejnosti o přípravě </w:t>
      </w:r>
      <w:r w:rsidR="00CB57B2" w:rsidRPr="00DD47DF">
        <w:t xml:space="preserve">OP PIK </w:t>
      </w:r>
      <w:r w:rsidRPr="00DD47DF">
        <w:t>a jeho implementaci je Řídícím orgánem zřízena webová stránka</w:t>
      </w:r>
      <w:r w:rsidR="00CB57B2" w:rsidRPr="00DD47DF">
        <w:t xml:space="preserve"> </w:t>
      </w:r>
      <w:r w:rsidRPr="00DD47DF">
        <w:t>(</w:t>
      </w:r>
      <w:hyperlink r:id="rId53" w:history="1">
        <w:r w:rsidRPr="00DD47DF">
          <w:rPr>
            <w:rStyle w:val="Hypertextovodkaz"/>
          </w:rPr>
          <w:t>http://www.mpo.cz/cz/podpora-podnikani/oppik/</w:t>
        </w:r>
      </w:hyperlink>
      <w:r w:rsidRPr="00DD47DF">
        <w:t>).</w:t>
      </w:r>
    </w:p>
    <w:p w14:paraId="7E1094D7" w14:textId="77777777" w:rsidR="006A127B" w:rsidRPr="00DD47DF" w:rsidRDefault="00F64D76" w:rsidP="00F64D76">
      <w:pPr>
        <w:pStyle w:val="Nadpis3"/>
        <w:rPr>
          <w:rFonts w:cs="Calibri"/>
        </w:rPr>
      </w:pPr>
      <w:bookmarkStart w:id="132" w:name="_Toc506885070"/>
      <w:r w:rsidRPr="00DD47DF">
        <w:rPr>
          <w:rFonts w:cs="Calibri"/>
        </w:rPr>
        <w:lastRenderedPageBreak/>
        <w:t>Globální granty (pro ESF, použije-li se)</w:t>
      </w:r>
      <w:bookmarkEnd w:id="132"/>
    </w:p>
    <w:p w14:paraId="5D2AEC0C" w14:textId="77777777" w:rsidR="00091C87" w:rsidRPr="00DD47DF" w:rsidRDefault="000F7B0A" w:rsidP="00064717">
      <w:pPr>
        <w:pStyle w:val="Standardntext"/>
        <w:tabs>
          <w:tab w:val="center" w:pos="4606"/>
        </w:tabs>
      </w:pPr>
      <w:r w:rsidRPr="00DD47DF">
        <w:t>Není relevantní pro OP PIK.</w:t>
      </w:r>
      <w:r w:rsidR="00064717" w:rsidRPr="00DD47DF">
        <w:tab/>
      </w:r>
    </w:p>
    <w:p w14:paraId="52AE7095" w14:textId="77777777" w:rsidR="006A127B" w:rsidRPr="00DD47DF" w:rsidRDefault="00F64D76" w:rsidP="00F64D76">
      <w:pPr>
        <w:pStyle w:val="Nadpis3"/>
        <w:rPr>
          <w:rFonts w:cs="Calibri"/>
        </w:rPr>
      </w:pPr>
      <w:bookmarkStart w:id="133" w:name="_Toc506885071"/>
      <w:r w:rsidRPr="00DD47DF">
        <w:rPr>
          <w:rFonts w:cs="Calibri"/>
        </w:rPr>
        <w:t>Přidělení částky na vytváření kapacit (pro ESF, použije-li se)</w:t>
      </w:r>
      <w:bookmarkEnd w:id="133"/>
    </w:p>
    <w:p w14:paraId="0921F75F" w14:textId="77777777" w:rsidR="00091C87" w:rsidRPr="00DD47DF" w:rsidRDefault="000F7B0A" w:rsidP="008A5FCE">
      <w:pPr>
        <w:pStyle w:val="Standardntext"/>
      </w:pPr>
      <w:r w:rsidRPr="00DD47DF">
        <w:t>Není relevantní pro OP PIK.</w:t>
      </w:r>
    </w:p>
    <w:p w14:paraId="771BB8EC" w14:textId="77777777" w:rsidR="009E6172" w:rsidRPr="00DD47DF" w:rsidRDefault="00FF200C" w:rsidP="00FF200C">
      <w:pPr>
        <w:pStyle w:val="Nadpis1"/>
      </w:pPr>
      <w:bookmarkStart w:id="134" w:name="_Toc506885072"/>
      <w:r w:rsidRPr="00DD47DF">
        <w:lastRenderedPageBreak/>
        <w:t xml:space="preserve">Koordinace mezi fondy, EZFRV, </w:t>
      </w:r>
      <w:r w:rsidR="001B1FD9" w:rsidRPr="00DD47DF">
        <w:t>EMFF</w:t>
      </w:r>
      <w:r w:rsidRPr="00DD47DF">
        <w:t xml:space="preserve"> a dalšími unijními a </w:t>
      </w:r>
      <w:r w:rsidR="00F64D76" w:rsidRPr="00DD47DF">
        <w:t>vnitrostátními</w:t>
      </w:r>
      <w:r w:rsidRPr="00DD47DF">
        <w:t xml:space="preserve"> </w:t>
      </w:r>
      <w:r w:rsidR="00F64D76" w:rsidRPr="00DD47DF">
        <w:t>finančními</w:t>
      </w:r>
      <w:r w:rsidRPr="00DD47DF">
        <w:t xml:space="preserve"> nástroji a s EIB</w:t>
      </w:r>
      <w:bookmarkEnd w:id="134"/>
    </w:p>
    <w:p w14:paraId="7D922586" w14:textId="77777777" w:rsidR="000B1CBB" w:rsidRPr="00DD47DF" w:rsidRDefault="000B1CBB" w:rsidP="00396141">
      <w:pPr>
        <w:pStyle w:val="Modrnadpis"/>
        <w:rPr>
          <w:rFonts w:eastAsia="Arial Unicode MS"/>
        </w:rPr>
      </w:pPr>
      <w:r w:rsidRPr="00DD47DF">
        <w:t xml:space="preserve">Zajištění koordinace </w:t>
      </w:r>
      <w:r w:rsidR="0084638B" w:rsidRPr="00DD47DF">
        <w:t>mezi</w:t>
      </w:r>
      <w:r w:rsidRPr="00DD47DF">
        <w:t xml:space="preserve"> </w:t>
      </w:r>
      <w:r w:rsidR="0016670E" w:rsidRPr="00DD47DF">
        <w:t>programy ESIF</w:t>
      </w:r>
    </w:p>
    <w:p w14:paraId="6AB6862E" w14:textId="77777777" w:rsidR="00732320" w:rsidRPr="00DD47DF" w:rsidRDefault="000B1709" w:rsidP="000B1709">
      <w:pPr>
        <w:pStyle w:val="Standardntext"/>
      </w:pPr>
      <w:r w:rsidRPr="00DD47DF">
        <w:t xml:space="preserve">Bližší specifikace </w:t>
      </w:r>
      <w:r w:rsidR="008C0067" w:rsidRPr="00DD47DF">
        <w:t xml:space="preserve">níže </w:t>
      </w:r>
      <w:r w:rsidRPr="00DD47DF">
        <w:t>identifikovaných komplementárních a synergických vazeb</w:t>
      </w:r>
      <w:r w:rsidR="00CF4719" w:rsidRPr="00DD47DF">
        <w:t>, včetně koordinačních mechanismů,</w:t>
      </w:r>
      <w:r w:rsidRPr="00DD47DF">
        <w:t xml:space="preserve"> je součástí </w:t>
      </w:r>
      <w:r w:rsidR="00D3716C" w:rsidRPr="00DD47DF">
        <w:t>Nepovinné p</w:t>
      </w:r>
      <w:r w:rsidRPr="00DD47DF">
        <w:t xml:space="preserve">řílohy č. </w:t>
      </w:r>
      <w:r w:rsidR="00F734D1" w:rsidRPr="00DD47DF">
        <w:t>4</w:t>
      </w:r>
      <w:r w:rsidRPr="00DD47DF">
        <w:t>.</w:t>
      </w:r>
    </w:p>
    <w:p w14:paraId="77468054" w14:textId="77777777" w:rsidR="000B1709" w:rsidRPr="00DD47DF" w:rsidRDefault="005B0FF9" w:rsidP="000B1709">
      <w:pPr>
        <w:pStyle w:val="Standardntext"/>
      </w:pPr>
      <w:r w:rsidRPr="00DD47DF">
        <w:t xml:space="preserve">Mechanismem spolupráce </w:t>
      </w:r>
      <w:r w:rsidR="00706740" w:rsidRPr="00DD47DF">
        <w:t xml:space="preserve">jsou a nadále </w:t>
      </w:r>
      <w:r w:rsidR="00A567C4" w:rsidRPr="00DD47DF">
        <w:t xml:space="preserve">budou </w:t>
      </w:r>
      <w:r w:rsidRPr="00DD47DF">
        <w:t xml:space="preserve">jednak bilaterální </w:t>
      </w:r>
      <w:r w:rsidR="006D168E" w:rsidRPr="00DD47DF">
        <w:t>(v případě většího počtu zainteresovaných řídících orgánů</w:t>
      </w:r>
      <w:r w:rsidRPr="00DD47DF">
        <w:t xml:space="preserve"> multilaterální</w:t>
      </w:r>
      <w:r w:rsidR="006D168E" w:rsidRPr="00DD47DF">
        <w:t>)</w:t>
      </w:r>
      <w:r w:rsidRPr="00DD47DF">
        <w:t xml:space="preserve"> diskuse ohledně věcného zaměření příslušných oblastí intervencí a rovněž v</w:t>
      </w:r>
      <w:r w:rsidR="006D168E" w:rsidRPr="00DD47DF">
        <w:t>zájemná</w:t>
      </w:r>
      <w:r w:rsidRPr="00DD47DF">
        <w:t xml:space="preserve"> účast v relevantních </w:t>
      </w:r>
      <w:r w:rsidR="00B6210A" w:rsidRPr="00DD47DF">
        <w:t xml:space="preserve">pracovních skupinách či </w:t>
      </w:r>
      <w:r w:rsidRPr="00DD47DF">
        <w:t xml:space="preserve">platformách ustavených </w:t>
      </w:r>
      <w:r w:rsidR="006D168E" w:rsidRPr="00DD47DF">
        <w:t>na úrovni operačních programů</w:t>
      </w:r>
      <w:r w:rsidR="005473E3" w:rsidRPr="00DD47DF">
        <w:t xml:space="preserve"> i</w:t>
      </w:r>
      <w:r w:rsidR="006D168E" w:rsidRPr="00DD47DF">
        <w:t xml:space="preserve"> Dohody o partnerství</w:t>
      </w:r>
      <w:r w:rsidRPr="00DD47DF">
        <w:t>.</w:t>
      </w:r>
      <w:r w:rsidR="00B6210A" w:rsidRPr="00DD47DF">
        <w:t xml:space="preserve"> Ve fázi realizace se </w:t>
      </w:r>
      <w:r w:rsidR="0062540E" w:rsidRPr="00DD47DF">
        <w:t xml:space="preserve">u vybraných aktivit </w:t>
      </w:r>
      <w:r w:rsidR="00B6210A" w:rsidRPr="00DD47DF">
        <w:t xml:space="preserve">předpokládá </w:t>
      </w:r>
      <w:r w:rsidR="0062540E" w:rsidRPr="00DD47DF">
        <w:t xml:space="preserve">koordinace výzev a dále </w:t>
      </w:r>
      <w:r w:rsidR="00B6210A" w:rsidRPr="00DD47DF">
        <w:t>vzájemné zastoupení zástupců řídícího orgánu daného programu na monitorovacích výborech, koordinace prostřednictvím centrálního webového rozhraní MMR-NOK poskytující komplexní informace potenciálním žadatelům, či spolupráce na evaluacích v dané oblasti.</w:t>
      </w:r>
    </w:p>
    <w:p w14:paraId="66B60CC0" w14:textId="77777777" w:rsidR="00B117BE" w:rsidRPr="00DD47DF" w:rsidRDefault="00B117BE" w:rsidP="00DA7257">
      <w:pPr>
        <w:pStyle w:val="Standardntext"/>
        <w:keepNext/>
        <w:keepLines/>
        <w:numPr>
          <w:ilvl w:val="0"/>
          <w:numId w:val="30"/>
        </w:numPr>
        <w:rPr>
          <w:b/>
        </w:rPr>
      </w:pPr>
      <w:r w:rsidRPr="00DD47DF">
        <w:rPr>
          <w:b/>
        </w:rPr>
        <w:t>Inovace a podnikání</w:t>
      </w:r>
    </w:p>
    <w:p w14:paraId="711413DD" w14:textId="77777777" w:rsidR="00B117BE" w:rsidRPr="00DD47DF" w:rsidRDefault="00EF1F7A" w:rsidP="00B117BE">
      <w:pPr>
        <w:pStyle w:val="Standardntext"/>
      </w:pPr>
      <w:r w:rsidRPr="00DD47DF">
        <w:t xml:space="preserve">Jde o synergickou vazbu mezi </w:t>
      </w:r>
      <w:r w:rsidR="00B12201" w:rsidRPr="00DD47DF">
        <w:t>PO</w:t>
      </w:r>
      <w:r w:rsidRPr="00DD47DF">
        <w:t xml:space="preserve"> 1 a 2</w:t>
      </w:r>
      <w:r w:rsidR="00B12201" w:rsidRPr="00DD47DF">
        <w:t xml:space="preserve"> OP PIK</w:t>
      </w:r>
      <w:r w:rsidRPr="00DD47DF">
        <w:t xml:space="preserve">. </w:t>
      </w:r>
      <w:r w:rsidR="00B117BE" w:rsidRPr="00DD47DF">
        <w:t xml:space="preserve">Aktivity </w:t>
      </w:r>
      <w:r w:rsidR="00B12201" w:rsidRPr="00DD47DF">
        <w:t>SC 2.1 a 2.2</w:t>
      </w:r>
      <w:r w:rsidR="00B117BE" w:rsidRPr="00DD47DF">
        <w:t xml:space="preserve"> vytvářejí prostor pro </w:t>
      </w:r>
      <w:r w:rsidR="00B135E4" w:rsidRPr="00DD47DF">
        <w:t>možnost podnikatelů naučit se</w:t>
      </w:r>
      <w:r w:rsidR="00B117BE" w:rsidRPr="00DD47DF">
        <w:t xml:space="preserve"> efektivně využívat služby sofistikovaného inovačního poradenství, na jehož základě se jim otevřou dosud nevyužité možnosti pro růst jejich konkurenceschopnosti na mezinárodním trhu. MSP se tak mohou dostat na vyšší stupeň poznání v oblasti inovací a budou mít možnost využít nové směry pro uplatnění svých podnikatelských záměrů v </w:t>
      </w:r>
      <w:r w:rsidR="005275CF" w:rsidRPr="00DD47DF">
        <w:rPr>
          <w:b/>
        </w:rPr>
        <w:t>PO</w:t>
      </w:r>
      <w:r w:rsidR="00B117BE" w:rsidRPr="00DD47DF">
        <w:rPr>
          <w:b/>
        </w:rPr>
        <w:t xml:space="preserve"> 1 OP PIK</w:t>
      </w:r>
      <w:r w:rsidR="00B117BE" w:rsidRPr="00DD47DF">
        <w:t>, která je orientována spíše na podnikatelské subjekty se zkušenostmi na poli VaVaI.</w:t>
      </w:r>
    </w:p>
    <w:p w14:paraId="2A4AF7A1" w14:textId="77777777" w:rsidR="00A05FA8" w:rsidRPr="00DD47DF" w:rsidRDefault="00A05FA8" w:rsidP="00DA7257">
      <w:pPr>
        <w:pStyle w:val="Standardntext"/>
        <w:keepNext/>
        <w:keepLines/>
        <w:numPr>
          <w:ilvl w:val="0"/>
          <w:numId w:val="30"/>
        </w:numPr>
        <w:rPr>
          <w:b/>
        </w:rPr>
      </w:pPr>
      <w:r w:rsidRPr="00DD47DF">
        <w:rPr>
          <w:b/>
        </w:rPr>
        <w:t>Úspory energií a rekonstrukce podnikatelských nemovitostí</w:t>
      </w:r>
    </w:p>
    <w:p w14:paraId="190A9629" w14:textId="77777777" w:rsidR="00A05FA8" w:rsidRPr="00DD47DF" w:rsidRDefault="005275CF" w:rsidP="00A05FA8">
      <w:pPr>
        <w:pStyle w:val="Standardntext"/>
      </w:pPr>
      <w:r w:rsidRPr="00DD47DF">
        <w:rPr>
          <w:b/>
        </w:rPr>
        <w:t>PO</w:t>
      </w:r>
      <w:r w:rsidR="008C0067" w:rsidRPr="00DD47DF">
        <w:rPr>
          <w:b/>
        </w:rPr>
        <w:t xml:space="preserve"> 3 </w:t>
      </w:r>
      <w:r w:rsidRPr="00DD47DF">
        <w:rPr>
          <w:b/>
        </w:rPr>
        <w:t>OP PIK</w:t>
      </w:r>
      <w:r w:rsidRPr="00DD47DF">
        <w:t xml:space="preserve"> </w:t>
      </w:r>
      <w:r w:rsidR="008C0067" w:rsidRPr="00DD47DF">
        <w:t xml:space="preserve">zajišťuje možnost realizace úspory energie v budovách i u takových operací, které nutně neznamenají kompletní rekonstrukci podnikatelské nemovitosti. Rozsah zásahu v rámci </w:t>
      </w:r>
      <w:r w:rsidR="00B47EAC" w:rsidRPr="00DD47DF">
        <w:t>SC</w:t>
      </w:r>
      <w:r w:rsidR="008C0067" w:rsidRPr="00DD47DF">
        <w:t xml:space="preserve"> 2.3 vhodně doplňuje a rozšiřuje svým obsahem oblast </w:t>
      </w:r>
      <w:r w:rsidR="00B47EAC" w:rsidRPr="00DD47DF">
        <w:t>SC</w:t>
      </w:r>
      <w:r w:rsidR="008C0067" w:rsidRPr="00DD47DF">
        <w:t xml:space="preserve"> 3.2, která pokrývá pouze oblast úspor energie, a je tak svým obsahem nevyužitelná pro záměry komplexních regenerací ploch určených pro podnikání, u nichž pro nové efektivní využití nestačí prostá opatření snižující energetickou náročnost budovy. </w:t>
      </w:r>
      <w:r w:rsidR="00A05FA8" w:rsidRPr="00DD47DF">
        <w:t xml:space="preserve">Dělicí linií mezi </w:t>
      </w:r>
      <w:r w:rsidR="00B12201" w:rsidRPr="00DD47DF">
        <w:t>PO</w:t>
      </w:r>
      <w:r w:rsidR="00816FF7" w:rsidRPr="00DD47DF">
        <w:t xml:space="preserve"> 2 a 3</w:t>
      </w:r>
      <w:r w:rsidR="00A05FA8" w:rsidRPr="00DD47DF">
        <w:t xml:space="preserve"> </w:t>
      </w:r>
      <w:r w:rsidR="00816FF7" w:rsidRPr="00DD47DF">
        <w:t xml:space="preserve">OP PIK </w:t>
      </w:r>
      <w:r w:rsidR="00A05FA8" w:rsidRPr="00DD47DF">
        <w:t xml:space="preserve">je v této oblasti komplexnost opatření. Bude-li investiční hodnota navržených opatření převyšovat hodnotu daného objektu před rekonstrukcí (včetně požadavků na míru opotřebení a technickou degradaci), pak jde o komplexní opatření spadající do </w:t>
      </w:r>
      <w:r w:rsidR="00B12201" w:rsidRPr="00DD47DF">
        <w:t>SC 2.3</w:t>
      </w:r>
      <w:r w:rsidR="00A05FA8" w:rsidRPr="00DD47DF">
        <w:t>. Půjde-li pouze o dílčí opatření s cenou nižší</w:t>
      </w:r>
      <w:r w:rsidR="006E4DCE" w:rsidRPr="00DD47DF">
        <w:t>,</w:t>
      </w:r>
      <w:r w:rsidR="00A05FA8" w:rsidRPr="00DD47DF">
        <w:t xml:space="preserve"> než je hodnota objektu, pak bude možné řešit pouze opatření vedoucí ke snížení energetické náročnosti a projekt bude zařazen do </w:t>
      </w:r>
      <w:r w:rsidR="00B12201" w:rsidRPr="00DD47DF">
        <w:t>SC 3.2</w:t>
      </w:r>
      <w:r w:rsidR="00A05FA8" w:rsidRPr="00DD47DF">
        <w:t>.</w:t>
      </w:r>
    </w:p>
    <w:p w14:paraId="462F5EFD" w14:textId="77777777" w:rsidR="000B1709" w:rsidRPr="00DD47DF" w:rsidRDefault="000B1709" w:rsidP="00DA7257">
      <w:pPr>
        <w:pStyle w:val="Standardntext"/>
        <w:numPr>
          <w:ilvl w:val="0"/>
          <w:numId w:val="30"/>
        </w:numPr>
        <w:rPr>
          <w:b/>
        </w:rPr>
      </w:pPr>
      <w:r w:rsidRPr="00DD47DF">
        <w:rPr>
          <w:b/>
        </w:rPr>
        <w:t>Výzkum, vývoj a inovace</w:t>
      </w:r>
    </w:p>
    <w:p w14:paraId="225BDD50" w14:textId="77777777" w:rsidR="00B135E4" w:rsidRPr="00DD47DF" w:rsidRDefault="000B1709" w:rsidP="00342AA5">
      <w:pPr>
        <w:pStyle w:val="Standardntext"/>
      </w:pPr>
      <w:r w:rsidRPr="00DD47DF">
        <w:t xml:space="preserve">V této oblasti má OP PIK jednoznačnou vazbu na </w:t>
      </w:r>
      <w:r w:rsidRPr="00DD47DF">
        <w:rPr>
          <w:b/>
        </w:rPr>
        <w:t>OP VVV</w:t>
      </w:r>
      <w:r w:rsidR="00B135E4" w:rsidRPr="00DD47DF">
        <w:t>, který</w:t>
      </w:r>
      <w:r w:rsidRPr="00DD47DF">
        <w:t xml:space="preserve"> </w:t>
      </w:r>
      <w:r w:rsidR="00B135E4" w:rsidRPr="00DD47DF">
        <w:t>se zaměřuje</w:t>
      </w:r>
      <w:r w:rsidRPr="00DD47DF">
        <w:t xml:space="preserve"> na spolupráci výzkumných organizací a podniků ve velmi rané fázi výzkumu, kdy je </w:t>
      </w:r>
      <w:r w:rsidR="00627385" w:rsidRPr="00DD47DF">
        <w:t xml:space="preserve">vysoké </w:t>
      </w:r>
      <w:r w:rsidRPr="00DD47DF">
        <w:t xml:space="preserve">riziko </w:t>
      </w:r>
      <w:r w:rsidR="00627385" w:rsidRPr="00DD47DF">
        <w:t xml:space="preserve">výsledku výzkumu a potenciál jeho </w:t>
      </w:r>
      <w:r w:rsidRPr="00DD47DF">
        <w:t>uplatnění až v dlouhodobém horizontu. OP PIK bude naproti tomu podporovat opatření pro zvýšení inovační výkonnosti podniků, využití výsledků aplikovaného výzkumu a experimentálního vývoje v praxi a do rozvoje spolupráce mezi podnikatelským sektorem a veřejnými, vzdělávacími a vědecko-výzkumnými institucemi.</w:t>
      </w:r>
      <w:r w:rsidR="00C46B27" w:rsidRPr="00DD47DF">
        <w:t xml:space="preserve"> Základem vzájemné spolupráce je </w:t>
      </w:r>
      <w:r w:rsidR="00C46B27" w:rsidRPr="00DD47DF">
        <w:rPr>
          <w:i/>
        </w:rPr>
        <w:t>Memorandum o spolupráci při přípravě a budoucí realizaci OP PIK a OP VVV</w:t>
      </w:r>
      <w:r w:rsidR="00C46B27" w:rsidRPr="00DD47DF">
        <w:t xml:space="preserve">. </w:t>
      </w:r>
    </w:p>
    <w:p w14:paraId="394611E4" w14:textId="77777777" w:rsidR="00201994" w:rsidRPr="00DD47DF" w:rsidRDefault="00201994" w:rsidP="00943140">
      <w:pPr>
        <w:pStyle w:val="Standardntext"/>
      </w:pPr>
      <w:r w:rsidRPr="00DD47DF">
        <w:lastRenderedPageBreak/>
        <w:t xml:space="preserve">OP PIK má v oblasti VaVaI dále vazbu na </w:t>
      </w:r>
      <w:r w:rsidR="00627385" w:rsidRPr="00DD47DF">
        <w:t>OP PPR</w:t>
      </w:r>
      <w:r w:rsidR="00B12201" w:rsidRPr="00DD47DF">
        <w:t>, PRV, OP R</w:t>
      </w:r>
      <w:r w:rsidR="002A55DA" w:rsidRPr="00DD47DF">
        <w:t>, vybrané</w:t>
      </w:r>
      <w:r w:rsidRPr="00DD47DF">
        <w:t xml:space="preserve"> </w:t>
      </w:r>
      <w:r w:rsidR="002A55DA" w:rsidRPr="00DD47DF">
        <w:t xml:space="preserve">programy </w:t>
      </w:r>
      <w:r w:rsidR="00F925BD" w:rsidRPr="00DD47DF">
        <w:t xml:space="preserve">přeshraniční spolupráce v rámci </w:t>
      </w:r>
      <w:r w:rsidRPr="00DD47DF">
        <w:t>Cíle 2</w:t>
      </w:r>
      <w:r w:rsidR="004B7028" w:rsidRPr="00DD47DF">
        <w:t xml:space="preserve"> a další</w:t>
      </w:r>
      <w:r w:rsidR="004311B6" w:rsidRPr="00DD47DF">
        <w:t xml:space="preserve"> relevantní program</w:t>
      </w:r>
      <w:r w:rsidR="002A55DA" w:rsidRPr="00DD47DF">
        <w:t xml:space="preserve">y nadnárodní </w:t>
      </w:r>
      <w:r w:rsidR="0015513D" w:rsidRPr="00DD47DF">
        <w:t xml:space="preserve">(Central Europe 2020, Danube) </w:t>
      </w:r>
      <w:r w:rsidR="002A55DA" w:rsidRPr="00DD47DF">
        <w:t>a meziregionální spolupráce</w:t>
      </w:r>
      <w:r w:rsidR="0015513D" w:rsidRPr="00DD47DF">
        <w:t xml:space="preserve"> (Interreg Europe, Espon 2020)</w:t>
      </w:r>
      <w:r w:rsidR="00B135E4" w:rsidRPr="00DD47DF">
        <w:t>.</w:t>
      </w:r>
      <w:r w:rsidR="00BD3CD0" w:rsidRPr="00DD47DF">
        <w:t xml:space="preserve"> Podpora z OP PIK bude mj. umožňovat vícestrannou mezinárodní spolupráci ve výzkumu.</w:t>
      </w:r>
    </w:p>
    <w:p w14:paraId="50292AC6" w14:textId="77777777" w:rsidR="00693B57" w:rsidRPr="00DD47DF" w:rsidRDefault="00693B57" w:rsidP="00DA7257">
      <w:pPr>
        <w:pStyle w:val="Standardntext"/>
        <w:numPr>
          <w:ilvl w:val="0"/>
          <w:numId w:val="30"/>
        </w:numPr>
        <w:spacing w:after="240"/>
        <w:rPr>
          <w:b/>
        </w:rPr>
      </w:pPr>
      <w:r w:rsidRPr="00DD47DF">
        <w:rPr>
          <w:b/>
        </w:rPr>
        <w:t>Podpora podnikání MSP</w:t>
      </w:r>
    </w:p>
    <w:p w14:paraId="565ACAB1" w14:textId="77777777" w:rsidR="00F35D30" w:rsidRPr="00DD47DF" w:rsidRDefault="00693B57" w:rsidP="00295FCA">
      <w:pPr>
        <w:pStyle w:val="Standardntext"/>
      </w:pPr>
      <w:r w:rsidRPr="00DD47DF">
        <w:t xml:space="preserve">Na zvýšení konkurenceschopnosti </w:t>
      </w:r>
      <w:r w:rsidR="006E4DCE" w:rsidRPr="00DD47DF">
        <w:t>MSP</w:t>
      </w:r>
      <w:r w:rsidRPr="00DD47DF">
        <w:t xml:space="preserve"> se kromě OP PIK zaměřuje také </w:t>
      </w:r>
      <w:r w:rsidRPr="00DD47DF">
        <w:rPr>
          <w:b/>
        </w:rPr>
        <w:t>PRV</w:t>
      </w:r>
      <w:r w:rsidR="00F35D30" w:rsidRPr="00DD47DF">
        <w:t xml:space="preserve"> a </w:t>
      </w:r>
      <w:r w:rsidR="00F35D30" w:rsidRPr="00DD47DF">
        <w:rPr>
          <w:b/>
        </w:rPr>
        <w:t>OP R</w:t>
      </w:r>
      <w:r w:rsidRPr="00DD47DF">
        <w:t xml:space="preserve">. </w:t>
      </w:r>
      <w:r w:rsidR="00114021" w:rsidRPr="00DD47DF">
        <w:t>Z</w:t>
      </w:r>
      <w:r w:rsidRPr="00DD47DF">
        <w:t>ákladní rozdělení intervencí mezi OP PIK a PRV je z pohledu příjemců (tj. zemědělský podnikatel, definovaný zákonem o zemědělství, a nezemědělský podnikatel) a dále z pohledu výstupu projektu dle Přílohy I. Smlouvy</w:t>
      </w:r>
      <w:r w:rsidR="00F35D30" w:rsidRPr="00DD47DF">
        <w:t xml:space="preserve"> o fungování EU</w:t>
      </w:r>
      <w:r w:rsidRPr="00DD47DF">
        <w:t xml:space="preserve"> (tzv. annexové a non-annexové položky).</w:t>
      </w:r>
      <w:r w:rsidR="00295FCA" w:rsidRPr="00DD47DF">
        <w:t xml:space="preserve"> </w:t>
      </w:r>
      <w:r w:rsidR="00F35D30" w:rsidRPr="00DD47DF">
        <w:t xml:space="preserve">OP </w:t>
      </w:r>
      <w:r w:rsidR="00295FCA" w:rsidRPr="00DD47DF">
        <w:t xml:space="preserve">R </w:t>
      </w:r>
      <w:r w:rsidR="00F35D30" w:rsidRPr="00DD47DF">
        <w:t>se soustředí na podniky akvakultury v ob</w:t>
      </w:r>
      <w:r w:rsidR="00295FCA" w:rsidRPr="00DD47DF">
        <w:t>lasti zpracovatelského průmyslu</w:t>
      </w:r>
      <w:r w:rsidR="00F35D30" w:rsidRPr="00DD47DF">
        <w:t>.</w:t>
      </w:r>
    </w:p>
    <w:p w14:paraId="741EBD31" w14:textId="77777777" w:rsidR="005530D1" w:rsidRPr="00DD47DF" w:rsidRDefault="005530D1" w:rsidP="00DA7257">
      <w:pPr>
        <w:pStyle w:val="Standardntext"/>
        <w:numPr>
          <w:ilvl w:val="0"/>
          <w:numId w:val="30"/>
        </w:numPr>
        <w:rPr>
          <w:b/>
        </w:rPr>
      </w:pPr>
      <w:r w:rsidRPr="00DD47DF">
        <w:rPr>
          <w:b/>
        </w:rPr>
        <w:t>Sociální podnikání</w:t>
      </w:r>
    </w:p>
    <w:p w14:paraId="5A4CF949" w14:textId="77777777" w:rsidR="005530D1" w:rsidRPr="00DD47DF" w:rsidRDefault="005530D1" w:rsidP="005530D1">
      <w:pPr>
        <w:pStyle w:val="Standardntext"/>
      </w:pPr>
      <w:r w:rsidRPr="00DD47DF">
        <w:t xml:space="preserve">Problematikou sociálního podnikání se primárně zabývají </w:t>
      </w:r>
      <w:r w:rsidRPr="00DD47DF">
        <w:rPr>
          <w:b/>
        </w:rPr>
        <w:t>OP Z</w:t>
      </w:r>
      <w:r w:rsidRPr="00DD47DF">
        <w:t xml:space="preserve">, </w:t>
      </w:r>
      <w:r w:rsidRPr="00DD47DF">
        <w:rPr>
          <w:b/>
        </w:rPr>
        <w:t>IROP</w:t>
      </w:r>
      <w:r w:rsidRPr="00DD47DF">
        <w:t xml:space="preserve"> a </w:t>
      </w:r>
      <w:r w:rsidRPr="00DD47DF">
        <w:rPr>
          <w:b/>
        </w:rPr>
        <w:t>OP PPR</w:t>
      </w:r>
      <w:r w:rsidRPr="00DD47DF">
        <w:t>. Zatímco jmenované operační programy se soustřeďují na sociální podnikání jako takové</w:t>
      </w:r>
      <w:r w:rsidR="004578DA" w:rsidRPr="00DD47DF">
        <w:t xml:space="preserve"> (ve smyslu podpory vzniku a činnosti sociálních podniků), </w:t>
      </w:r>
      <w:r w:rsidRPr="00DD47DF">
        <w:t>předmětem OP PIK je spíše posílení sociálního rozměru podnikání. Jeho podstatou je, aby jakýkoliv malý či střední podnik, který splní dané podmínky a prokáže realizací podpořeného projektu zaměstnávání osob ze znevýhodněných skupin obyvatelstva, byl zvýhodněn oproti jiným žadatelům, kteří v projektu tento typ pracovních míst nevytvoří. Přímá vazba OP PIK na uvedené operační programy se proto v této oblasti nepředpokládá.</w:t>
      </w:r>
    </w:p>
    <w:p w14:paraId="5604425B" w14:textId="77777777" w:rsidR="000B1709" w:rsidRPr="00DD47DF" w:rsidRDefault="000B1709" w:rsidP="00DA7257">
      <w:pPr>
        <w:pStyle w:val="Standardntext"/>
        <w:numPr>
          <w:ilvl w:val="0"/>
          <w:numId w:val="30"/>
        </w:numPr>
        <w:rPr>
          <w:b/>
        </w:rPr>
      </w:pPr>
      <w:r w:rsidRPr="00DD47DF">
        <w:rPr>
          <w:b/>
        </w:rPr>
        <w:t>Odborné vzdělávání</w:t>
      </w:r>
    </w:p>
    <w:p w14:paraId="7C7278EB" w14:textId="77777777" w:rsidR="00B12201" w:rsidRPr="00DD47DF" w:rsidRDefault="00C46B27" w:rsidP="000B1709">
      <w:pPr>
        <w:pStyle w:val="Standardntext"/>
      </w:pPr>
      <w:r w:rsidRPr="00DD47DF">
        <w:t xml:space="preserve">Zatímco odborné vzdělávání jako takové je předmětem podpory v rámci </w:t>
      </w:r>
      <w:r w:rsidRPr="00DD47DF">
        <w:rPr>
          <w:b/>
        </w:rPr>
        <w:t>OP Z</w:t>
      </w:r>
      <w:r w:rsidRPr="00DD47DF">
        <w:t>, OP PIK se orientuje na infrastrukturu pro odborné vzdělávání</w:t>
      </w:r>
      <w:r w:rsidR="003E1F87" w:rsidRPr="00DD47DF">
        <w:t xml:space="preserve"> zaměstnanců (zaměstnavatelů) </w:t>
      </w:r>
      <w:r w:rsidR="005D178C" w:rsidRPr="00DD47DF">
        <w:t>MSP</w:t>
      </w:r>
      <w:r w:rsidR="00FF6238" w:rsidRPr="00DD47DF">
        <w:t xml:space="preserve"> (j</w:t>
      </w:r>
      <w:r w:rsidR="003E1F87" w:rsidRPr="00DD47DF">
        <w:t>de o podpor</w:t>
      </w:r>
      <w:r w:rsidR="00FF6238" w:rsidRPr="00DD47DF">
        <w:t>u</w:t>
      </w:r>
      <w:r w:rsidR="003E1F87" w:rsidRPr="00DD47DF">
        <w:t xml:space="preserve"> tvrdých investic z</w:t>
      </w:r>
      <w:r w:rsidR="00FF6238" w:rsidRPr="00DD47DF">
        <w:t> </w:t>
      </w:r>
      <w:r w:rsidR="003E1F87" w:rsidRPr="00DD47DF">
        <w:t>ERDF</w:t>
      </w:r>
      <w:r w:rsidR="00FF6238" w:rsidRPr="00DD47DF">
        <w:t>)</w:t>
      </w:r>
      <w:r w:rsidRPr="00DD47DF">
        <w:t xml:space="preserve">. </w:t>
      </w:r>
      <w:r w:rsidR="00FF6238" w:rsidRPr="00DD47DF">
        <w:t xml:space="preserve">MPSV bude podporovat další vzdělávání dospělých stojících mimo počáteční vzdělávání v prioritní ose 1 OP Z (podpora měkkých investic z ESF). </w:t>
      </w:r>
      <w:r w:rsidR="00B135E4" w:rsidRPr="00DD47DF">
        <w:t>Oba ř</w:t>
      </w:r>
      <w:r w:rsidRPr="00DD47DF">
        <w:t xml:space="preserve">ídící orgány navazují </w:t>
      </w:r>
      <w:r w:rsidR="00B135E4" w:rsidRPr="00DD47DF">
        <w:t xml:space="preserve">na dřívější spolupráci </w:t>
      </w:r>
      <w:r w:rsidRPr="00DD47DF">
        <w:rPr>
          <w:i/>
        </w:rPr>
        <w:t xml:space="preserve">Memorandem o spolupráci </w:t>
      </w:r>
      <w:r w:rsidR="001C38E4" w:rsidRPr="00DD47DF">
        <w:rPr>
          <w:i/>
        </w:rPr>
        <w:t>při přípravě a budoucí realizaci</w:t>
      </w:r>
      <w:r w:rsidRPr="00DD47DF">
        <w:rPr>
          <w:i/>
        </w:rPr>
        <w:t xml:space="preserve"> OP Z </w:t>
      </w:r>
      <w:r w:rsidRPr="00DD47DF">
        <w:t>uzavřeným na úrovni příslušných ministrů. V něm se oba řídící orgány dohodly, že MPO bude „věcným garantem“ za oblast odborného vzdělávání v průmyslových odvětvích ve vazbě na podporu podnikání v rámci prioritní osy 1 OP Z.</w:t>
      </w:r>
    </w:p>
    <w:p w14:paraId="4E95C3BC" w14:textId="77777777" w:rsidR="008C0067" w:rsidRPr="00DD47DF" w:rsidRDefault="008C0067" w:rsidP="000B1709">
      <w:pPr>
        <w:pStyle w:val="Standardntext"/>
      </w:pPr>
      <w:r w:rsidRPr="00DD47DF">
        <w:t xml:space="preserve">V oblasti vzdělávání intervenuje dále také OP VVV, v rámci něhož bude podporováno odborné vzdělávání studentů a učitelů technických oborů </w:t>
      </w:r>
      <w:r w:rsidR="00D40B0C" w:rsidRPr="00DD47DF">
        <w:t>v rámci</w:t>
      </w:r>
      <w:r w:rsidRPr="00DD47DF">
        <w:t xml:space="preserve"> škol. V OP PIK bude naproti tomu umožněno využití podnikových vzdělávacích kapacit také pro </w:t>
      </w:r>
      <w:r w:rsidR="0004418E" w:rsidRPr="00DD47DF">
        <w:t>odborný výcvik, odborné praxe a stáže žáků a studentů škol</w:t>
      </w:r>
      <w:r w:rsidRPr="00DD47DF">
        <w:t>, se kterými podpořený MSP naváže spolupráci.</w:t>
      </w:r>
    </w:p>
    <w:p w14:paraId="6282E095" w14:textId="77777777" w:rsidR="00B135E4" w:rsidRPr="00DD47DF" w:rsidRDefault="008C0067" w:rsidP="000B1709">
      <w:pPr>
        <w:pStyle w:val="Standardntext"/>
      </w:pPr>
      <w:r w:rsidRPr="00DD47DF">
        <w:t xml:space="preserve">Aktivity PRV jsou sledovány pro účely </w:t>
      </w:r>
      <w:r w:rsidR="0016670E" w:rsidRPr="00DD47DF">
        <w:t>komplexního zajištění odborného vzdělávání – PRV pro zemědělské podniky</w:t>
      </w:r>
      <w:r w:rsidRPr="00DD47DF">
        <w:t>.</w:t>
      </w:r>
    </w:p>
    <w:p w14:paraId="51EE9370" w14:textId="77777777" w:rsidR="0062540E" w:rsidRPr="00DD47DF" w:rsidRDefault="0062540E" w:rsidP="00DA7257">
      <w:pPr>
        <w:pStyle w:val="Standardntext"/>
        <w:numPr>
          <w:ilvl w:val="0"/>
          <w:numId w:val="30"/>
        </w:numPr>
        <w:rPr>
          <w:b/>
        </w:rPr>
      </w:pPr>
      <w:r w:rsidRPr="00DD47DF">
        <w:rPr>
          <w:b/>
        </w:rPr>
        <w:t>Brownfield</w:t>
      </w:r>
      <w:r w:rsidR="00BF7E1C" w:rsidRPr="00DD47DF">
        <w:rPr>
          <w:b/>
        </w:rPr>
        <w:t>y</w:t>
      </w:r>
    </w:p>
    <w:p w14:paraId="489B0B53" w14:textId="77777777" w:rsidR="0062540E" w:rsidRPr="00DD47DF" w:rsidRDefault="0062540E" w:rsidP="004A282B">
      <w:pPr>
        <w:pStyle w:val="Standardntext"/>
      </w:pPr>
      <w:r w:rsidRPr="00DD47DF">
        <w:t>Vedle OP PIK řeší otázku brownfield</w:t>
      </w:r>
      <w:r w:rsidR="00BF7E1C" w:rsidRPr="00DD47DF">
        <w:t>ů</w:t>
      </w:r>
      <w:r w:rsidRPr="00DD47DF">
        <w:t xml:space="preserve"> rovněž </w:t>
      </w:r>
      <w:r w:rsidRPr="00DD47DF">
        <w:rPr>
          <w:b/>
        </w:rPr>
        <w:t>OP ŽP</w:t>
      </w:r>
      <w:r w:rsidRPr="00DD47DF">
        <w:t xml:space="preserve"> a </w:t>
      </w:r>
      <w:r w:rsidR="0023733C" w:rsidRPr="00DD47DF">
        <w:t xml:space="preserve">nepřímo také </w:t>
      </w:r>
      <w:r w:rsidRPr="00DD47DF">
        <w:rPr>
          <w:b/>
        </w:rPr>
        <w:t>PRV</w:t>
      </w:r>
      <w:r w:rsidRPr="00DD47DF">
        <w:t>. Předmětem podpory v OP ŽP je</w:t>
      </w:r>
      <w:r w:rsidR="00E2032C" w:rsidRPr="00DD47DF">
        <w:t xml:space="preserve"> sanace vážně kontaminovaných lokalit, u nichž jsou prokázána rizika pro lidské zdraví a ekosystémy</w:t>
      </w:r>
      <w:r w:rsidR="00B41B04" w:rsidRPr="00DD47DF">
        <w:t>.</w:t>
      </w:r>
      <w:r w:rsidR="00E2032C" w:rsidRPr="00DD47DF">
        <w:t xml:space="preserve"> V rámci OP PIK nebude podporována sanace ekologických zátěží, ale bude podporována demolice a likvidace stavebních materiálů, z nichž některé mohou spadat do vyšší rizikovosti</w:t>
      </w:r>
      <w:r w:rsidR="00270C7E" w:rsidRPr="00DD47DF">
        <w:t>.</w:t>
      </w:r>
    </w:p>
    <w:p w14:paraId="7F0E4E9C" w14:textId="77777777" w:rsidR="0062540E" w:rsidRPr="00DD47DF" w:rsidRDefault="0062540E" w:rsidP="004A282B">
      <w:pPr>
        <w:pStyle w:val="Standardntext"/>
      </w:pPr>
      <w:r w:rsidRPr="00DD47DF">
        <w:t xml:space="preserve">V případě PRV jde </w:t>
      </w:r>
      <w:r w:rsidR="00E2032C" w:rsidRPr="00DD47DF">
        <w:t>rovněž</w:t>
      </w:r>
      <w:r w:rsidRPr="00DD47DF">
        <w:t xml:space="preserve"> o komplementaritu</w:t>
      </w:r>
      <w:r w:rsidR="007A32C8" w:rsidRPr="00DD47DF">
        <w:t>,</w:t>
      </w:r>
      <w:r w:rsidRPr="00DD47DF">
        <w:t xml:space="preserve"> </w:t>
      </w:r>
      <w:r w:rsidR="007A32C8" w:rsidRPr="00DD47DF">
        <w:t xml:space="preserve">kdy výběr projektů </w:t>
      </w:r>
      <w:r w:rsidR="0023733C" w:rsidRPr="00DD47DF">
        <w:t xml:space="preserve">PRV </w:t>
      </w:r>
      <w:r w:rsidR="007A32C8" w:rsidRPr="00DD47DF">
        <w:t>bude v některých opatřeních posuzován také z hlediska možné revitalizace brownfield</w:t>
      </w:r>
      <w:r w:rsidR="00BF7E1C" w:rsidRPr="00DD47DF">
        <w:t>ů</w:t>
      </w:r>
      <w:r w:rsidRPr="00DD47DF">
        <w:t>.</w:t>
      </w:r>
    </w:p>
    <w:p w14:paraId="62EAA03E" w14:textId="77777777" w:rsidR="000B1709" w:rsidRPr="00DD47DF" w:rsidRDefault="000B1709" w:rsidP="00DA7257">
      <w:pPr>
        <w:pStyle w:val="Standardntext"/>
        <w:keepNext/>
        <w:keepLines/>
        <w:numPr>
          <w:ilvl w:val="0"/>
          <w:numId w:val="30"/>
        </w:numPr>
        <w:rPr>
          <w:b/>
        </w:rPr>
      </w:pPr>
      <w:r w:rsidRPr="00DD47DF">
        <w:rPr>
          <w:b/>
        </w:rPr>
        <w:lastRenderedPageBreak/>
        <w:t>Bioplynové stanice</w:t>
      </w:r>
    </w:p>
    <w:p w14:paraId="5E12682D" w14:textId="77777777" w:rsidR="00270C7E" w:rsidRPr="00DD47DF" w:rsidRDefault="000B1709" w:rsidP="00342AA5">
      <w:pPr>
        <w:pStyle w:val="Standardntext"/>
        <w:keepNext/>
        <w:keepLines/>
      </w:pPr>
      <w:r w:rsidRPr="00DD47DF">
        <w:t xml:space="preserve">V této oblasti vykazuje OP PIK </w:t>
      </w:r>
      <w:r w:rsidR="00E30E59" w:rsidRPr="00DD47DF">
        <w:t xml:space="preserve">komplementární </w:t>
      </w:r>
      <w:r w:rsidRPr="00DD47DF">
        <w:t>vazbu na</w:t>
      </w:r>
      <w:r w:rsidRPr="00DD47DF">
        <w:rPr>
          <w:b/>
        </w:rPr>
        <w:t xml:space="preserve"> OP ŽP</w:t>
      </w:r>
      <w:r w:rsidR="00EE4823" w:rsidRPr="00DD47DF">
        <w:rPr>
          <w:b/>
        </w:rPr>
        <w:t xml:space="preserve"> </w:t>
      </w:r>
      <w:r w:rsidR="00EE4823" w:rsidRPr="00DD47DF">
        <w:t xml:space="preserve">a </w:t>
      </w:r>
      <w:r w:rsidR="00EE4823" w:rsidRPr="00DD47DF">
        <w:rPr>
          <w:b/>
        </w:rPr>
        <w:t>PRV</w:t>
      </w:r>
      <w:r w:rsidR="00EE4823" w:rsidRPr="00DD47DF">
        <w:t xml:space="preserve">. </w:t>
      </w:r>
      <w:r w:rsidR="00E1414C" w:rsidRPr="00DD47DF">
        <w:t xml:space="preserve">V OP PIK nebude podporována výstavba nových bioplynových stanic; předmětem podpory bude pouze využití užitečného tepla ze stávajících bioplynových stanic. </w:t>
      </w:r>
      <w:r w:rsidR="00EE4823" w:rsidRPr="00DD47DF">
        <w:t>OP ŽP</w:t>
      </w:r>
      <w:r w:rsidR="0014564F" w:rsidRPr="00DD47DF">
        <w:t xml:space="preserve"> se</w:t>
      </w:r>
      <w:r w:rsidRPr="00DD47DF">
        <w:t xml:space="preserve"> </w:t>
      </w:r>
      <w:r w:rsidR="00E1414C" w:rsidRPr="00DD47DF">
        <w:t xml:space="preserve">na rozdíl od OP PIK </w:t>
      </w:r>
      <w:r w:rsidRPr="00DD47DF">
        <w:t xml:space="preserve">zaměřuje na výstavbu </w:t>
      </w:r>
      <w:r w:rsidR="00E30E59" w:rsidRPr="00DD47DF">
        <w:t xml:space="preserve">nových </w:t>
      </w:r>
      <w:r w:rsidRPr="00DD47DF">
        <w:t>bioplynových stanic v</w:t>
      </w:r>
      <w:r w:rsidR="00270C7E" w:rsidRPr="00DD47DF">
        <w:t xml:space="preserve"> souvislosti s využitím odpadu.</w:t>
      </w:r>
    </w:p>
    <w:p w14:paraId="033377A5" w14:textId="77777777" w:rsidR="000B1709" w:rsidRPr="00DD47DF" w:rsidRDefault="00270C7E" w:rsidP="000B1709">
      <w:pPr>
        <w:pStyle w:val="Standardntext"/>
        <w:rPr>
          <w:b/>
        </w:rPr>
      </w:pPr>
      <w:r w:rsidRPr="00DD47DF">
        <w:t>V</w:t>
      </w:r>
      <w:r w:rsidR="00E1414C" w:rsidRPr="00DD47DF">
        <w:t> PRV bude podporována výstavba koncových zemědělských staveb pro využití tepla (skleník, porodna, apod.)</w:t>
      </w:r>
      <w:r w:rsidR="0098703A" w:rsidRPr="00DD47DF">
        <w:t xml:space="preserve"> a výstavba zemědělských bioplynových stanic</w:t>
      </w:r>
      <w:r w:rsidR="00E1414C" w:rsidRPr="00DD47DF">
        <w:t>.</w:t>
      </w:r>
    </w:p>
    <w:p w14:paraId="68819AA1" w14:textId="77777777" w:rsidR="00C902DA" w:rsidRPr="00DD47DF" w:rsidRDefault="00C902DA" w:rsidP="00DA7257">
      <w:pPr>
        <w:pStyle w:val="Standardntext"/>
        <w:numPr>
          <w:ilvl w:val="0"/>
          <w:numId w:val="30"/>
        </w:numPr>
        <w:rPr>
          <w:b/>
        </w:rPr>
      </w:pPr>
      <w:r w:rsidRPr="00DD47DF">
        <w:rPr>
          <w:b/>
        </w:rPr>
        <w:t>Úspory energie</w:t>
      </w:r>
    </w:p>
    <w:p w14:paraId="4F15FA57" w14:textId="77777777" w:rsidR="00523FA3" w:rsidRPr="00DD47DF" w:rsidRDefault="00523FA3" w:rsidP="00F00824">
      <w:pPr>
        <w:pStyle w:val="Standardntext"/>
      </w:pPr>
      <w:r w:rsidRPr="00DD47DF">
        <w:t>Oblast energetických úspor je kromě OP PIK obsažena také v </w:t>
      </w:r>
      <w:r w:rsidRPr="00DD47DF">
        <w:rPr>
          <w:b/>
        </w:rPr>
        <w:t>OP ŽP</w:t>
      </w:r>
      <w:r w:rsidRPr="00DD47DF">
        <w:t xml:space="preserve">, </w:t>
      </w:r>
      <w:r w:rsidRPr="00DD47DF">
        <w:rPr>
          <w:b/>
        </w:rPr>
        <w:t>IROP</w:t>
      </w:r>
      <w:r w:rsidRPr="00DD47DF">
        <w:t xml:space="preserve">, </w:t>
      </w:r>
      <w:r w:rsidR="002D4D69" w:rsidRPr="00DD47DF">
        <w:rPr>
          <w:b/>
        </w:rPr>
        <w:t xml:space="preserve">OP PPR, </w:t>
      </w:r>
      <w:r w:rsidRPr="00DD47DF">
        <w:rPr>
          <w:b/>
        </w:rPr>
        <w:t>PRV</w:t>
      </w:r>
      <w:r w:rsidRPr="00DD47DF">
        <w:t xml:space="preserve"> a </w:t>
      </w:r>
      <w:r w:rsidRPr="00DD47DF">
        <w:rPr>
          <w:b/>
        </w:rPr>
        <w:t>OP R</w:t>
      </w:r>
      <w:r w:rsidRPr="00DD47DF">
        <w:t>. Komplementární vazbu lze sledovat spíše z úrovně tematického cíle v tom smyslu, že všechny jmenované operační programy přispějí ke zvýšení energetické efektivnosti ČR, ovšem každý operační program se orientuje na jinou oblast.</w:t>
      </w:r>
    </w:p>
    <w:p w14:paraId="1931C302" w14:textId="77777777" w:rsidR="00523FA3" w:rsidRPr="00DD47DF" w:rsidRDefault="00523FA3" w:rsidP="00DA7257">
      <w:pPr>
        <w:pStyle w:val="Standardntext"/>
        <w:numPr>
          <w:ilvl w:val="0"/>
          <w:numId w:val="30"/>
        </w:numPr>
        <w:rPr>
          <w:b/>
        </w:rPr>
      </w:pPr>
      <w:r w:rsidRPr="00DD47DF">
        <w:rPr>
          <w:b/>
        </w:rPr>
        <w:t>Druhotné suroviny</w:t>
      </w:r>
    </w:p>
    <w:p w14:paraId="2512F0AE" w14:textId="77777777" w:rsidR="00523FA3" w:rsidRPr="00DD47DF" w:rsidRDefault="00523FA3" w:rsidP="00523FA3">
      <w:pPr>
        <w:pStyle w:val="Standardntext"/>
      </w:pPr>
      <w:r w:rsidRPr="00DD47DF">
        <w:t xml:space="preserve">Problematika zavádění inovativních nízkouhlíkatých technologií v oblasti zpracování a využívání druhotných surovin je řešena pouze v OP PIK. Nicméně tato oblast je sledována z důvodu věcné blízkosti tématu odpadového hospodářství, které je v působnosti </w:t>
      </w:r>
      <w:r w:rsidRPr="00DD47DF">
        <w:rPr>
          <w:b/>
        </w:rPr>
        <w:t>OP ŽP</w:t>
      </w:r>
      <w:r w:rsidR="001F3B71" w:rsidRPr="00DD47DF">
        <w:t>.</w:t>
      </w:r>
    </w:p>
    <w:p w14:paraId="62A80B97" w14:textId="77777777" w:rsidR="00E71F34" w:rsidRPr="00DD47DF" w:rsidRDefault="00980F42" w:rsidP="00DA7257">
      <w:pPr>
        <w:pStyle w:val="Standardntext"/>
        <w:numPr>
          <w:ilvl w:val="0"/>
          <w:numId w:val="30"/>
        </w:numPr>
        <w:rPr>
          <w:b/>
        </w:rPr>
      </w:pPr>
      <w:r w:rsidRPr="00DD47DF">
        <w:rPr>
          <w:b/>
        </w:rPr>
        <w:t xml:space="preserve">Alternativní </w:t>
      </w:r>
      <w:r w:rsidR="006D1839" w:rsidRPr="00DD47DF">
        <w:rPr>
          <w:b/>
        </w:rPr>
        <w:t xml:space="preserve">zdroje </w:t>
      </w:r>
      <w:r w:rsidR="00EF6944" w:rsidRPr="00DD47DF">
        <w:rPr>
          <w:b/>
        </w:rPr>
        <w:t xml:space="preserve">paliv </w:t>
      </w:r>
      <w:r w:rsidR="006D1839" w:rsidRPr="00DD47DF">
        <w:rPr>
          <w:b/>
        </w:rPr>
        <w:t>v d</w:t>
      </w:r>
      <w:r w:rsidRPr="00DD47DF">
        <w:rPr>
          <w:b/>
        </w:rPr>
        <w:t>oprav</w:t>
      </w:r>
      <w:r w:rsidR="006D1839" w:rsidRPr="00DD47DF">
        <w:rPr>
          <w:b/>
        </w:rPr>
        <w:t>ě</w:t>
      </w:r>
    </w:p>
    <w:p w14:paraId="63D18B87" w14:textId="77777777" w:rsidR="00C73091" w:rsidRPr="00DD47DF" w:rsidRDefault="00C73091" w:rsidP="00E71F34">
      <w:pPr>
        <w:pStyle w:val="Standardntext"/>
      </w:pPr>
      <w:r w:rsidRPr="00DD47DF">
        <w:t xml:space="preserve">OP PIK se soustředí na zavádění inovativních nízkouhlíkových technologií v oblasti nízkouhlíkové dopravy v podnicích. Alternativní dopravou se dále zabývá také </w:t>
      </w:r>
      <w:r w:rsidR="00FF022E" w:rsidRPr="00DD47DF">
        <w:rPr>
          <w:b/>
        </w:rPr>
        <w:t>IROP</w:t>
      </w:r>
      <w:r w:rsidR="00226CB2" w:rsidRPr="00DD47DF">
        <w:t>,</w:t>
      </w:r>
      <w:r w:rsidRPr="00DD47DF">
        <w:t xml:space="preserve"> </w:t>
      </w:r>
      <w:r w:rsidRPr="00DD47DF">
        <w:rPr>
          <w:b/>
        </w:rPr>
        <w:t>OP D</w:t>
      </w:r>
      <w:r w:rsidR="00226CB2" w:rsidRPr="00DD47DF">
        <w:rPr>
          <w:b/>
        </w:rPr>
        <w:t xml:space="preserve"> </w:t>
      </w:r>
      <w:r w:rsidR="00226CB2" w:rsidRPr="00DD47DF">
        <w:t>a</w:t>
      </w:r>
      <w:r w:rsidR="00226CB2" w:rsidRPr="00DD47DF">
        <w:rPr>
          <w:b/>
        </w:rPr>
        <w:t xml:space="preserve"> OP PPR</w:t>
      </w:r>
      <w:r w:rsidRPr="00DD47DF">
        <w:t xml:space="preserve">. V případě podpory MSP je dělící hranicí skutečnost, že v rámci </w:t>
      </w:r>
      <w:r w:rsidR="00FF022E" w:rsidRPr="00DD47DF">
        <w:t>IROP</w:t>
      </w:r>
      <w:r w:rsidRPr="00DD47DF">
        <w:t xml:space="preserve"> budou, na rozdíl od OP PIK, podporovány subjekty, které zajišťují veřejnou službu. Cílovou skupinou OP D v rámci podpory rozvoje sítě napájecích stanic alternativních energií na silniční síti jsou příjemci podpory definování jako vlastníci/správci dotčené infrastruktury s veřejným přístupem.</w:t>
      </w:r>
    </w:p>
    <w:p w14:paraId="78E2948E" w14:textId="77777777" w:rsidR="008C0067" w:rsidRPr="00DD47DF" w:rsidRDefault="008C0067" w:rsidP="00E71F34">
      <w:pPr>
        <w:pStyle w:val="Standardntext"/>
      </w:pPr>
      <w:r w:rsidRPr="00DD47DF">
        <w:t>Aktivity OP PPR jsou sledovány z úrovně tematického cíle, kdy OP PIK i OP PPR přispívají k plnění TC 4, avšak intervence mají odlišný charakter (OP PPR se soustředí na aktivity ve vazbě na městskou hromadnou dopravu hl. m. Prahy).</w:t>
      </w:r>
    </w:p>
    <w:p w14:paraId="2769F59C" w14:textId="77777777" w:rsidR="00C902DA" w:rsidRPr="00DD47DF" w:rsidRDefault="00C902DA" w:rsidP="00DA7257">
      <w:pPr>
        <w:pStyle w:val="Standardntext"/>
        <w:keepNext/>
        <w:keepLines/>
        <w:numPr>
          <w:ilvl w:val="0"/>
          <w:numId w:val="30"/>
        </w:numPr>
        <w:rPr>
          <w:b/>
        </w:rPr>
      </w:pPr>
      <w:r w:rsidRPr="00DD47DF">
        <w:rPr>
          <w:b/>
        </w:rPr>
        <w:t>Soustavy zásobování teplem</w:t>
      </w:r>
    </w:p>
    <w:p w14:paraId="27003C69" w14:textId="77777777" w:rsidR="00C902DA" w:rsidRPr="00DD47DF" w:rsidRDefault="005B0FF9" w:rsidP="00DB63A3">
      <w:pPr>
        <w:pStyle w:val="Standardntext"/>
        <w:keepNext/>
        <w:keepLines/>
      </w:pPr>
      <w:r w:rsidRPr="00DD47DF">
        <w:t xml:space="preserve">Rekonstrukcí soustav zásobování teplem se vedle OP PIK zabývá rovněž </w:t>
      </w:r>
      <w:r w:rsidRPr="00DD47DF">
        <w:rPr>
          <w:b/>
        </w:rPr>
        <w:t>OP ŽP</w:t>
      </w:r>
      <w:r w:rsidRPr="00DD47DF">
        <w:t>. Oba operační programy se doplňují z hlediska příjemců podpory, kdy OP PIK je orientován na podnikatelské subj</w:t>
      </w:r>
      <w:r w:rsidR="001F3B71" w:rsidRPr="00DD47DF">
        <w:t>ekty a OP ŽP na veřejný sektor.</w:t>
      </w:r>
    </w:p>
    <w:p w14:paraId="4F1A60B6" w14:textId="77777777" w:rsidR="00C902DA" w:rsidRPr="00DD47DF" w:rsidRDefault="00C902DA" w:rsidP="00DA7257">
      <w:pPr>
        <w:pStyle w:val="Standardntext"/>
        <w:numPr>
          <w:ilvl w:val="0"/>
          <w:numId w:val="30"/>
        </w:numPr>
        <w:rPr>
          <w:b/>
        </w:rPr>
      </w:pPr>
      <w:r w:rsidRPr="00DD47DF">
        <w:rPr>
          <w:b/>
        </w:rPr>
        <w:t>Vysokorychlostní přístup k internetu</w:t>
      </w:r>
    </w:p>
    <w:p w14:paraId="41FCF46B" w14:textId="77777777" w:rsidR="00C902DA" w:rsidRPr="00DD47DF" w:rsidRDefault="005B0FF9" w:rsidP="00A83EAE">
      <w:pPr>
        <w:pStyle w:val="Standardntext"/>
      </w:pPr>
      <w:r w:rsidRPr="00DD47DF">
        <w:t xml:space="preserve">OP PIK se zaměřuje na zřizování </w:t>
      </w:r>
      <w:r w:rsidR="00BD3CD0" w:rsidRPr="00DD47DF">
        <w:t>či modernizaci</w:t>
      </w:r>
      <w:r w:rsidRPr="00DD47DF">
        <w:t xml:space="preserve"> sítí pro vysokorychlostní přístup k internetu. Naproti tomu </w:t>
      </w:r>
      <w:r w:rsidRPr="00DD47DF">
        <w:rPr>
          <w:b/>
        </w:rPr>
        <w:t>IROP</w:t>
      </w:r>
      <w:r w:rsidRPr="00DD47DF">
        <w:t xml:space="preserve"> se soustředí na </w:t>
      </w:r>
      <w:r w:rsidR="00385D89" w:rsidRPr="00DD47DF">
        <w:t>pořízení datových sítí veřejné správy za účelem předcházení a řešení případných krizových situací</w:t>
      </w:r>
      <w:r w:rsidR="001F3B71" w:rsidRPr="00DD47DF">
        <w:t>.</w:t>
      </w:r>
      <w:r w:rsidR="006A0400" w:rsidRPr="00DD47DF">
        <w:t xml:space="preserve"> Podpořená infrastruktura v rámci IROP bude oproti OP PIK ve vlastnictví státu a nebude využita pro komerční sféru.</w:t>
      </w:r>
    </w:p>
    <w:p w14:paraId="20397F98" w14:textId="77777777" w:rsidR="000B1CBB" w:rsidRPr="00DD47DF" w:rsidRDefault="000B1CBB" w:rsidP="00396141">
      <w:pPr>
        <w:pStyle w:val="Modrnadpis"/>
      </w:pPr>
      <w:r w:rsidRPr="00DD47DF">
        <w:t>Zajištění koordinace s ostatními nástroji EU</w:t>
      </w:r>
    </w:p>
    <w:p w14:paraId="58E0B213" w14:textId="77777777" w:rsidR="000B1709" w:rsidRPr="00DD47DF" w:rsidRDefault="000B1709" w:rsidP="000B1709">
      <w:pPr>
        <w:pStyle w:val="Standardntext"/>
      </w:pPr>
      <w:r w:rsidRPr="00DD47DF">
        <w:t xml:space="preserve">Bližší specifikace </w:t>
      </w:r>
      <w:r w:rsidR="008C0067" w:rsidRPr="00DD47DF">
        <w:t xml:space="preserve">níže </w:t>
      </w:r>
      <w:r w:rsidRPr="00DD47DF">
        <w:t xml:space="preserve">identifikovaných komplementárních vazeb je součástí </w:t>
      </w:r>
      <w:r w:rsidR="00D3716C" w:rsidRPr="00DD47DF">
        <w:t>Nepovinné p</w:t>
      </w:r>
      <w:r w:rsidRPr="00DD47DF">
        <w:t>řílohy č.</w:t>
      </w:r>
      <w:r w:rsidR="00D3716C" w:rsidRPr="00DD47DF">
        <w:t xml:space="preserve"> </w:t>
      </w:r>
      <w:r w:rsidR="00F734D1" w:rsidRPr="00DD47DF">
        <w:t>4</w:t>
      </w:r>
      <w:r w:rsidRPr="00DD47DF">
        <w:t>.</w:t>
      </w:r>
    </w:p>
    <w:p w14:paraId="3F1C6429" w14:textId="77777777" w:rsidR="00C902DA" w:rsidRPr="00DD47DF" w:rsidRDefault="00C902DA" w:rsidP="00DA7257">
      <w:pPr>
        <w:pStyle w:val="Standardntext"/>
        <w:keepNext/>
        <w:keepLines/>
        <w:numPr>
          <w:ilvl w:val="0"/>
          <w:numId w:val="32"/>
        </w:numPr>
        <w:rPr>
          <w:b/>
        </w:rPr>
      </w:pPr>
      <w:r w:rsidRPr="00DD47DF">
        <w:rPr>
          <w:b/>
        </w:rPr>
        <w:lastRenderedPageBreak/>
        <w:t>Výzkum, vývoj a inovace</w:t>
      </w:r>
    </w:p>
    <w:p w14:paraId="3F3B49E4" w14:textId="77777777" w:rsidR="00FC7FA8" w:rsidRPr="00DD47DF" w:rsidRDefault="00EB4AA0" w:rsidP="00284818">
      <w:pPr>
        <w:pStyle w:val="Standardntext"/>
        <w:keepNext/>
        <w:keepLines/>
      </w:pPr>
      <w:r w:rsidRPr="00DD47DF">
        <w:t xml:space="preserve">OP PIK má v oblasti VaVaI vazbu na dva komunitární programy, kterými jsou </w:t>
      </w:r>
      <w:r w:rsidR="0087102E" w:rsidRPr="00DD47DF">
        <w:rPr>
          <w:b/>
        </w:rPr>
        <w:t>Horizont 2020</w:t>
      </w:r>
      <w:r w:rsidRPr="00DD47DF">
        <w:t xml:space="preserve"> a </w:t>
      </w:r>
      <w:r w:rsidRPr="00DD47DF">
        <w:rPr>
          <w:b/>
        </w:rPr>
        <w:t>COSME</w:t>
      </w:r>
      <w:r w:rsidRPr="00DD47DF">
        <w:t>. V případě obou programů se jedná o komplementární vazby na většinu aktivit obou specifický</w:t>
      </w:r>
      <w:r w:rsidR="00270C7E" w:rsidRPr="00DD47DF">
        <w:t>ch cílů prioritní osy 1 OP PIK.</w:t>
      </w:r>
    </w:p>
    <w:p w14:paraId="608E973A" w14:textId="3B361968" w:rsidR="00254765" w:rsidRPr="00DD47DF" w:rsidRDefault="00834D1C" w:rsidP="00C902DA">
      <w:pPr>
        <w:pStyle w:val="Standardntext"/>
      </w:pPr>
      <w:r w:rsidRPr="00834D1C">
        <w:t>Způsob implementace těchto a dalších komunitárních nástrojů je blíže specifikován v Nepovinné příloze č. 4.</w:t>
      </w:r>
    </w:p>
    <w:p w14:paraId="594C7F62" w14:textId="77777777" w:rsidR="00C902DA" w:rsidRPr="00DD47DF" w:rsidRDefault="00C902DA" w:rsidP="00DA7257">
      <w:pPr>
        <w:pStyle w:val="Standardntext"/>
        <w:numPr>
          <w:ilvl w:val="0"/>
          <w:numId w:val="32"/>
        </w:numPr>
        <w:rPr>
          <w:b/>
        </w:rPr>
      </w:pPr>
      <w:r w:rsidRPr="00DD47DF">
        <w:rPr>
          <w:b/>
        </w:rPr>
        <w:t>Zvýšení konkurenceschopnosti MSP</w:t>
      </w:r>
    </w:p>
    <w:p w14:paraId="66BFC158" w14:textId="77777777" w:rsidR="00C902DA" w:rsidRPr="00DD47DF" w:rsidRDefault="00270C7E" w:rsidP="00C902DA">
      <w:pPr>
        <w:pStyle w:val="Standardntext"/>
      </w:pPr>
      <w:r w:rsidRPr="00DD47DF">
        <w:t>Zde lze</w:t>
      </w:r>
      <w:r w:rsidR="00F82437" w:rsidRPr="00DD47DF">
        <w:t xml:space="preserve"> opět </w:t>
      </w:r>
      <w:r w:rsidRPr="00DD47DF">
        <w:t xml:space="preserve">identifikovat </w:t>
      </w:r>
      <w:r w:rsidR="00F82437" w:rsidRPr="00DD47DF">
        <w:t>vazbu</w:t>
      </w:r>
      <w:r w:rsidRPr="00DD47DF">
        <w:t xml:space="preserve"> OP PIK</w:t>
      </w:r>
      <w:r w:rsidR="00F82437" w:rsidRPr="00DD47DF">
        <w:t xml:space="preserve"> vůči programům </w:t>
      </w:r>
      <w:r w:rsidR="0087102E" w:rsidRPr="00DD47DF">
        <w:rPr>
          <w:b/>
        </w:rPr>
        <w:t>Horizont 2020</w:t>
      </w:r>
      <w:r w:rsidR="00F82437" w:rsidRPr="00DD47DF">
        <w:t xml:space="preserve"> a </w:t>
      </w:r>
      <w:r w:rsidR="00F82437" w:rsidRPr="00DD47DF">
        <w:rPr>
          <w:b/>
        </w:rPr>
        <w:t>COSME</w:t>
      </w:r>
      <w:r w:rsidRPr="00DD47DF">
        <w:t>., přičemž v</w:t>
      </w:r>
      <w:r w:rsidR="00F82437" w:rsidRPr="00DD47DF">
        <w:t xml:space="preserve">zájemné vazby </w:t>
      </w:r>
      <w:r w:rsidRPr="00DD47DF">
        <w:t xml:space="preserve">je možné </w:t>
      </w:r>
      <w:r w:rsidR="00F82437" w:rsidRPr="00DD47DF">
        <w:t xml:space="preserve">vysledovat především </w:t>
      </w:r>
      <w:r w:rsidR="00FB6649" w:rsidRPr="00DD47DF">
        <w:t xml:space="preserve">v otázce internacionalizace MSP a </w:t>
      </w:r>
      <w:r w:rsidR="00F82437" w:rsidRPr="00DD47DF">
        <w:t>v</w:t>
      </w:r>
      <w:r w:rsidR="00FB6649" w:rsidRPr="00DD47DF">
        <w:t>e</w:t>
      </w:r>
      <w:r w:rsidR="00F82437" w:rsidRPr="00DD47DF">
        <w:t xml:space="preserve"> </w:t>
      </w:r>
      <w:r w:rsidR="00FB6649" w:rsidRPr="00DD47DF">
        <w:t>zlepšení přístupu MSP k financování, včetně rizikového kapitálu.</w:t>
      </w:r>
    </w:p>
    <w:p w14:paraId="656938A4" w14:textId="77777777" w:rsidR="0098539A" w:rsidRPr="00DD47DF" w:rsidRDefault="00FB6649" w:rsidP="00C902DA">
      <w:pPr>
        <w:pStyle w:val="Standardntext"/>
      </w:pPr>
      <w:r w:rsidRPr="00DD47DF">
        <w:t xml:space="preserve">S tím úzce souvisí i problematika přístupu mikropodniků k financování, což je téma společné pro prioritní osu 2 OP PIK a </w:t>
      </w:r>
      <w:r w:rsidR="00253374" w:rsidRPr="00DD47DF">
        <w:rPr>
          <w:b/>
        </w:rPr>
        <w:t>EaSI</w:t>
      </w:r>
      <w:r w:rsidRPr="00DD47DF">
        <w:t>, konkrétně osa „Mikrofinancování a sociální podnikání“.</w:t>
      </w:r>
    </w:p>
    <w:p w14:paraId="10AEC618" w14:textId="77777777" w:rsidR="00FB6649" w:rsidRPr="00DD47DF" w:rsidRDefault="0098539A" w:rsidP="00C902DA">
      <w:pPr>
        <w:pStyle w:val="Standardntext"/>
      </w:pPr>
      <w:r w:rsidRPr="00DD47DF">
        <w:t xml:space="preserve">V případě programu </w:t>
      </w:r>
      <w:r w:rsidR="00A45FC1" w:rsidRPr="00DD47DF">
        <w:rPr>
          <w:b/>
        </w:rPr>
        <w:t>Kreativní</w:t>
      </w:r>
      <w:r w:rsidRPr="00DD47DF">
        <w:rPr>
          <w:b/>
        </w:rPr>
        <w:t xml:space="preserve"> Evropa</w:t>
      </w:r>
      <w:r w:rsidRPr="00DD47DF">
        <w:t xml:space="preserve"> je komplementární vazba spatřována u aktivit </w:t>
      </w:r>
      <w:r w:rsidR="00146DC1" w:rsidRPr="00DD47DF">
        <w:t xml:space="preserve">směřujících k </w:t>
      </w:r>
      <w:r w:rsidRPr="00DD47DF">
        <w:t xml:space="preserve">posílení finančních možností MSP, kdy příjemci podpory v OP PIK mohou být </w:t>
      </w:r>
      <w:r w:rsidR="00146DC1" w:rsidRPr="00DD47DF">
        <w:t>rovněž</w:t>
      </w:r>
      <w:r w:rsidRPr="00DD47DF">
        <w:t xml:space="preserve"> žadatelé </w:t>
      </w:r>
      <w:r w:rsidR="00146DC1" w:rsidRPr="00DD47DF">
        <w:t xml:space="preserve">z </w:t>
      </w:r>
      <w:r w:rsidRPr="00DD47DF">
        <w:t>kulturních a kreativních odvětví.</w:t>
      </w:r>
    </w:p>
    <w:p w14:paraId="1BF24A62" w14:textId="77777777" w:rsidR="00C902DA" w:rsidRPr="00DD47DF" w:rsidRDefault="00FB6649" w:rsidP="00DA7257">
      <w:pPr>
        <w:pStyle w:val="Standardntext"/>
        <w:numPr>
          <w:ilvl w:val="0"/>
          <w:numId w:val="32"/>
        </w:numPr>
        <w:rPr>
          <w:b/>
        </w:rPr>
      </w:pPr>
      <w:r w:rsidRPr="00DD47DF">
        <w:rPr>
          <w:b/>
        </w:rPr>
        <w:t>Energetika</w:t>
      </w:r>
    </w:p>
    <w:p w14:paraId="391C45E7" w14:textId="77777777" w:rsidR="005A6B88" w:rsidRPr="00DD47DF" w:rsidRDefault="00FB6649" w:rsidP="005D178C">
      <w:pPr>
        <w:pStyle w:val="Standardntext"/>
      </w:pPr>
      <w:r w:rsidRPr="00DD47DF">
        <w:t xml:space="preserve">V oblasti energetiky </w:t>
      </w:r>
      <w:r w:rsidR="005A6B88" w:rsidRPr="00DD47DF">
        <w:t xml:space="preserve">vykazuje OP PIK vazby na </w:t>
      </w:r>
      <w:r w:rsidR="0087102E" w:rsidRPr="00DD47DF">
        <w:rPr>
          <w:b/>
        </w:rPr>
        <w:t>Horizont 2020</w:t>
      </w:r>
      <w:r w:rsidR="00A73155" w:rsidRPr="00DD47DF">
        <w:t xml:space="preserve">, kde </w:t>
      </w:r>
      <w:r w:rsidR="005A6B88" w:rsidRPr="00DD47DF">
        <w:t xml:space="preserve">jde zejména o snižování spotřeby energie, </w:t>
      </w:r>
      <w:r w:rsidR="008D375D" w:rsidRPr="00DD47DF">
        <w:t>OZE</w:t>
      </w:r>
      <w:r w:rsidR="005A6B88" w:rsidRPr="00DD47DF">
        <w:t xml:space="preserve">, energetickou infrastrukturu, </w:t>
      </w:r>
      <w:r w:rsidR="005A6B88" w:rsidRPr="00DD47DF">
        <w:rPr>
          <w:bCs/>
        </w:rPr>
        <w:t>zavádění inovativních nízkouhlíkových technologií, včetně nízkouhlíkové dopravy či oblasti druhotných surovin</w:t>
      </w:r>
      <w:r w:rsidR="00DF6069" w:rsidRPr="00DD47DF">
        <w:t>.</w:t>
      </w:r>
    </w:p>
    <w:p w14:paraId="0CB28085" w14:textId="77777777" w:rsidR="000023FB" w:rsidRPr="00DD47DF" w:rsidRDefault="00F00824" w:rsidP="00EE06C7">
      <w:pPr>
        <w:pStyle w:val="Standardntext"/>
      </w:pPr>
      <w:r w:rsidRPr="00DD47DF">
        <w:t>Z</w:t>
      </w:r>
      <w:r w:rsidR="000961BF" w:rsidRPr="00DD47DF">
        <w:t> nástroje CEF</w:t>
      </w:r>
      <w:r w:rsidRPr="00DD47DF">
        <w:t xml:space="preserve"> lze financovat jen projekty</w:t>
      </w:r>
      <w:r w:rsidR="000961BF" w:rsidRPr="00DD47DF">
        <w:t>, které byly zařazeny na seznam Projektů společného zájmu (PCI)</w:t>
      </w:r>
      <w:r w:rsidRPr="00DD47DF">
        <w:t xml:space="preserve">. </w:t>
      </w:r>
      <w:r w:rsidR="000023FB" w:rsidRPr="00DD47DF">
        <w:t xml:space="preserve">Nicméně jen </w:t>
      </w:r>
      <w:r w:rsidR="001D7E3C" w:rsidRPr="00DD47DF">
        <w:t>velmi omezené množství projektů</w:t>
      </w:r>
      <w:r w:rsidR="000023FB" w:rsidRPr="00DD47DF">
        <w:t xml:space="preserve"> PCI bude podpořeno z CEF, takže v případě, že projekt nebude mít zajištěno financování z CEF, bude prioritně financován z OP PIK.</w:t>
      </w:r>
    </w:p>
    <w:p w14:paraId="36F91A60" w14:textId="77777777" w:rsidR="000B1709" w:rsidRPr="00DD47DF" w:rsidRDefault="00356BE6" w:rsidP="00DA7257">
      <w:pPr>
        <w:pStyle w:val="Standardntext"/>
        <w:numPr>
          <w:ilvl w:val="0"/>
          <w:numId w:val="32"/>
        </w:numPr>
        <w:rPr>
          <w:b/>
        </w:rPr>
      </w:pPr>
      <w:r w:rsidRPr="00DD47DF">
        <w:rPr>
          <w:b/>
        </w:rPr>
        <w:t>ICT</w:t>
      </w:r>
    </w:p>
    <w:p w14:paraId="0D75A739" w14:textId="77777777" w:rsidR="000B1709" w:rsidRPr="00DD47DF" w:rsidRDefault="00356BE6" w:rsidP="000B1709">
      <w:pPr>
        <w:pStyle w:val="Standardntext"/>
      </w:pPr>
      <w:r w:rsidRPr="00DD47DF">
        <w:t xml:space="preserve">Také v případě ICT má OP PIK vazbu na </w:t>
      </w:r>
      <w:r w:rsidR="0087102E" w:rsidRPr="00DD47DF">
        <w:rPr>
          <w:b/>
        </w:rPr>
        <w:t>Horizont 2020</w:t>
      </w:r>
      <w:r w:rsidR="00A73155" w:rsidRPr="00DD47DF">
        <w:t>, kde</w:t>
      </w:r>
      <w:r w:rsidRPr="00DD47DF">
        <w:t xml:space="preserve"> lze spatřovat </w:t>
      </w:r>
      <w:r w:rsidR="00A73155" w:rsidRPr="00DD47DF">
        <w:t xml:space="preserve">vazby </w:t>
      </w:r>
      <w:r w:rsidRPr="00DD47DF">
        <w:t>především v oblasti internetové infrastruktury a vývoji pokročilých a inteligencích systémů.</w:t>
      </w:r>
    </w:p>
    <w:p w14:paraId="759D0115" w14:textId="77777777" w:rsidR="001C66E1" w:rsidRPr="00DD47DF" w:rsidRDefault="003128E1" w:rsidP="00396141">
      <w:pPr>
        <w:pStyle w:val="Modrnadpis"/>
      </w:pPr>
      <w:r w:rsidRPr="00DD47DF">
        <w:t>Zajištění koordinace s relevantními národními nástroji podpory</w:t>
      </w:r>
    </w:p>
    <w:p w14:paraId="233F787E" w14:textId="77777777" w:rsidR="000B1709" w:rsidRPr="00DD47DF" w:rsidRDefault="000B1709" w:rsidP="000B1709">
      <w:pPr>
        <w:pStyle w:val="Standardntext"/>
      </w:pPr>
      <w:r w:rsidRPr="00DD47DF">
        <w:t xml:space="preserve">Bližší specifikace </w:t>
      </w:r>
      <w:r w:rsidR="008C0067" w:rsidRPr="00DD47DF">
        <w:t xml:space="preserve">níže </w:t>
      </w:r>
      <w:r w:rsidRPr="00DD47DF">
        <w:t xml:space="preserve">identifikovaných komplementárních vazeb je součástí </w:t>
      </w:r>
      <w:r w:rsidR="00D3716C" w:rsidRPr="00DD47DF">
        <w:rPr>
          <w:b/>
        </w:rPr>
        <w:t xml:space="preserve">Nepovinné přílohy č. </w:t>
      </w:r>
      <w:r w:rsidR="00F734D1" w:rsidRPr="00DD47DF">
        <w:rPr>
          <w:b/>
        </w:rPr>
        <w:t>4</w:t>
      </w:r>
      <w:r w:rsidRPr="00DD47DF">
        <w:t>.</w:t>
      </w:r>
    </w:p>
    <w:p w14:paraId="54FE48F9" w14:textId="77777777" w:rsidR="00C902DA" w:rsidRPr="00DD47DF" w:rsidRDefault="00C902DA" w:rsidP="00DA7257">
      <w:pPr>
        <w:pStyle w:val="Standardntext"/>
        <w:numPr>
          <w:ilvl w:val="0"/>
          <w:numId w:val="31"/>
        </w:numPr>
        <w:rPr>
          <w:b/>
        </w:rPr>
      </w:pPr>
      <w:r w:rsidRPr="00DD47DF">
        <w:rPr>
          <w:b/>
        </w:rPr>
        <w:t>Aplikovaný výzkum a vývoj</w:t>
      </w:r>
    </w:p>
    <w:p w14:paraId="3A425212" w14:textId="7C25D1A7" w:rsidR="00920D09" w:rsidRPr="00DD47DF" w:rsidRDefault="00920D09" w:rsidP="00284818">
      <w:pPr>
        <w:pStyle w:val="Standardntext"/>
      </w:pPr>
      <w:r w:rsidRPr="00DD47DF">
        <w:t xml:space="preserve">Zatímco OP PIK je v této oblasti více zaměřen na průmyslové výzvy a </w:t>
      </w:r>
      <w:r w:rsidR="00BC3665" w:rsidRPr="00DD47DF">
        <w:t>KETs</w:t>
      </w:r>
      <w:r w:rsidRPr="00DD47DF">
        <w:t xml:space="preserve">, </w:t>
      </w:r>
      <w:r w:rsidR="00CD130E" w:rsidRPr="00DD47DF">
        <w:t xml:space="preserve">program </w:t>
      </w:r>
      <w:r w:rsidR="00CD130E" w:rsidRPr="00DD47DF">
        <w:rPr>
          <w:b/>
        </w:rPr>
        <w:t>Epsilon TA ČR</w:t>
      </w:r>
      <w:r w:rsidR="00CD130E" w:rsidRPr="00DD47DF">
        <w:t xml:space="preserve"> je založen na plnění cílů Národních priorit orientovaného výzkumu, experimentálního vývoje a inovací, nikoliv oborově, a je nastaven flexibilně, aby nenarušil implementaci příslušných operačních programů v období 2014 – 2020.</w:t>
      </w:r>
      <w:r w:rsidRPr="00DD47DF">
        <w:t xml:space="preserve"> </w:t>
      </w:r>
      <w:r w:rsidR="00060CF3" w:rsidRPr="00DD47DF">
        <w:t xml:space="preserve">Program </w:t>
      </w:r>
      <w:r w:rsidR="00060CF3" w:rsidRPr="00DD47DF">
        <w:rPr>
          <w:b/>
        </w:rPr>
        <w:t xml:space="preserve">Delta TA ČR </w:t>
      </w:r>
      <w:r w:rsidR="00060CF3" w:rsidRPr="00DD47DF">
        <w:t>se orientuje na podporu mezinárodní spolupráce v aplikovaném výzkumu a experimentálním vývoji se subjekty mimo ČR na základě bilaterálních memorand s obdobnými organizacemi jako je TA ČR.</w:t>
      </w:r>
    </w:p>
    <w:p w14:paraId="1D535FAC" w14:textId="77777777" w:rsidR="00C902DA" w:rsidRPr="00DD47DF" w:rsidRDefault="00C902DA" w:rsidP="00DA7257">
      <w:pPr>
        <w:pStyle w:val="Standardntext"/>
        <w:keepNext/>
        <w:keepLines/>
        <w:numPr>
          <w:ilvl w:val="0"/>
          <w:numId w:val="31"/>
        </w:numPr>
        <w:rPr>
          <w:b/>
        </w:rPr>
      </w:pPr>
      <w:r w:rsidRPr="00DD47DF">
        <w:rPr>
          <w:b/>
        </w:rPr>
        <w:lastRenderedPageBreak/>
        <w:t>Proof – of – concept</w:t>
      </w:r>
    </w:p>
    <w:p w14:paraId="228A08E0" w14:textId="77777777" w:rsidR="00EF7E53" w:rsidRPr="00DD47DF" w:rsidRDefault="00920D09" w:rsidP="00284818">
      <w:pPr>
        <w:pStyle w:val="Standardntext"/>
        <w:keepNext/>
        <w:keepLines/>
      </w:pPr>
      <w:r w:rsidRPr="00DD47DF">
        <w:t>OP PIK se zaměřuje výhradně na</w:t>
      </w:r>
      <w:r w:rsidR="00270C7E" w:rsidRPr="00DD47DF">
        <w:t xml:space="preserve"> </w:t>
      </w:r>
      <w:r w:rsidR="0088604E" w:rsidRPr="00DD47DF">
        <w:t>ověření komerčního potenciálu a dotažení výrobku/služby do finálního stádia a jeho uvedení na trh</w:t>
      </w:r>
      <w:r w:rsidRPr="00DD47DF">
        <w:t xml:space="preserve">. Zatímco program </w:t>
      </w:r>
      <w:r w:rsidRPr="00DD47DF">
        <w:rPr>
          <w:b/>
        </w:rPr>
        <w:t>Gama</w:t>
      </w:r>
      <w:r w:rsidR="00BC3665" w:rsidRPr="00DD47DF">
        <w:rPr>
          <w:b/>
        </w:rPr>
        <w:t xml:space="preserve"> TA </w:t>
      </w:r>
      <w:r w:rsidRPr="00DD47DF">
        <w:rPr>
          <w:b/>
        </w:rPr>
        <w:t>ČR</w:t>
      </w:r>
      <w:r w:rsidRPr="00DD47DF">
        <w:t xml:space="preserve"> se zaměřuje na nastavení systému </w:t>
      </w:r>
      <w:r w:rsidR="0088604E" w:rsidRPr="00DD47DF">
        <w:t>proof of concept ve výzkumných organizacích a na další vývoj a uvedení na trh výsledků, které jsou výstupem jiných projektů a vyžadují ještě doplňující aktivity pro uvedení výrobku/služby na trh</w:t>
      </w:r>
      <w:r w:rsidR="00590B07" w:rsidRPr="00DD47DF">
        <w:t>.</w:t>
      </w:r>
      <w:r w:rsidR="00D17DBE" w:rsidRPr="00DD47DF">
        <w:t xml:space="preserve"> </w:t>
      </w:r>
    </w:p>
    <w:p w14:paraId="2483467A" w14:textId="77777777" w:rsidR="00C902DA" w:rsidRPr="00DD47DF" w:rsidRDefault="00C902DA" w:rsidP="00DA7257">
      <w:pPr>
        <w:pStyle w:val="Standardntext"/>
        <w:numPr>
          <w:ilvl w:val="0"/>
          <w:numId w:val="31"/>
        </w:numPr>
        <w:rPr>
          <w:b/>
        </w:rPr>
      </w:pPr>
      <w:r w:rsidRPr="00DD47DF">
        <w:rPr>
          <w:b/>
        </w:rPr>
        <w:t>Zvýšení konkurenceschopnosti MSP</w:t>
      </w:r>
    </w:p>
    <w:p w14:paraId="5B338CA3" w14:textId="77777777" w:rsidR="00C902DA" w:rsidRPr="00DD47DF" w:rsidRDefault="00923777" w:rsidP="00C902DA">
      <w:pPr>
        <w:pStyle w:val="Standardntext"/>
      </w:pPr>
      <w:r w:rsidRPr="00DD47DF">
        <w:t>Mezi národní programy v</w:t>
      </w:r>
      <w:r w:rsidR="005516F9" w:rsidRPr="00DD47DF">
        <w:t> </w:t>
      </w:r>
      <w:r w:rsidRPr="00DD47DF">
        <w:t>této</w:t>
      </w:r>
      <w:r w:rsidR="000239E7" w:rsidRPr="00DD47DF">
        <w:t xml:space="preserve"> oblasti patří program záruk pro </w:t>
      </w:r>
      <w:r w:rsidR="004D3EA2" w:rsidRPr="00DD47DF">
        <w:t>MSP</w:t>
      </w:r>
      <w:r w:rsidR="000239E7" w:rsidRPr="00DD47DF">
        <w:t xml:space="preserve"> </w:t>
      </w:r>
      <w:r w:rsidR="000239E7" w:rsidRPr="00DD47DF">
        <w:rPr>
          <w:b/>
        </w:rPr>
        <w:t>ZÁRUKA</w:t>
      </w:r>
      <w:r w:rsidR="005516F9" w:rsidRPr="00DD47DF">
        <w:t xml:space="preserve">, </w:t>
      </w:r>
      <w:r w:rsidR="000239E7" w:rsidRPr="00DD47DF">
        <w:t xml:space="preserve">program záruk za úvěry začínajícím podnikatelům v Olomouckém a Moravskoslezském kraji </w:t>
      </w:r>
      <w:r w:rsidR="000239E7" w:rsidRPr="00DD47DF">
        <w:rPr>
          <w:b/>
        </w:rPr>
        <w:t>INOSTART</w:t>
      </w:r>
      <w:r w:rsidR="005516F9" w:rsidRPr="00DD47DF">
        <w:t xml:space="preserve"> a </w:t>
      </w:r>
      <w:r w:rsidR="000239E7" w:rsidRPr="00DD47DF">
        <w:t xml:space="preserve">program </w:t>
      </w:r>
      <w:r w:rsidR="000239E7" w:rsidRPr="00DD47DF">
        <w:rPr>
          <w:b/>
        </w:rPr>
        <w:t>REVIT</w:t>
      </w:r>
      <w:r w:rsidR="000239E7" w:rsidRPr="00DD47DF">
        <w:t xml:space="preserve"> na léta 2014 - 2020</w:t>
      </w:r>
      <w:r w:rsidR="005516F9" w:rsidRPr="00DD47DF">
        <w:t xml:space="preserve">. </w:t>
      </w:r>
      <w:r w:rsidR="0053261C" w:rsidRPr="00DD47DF">
        <w:t>Jedná se o doplňkové programy k OP PIK; u</w:t>
      </w:r>
      <w:r w:rsidRPr="00DD47DF">
        <w:t xml:space="preserve"> všech </w:t>
      </w:r>
      <w:r w:rsidR="0053261C" w:rsidRPr="00DD47DF">
        <w:t>těchto</w:t>
      </w:r>
      <w:r w:rsidRPr="00DD47DF">
        <w:t xml:space="preserve"> programů se předpokládají komplementarity</w:t>
      </w:r>
      <w:r w:rsidR="00BC3665" w:rsidRPr="00DD47DF">
        <w:t xml:space="preserve"> v oblasti finančních nástrojů</w:t>
      </w:r>
      <w:r w:rsidRPr="00DD47DF">
        <w:t>.</w:t>
      </w:r>
    </w:p>
    <w:p w14:paraId="63A72CA5" w14:textId="77777777" w:rsidR="00C730AF" w:rsidRPr="00DD47DF" w:rsidRDefault="00C730AF" w:rsidP="00DA7257">
      <w:pPr>
        <w:pStyle w:val="Standardntext"/>
        <w:numPr>
          <w:ilvl w:val="0"/>
          <w:numId w:val="31"/>
        </w:numPr>
        <w:rPr>
          <w:b/>
        </w:rPr>
      </w:pPr>
      <w:r w:rsidRPr="00DD47DF">
        <w:rPr>
          <w:b/>
        </w:rPr>
        <w:t>Podnikatelské nemovitosti</w:t>
      </w:r>
    </w:p>
    <w:p w14:paraId="1F689135" w14:textId="77777777" w:rsidR="00060CF3" w:rsidRPr="00DD47DF" w:rsidRDefault="00390A8C" w:rsidP="00060CF3">
      <w:pPr>
        <w:pStyle w:val="Standardntext"/>
      </w:pPr>
      <w:r w:rsidRPr="00DD47DF">
        <w:t xml:space="preserve">MPO je správcem národního </w:t>
      </w:r>
      <w:r w:rsidRPr="00DD47DF">
        <w:rPr>
          <w:b/>
        </w:rPr>
        <w:t>Programu na podporu podnikatelských nemovitostí a infrastruktury</w:t>
      </w:r>
      <w:r w:rsidR="00732320" w:rsidRPr="00DD47DF">
        <w:t>, který</w:t>
      </w:r>
      <w:r w:rsidRPr="00DD47DF">
        <w:t xml:space="preserve"> je doplňkový vůči OP PIK. Odlišná je cílová skupina potenciálních příjemců, kdy se OP PIK orientuje na podnikatelské subjekty a národní program pouze na obce a kraje.</w:t>
      </w:r>
    </w:p>
    <w:p w14:paraId="09975AE0" w14:textId="77777777" w:rsidR="00C902DA" w:rsidRPr="00DD47DF" w:rsidRDefault="00C902DA" w:rsidP="00DA7257">
      <w:pPr>
        <w:pStyle w:val="Standardntext"/>
        <w:numPr>
          <w:ilvl w:val="0"/>
          <w:numId w:val="31"/>
        </w:numPr>
        <w:rPr>
          <w:b/>
        </w:rPr>
      </w:pPr>
      <w:r w:rsidRPr="00DD47DF">
        <w:rPr>
          <w:b/>
        </w:rPr>
        <w:t>Úspory energie</w:t>
      </w:r>
    </w:p>
    <w:p w14:paraId="0E85F4D5" w14:textId="77777777" w:rsidR="00C902DA" w:rsidRPr="00DD47DF" w:rsidRDefault="003D7BAA" w:rsidP="00C902DA">
      <w:pPr>
        <w:pStyle w:val="Standardntext"/>
      </w:pPr>
      <w:r w:rsidRPr="00DD47DF">
        <w:t>Národním programem v oblasti úspor energie je program Efekt</w:t>
      </w:r>
      <w:r w:rsidR="0015513D" w:rsidRPr="00DD47DF">
        <w:t>, který každoročně</w:t>
      </w:r>
      <w:r w:rsidRPr="00DD47DF">
        <w:t xml:space="preserve"> </w:t>
      </w:r>
      <w:r w:rsidR="0015513D" w:rsidRPr="00DD47DF">
        <w:t>vyhlašuje MPO</w:t>
      </w:r>
      <w:r w:rsidRPr="00DD47DF">
        <w:t>. Program je zaměřen především na osvětovou a informační činnost a investiční akce menšího rozsahu. Je doplňkovým programem k energetickým programům podporovaným z ESIF</w:t>
      </w:r>
      <w:r w:rsidR="00732320" w:rsidRPr="00DD47DF">
        <w:t>.</w:t>
      </w:r>
    </w:p>
    <w:p w14:paraId="440E3E5C" w14:textId="77777777" w:rsidR="00C902DA" w:rsidRPr="00DD47DF" w:rsidRDefault="00C902DA" w:rsidP="00DA7257">
      <w:pPr>
        <w:pStyle w:val="Standardntext"/>
        <w:numPr>
          <w:ilvl w:val="0"/>
          <w:numId w:val="31"/>
        </w:numPr>
        <w:rPr>
          <w:b/>
        </w:rPr>
      </w:pPr>
      <w:r w:rsidRPr="00DD47DF">
        <w:rPr>
          <w:b/>
        </w:rPr>
        <w:t>Vysokorychlostní přístup k internetu</w:t>
      </w:r>
    </w:p>
    <w:p w14:paraId="717B24FD" w14:textId="77777777" w:rsidR="000B1709" w:rsidRPr="00DD47DF" w:rsidRDefault="00B000CD" w:rsidP="00A83EAE">
      <w:pPr>
        <w:pStyle w:val="Standardntext"/>
      </w:pPr>
      <w:r w:rsidRPr="00DD47DF">
        <w:t>ČR v současné době připravuje návrh národního programu podpory projektů zaměřených na budování přístupových sítí nové generace. Národní program je však zatím v rané fázi přípravy a jeho konkrétní podoba není v tuto chvíli známa.</w:t>
      </w:r>
    </w:p>
    <w:p w14:paraId="1C46E863" w14:textId="77777777" w:rsidR="000B1CBB" w:rsidRPr="00DD47DF" w:rsidRDefault="000B1CBB" w:rsidP="00396141">
      <w:pPr>
        <w:pStyle w:val="Modrnadpis"/>
        <w:rPr>
          <w:rFonts w:eastAsia="Arial Unicode MS"/>
        </w:rPr>
      </w:pPr>
      <w:r w:rsidRPr="00DD47DF">
        <w:t>Zajištění koordinace s Evropskou investiční bankou</w:t>
      </w:r>
    </w:p>
    <w:p w14:paraId="674DD5C9" w14:textId="77777777" w:rsidR="000B1CBB" w:rsidRPr="00DD47DF" w:rsidRDefault="00886924" w:rsidP="00886924">
      <w:pPr>
        <w:pStyle w:val="Standardntext"/>
      </w:pPr>
      <w:r w:rsidRPr="00DD47DF">
        <w:t xml:space="preserve">Ve vztahu ke skupině EIB se nabízí především spolupráce v oblasti finančních nástrojů. ŘO OP PIK počítá s využitím služeb skupiny EIB při zpracování </w:t>
      </w:r>
      <w:r w:rsidR="003B7DC0" w:rsidRPr="00DD47DF">
        <w:t>předběžného posouzení</w:t>
      </w:r>
      <w:r w:rsidRPr="00DD47DF">
        <w:t xml:space="preserve"> finančních nástrojů podle </w:t>
      </w:r>
      <w:r w:rsidR="00673465" w:rsidRPr="00DD47DF">
        <w:t>čl. 3</w:t>
      </w:r>
      <w:r w:rsidR="00192FBA" w:rsidRPr="00DD47DF">
        <w:t>7</w:t>
      </w:r>
      <w:r w:rsidR="00673465" w:rsidRPr="00DD47DF">
        <w:t xml:space="preserve"> </w:t>
      </w:r>
      <w:r w:rsidR="003B7DC0" w:rsidRPr="00DD47DF">
        <w:t xml:space="preserve">odst. 2 </w:t>
      </w:r>
      <w:r w:rsidR="00673465" w:rsidRPr="00DD47DF">
        <w:t>o</w:t>
      </w:r>
      <w:r w:rsidRPr="00DD47DF">
        <w:t>becného nařízení. V návaznosti na toto vyhodnocení nelze vyloučit ani případnou další spolupráci ve fázi implementace finančních nástrojů OP PIK.</w:t>
      </w:r>
    </w:p>
    <w:p w14:paraId="300F6639" w14:textId="77777777" w:rsidR="003B7DC0" w:rsidRPr="00DD47DF" w:rsidRDefault="003B7DC0" w:rsidP="003B7DC0">
      <w:pPr>
        <w:pStyle w:val="Standardntext"/>
      </w:pPr>
      <w:r w:rsidRPr="00DD47DF">
        <w:t>Co se týče koordinace s existujícími a chystanými finančními nástroji prováděnými skupinou EIB, jedná se o nástroje uvedené v</w:t>
      </w:r>
      <w:r w:rsidR="00D3716C" w:rsidRPr="00DD47DF">
        <w:t xml:space="preserve"> Nepovinné příloze č. </w:t>
      </w:r>
      <w:r w:rsidR="00F734D1" w:rsidRPr="00DD47DF">
        <w:t>4</w:t>
      </w:r>
      <w:r w:rsidRPr="00DD47DF">
        <w:t>, zejména finanční nástroje implementované v rámci unijních programů COSME a Horizont 2020.</w:t>
      </w:r>
    </w:p>
    <w:p w14:paraId="59D16941" w14:textId="77777777" w:rsidR="003B7DC0" w:rsidRDefault="003B7DC0" w:rsidP="003B7DC0">
      <w:pPr>
        <w:pStyle w:val="Standardntext"/>
      </w:pPr>
      <w:r w:rsidRPr="00DD47DF">
        <w:t>Č</w:t>
      </w:r>
      <w:r w:rsidR="0015513D" w:rsidRPr="00DD47DF">
        <w:t>R</w:t>
      </w:r>
      <w:r w:rsidRPr="00DD47DF">
        <w:t xml:space="preserve"> nemá v úmyslu využít možnost zapojení do společných finančních nástrojů tzv. SME initiative podle čl. 39 </w:t>
      </w:r>
      <w:r w:rsidR="0087102E" w:rsidRPr="00DD47DF">
        <w:t>o</w:t>
      </w:r>
      <w:r w:rsidRPr="00DD47DF">
        <w:t>becného nařízení.</w:t>
      </w:r>
    </w:p>
    <w:p w14:paraId="51BFC691" w14:textId="77777777" w:rsidR="00886924" w:rsidRPr="00055EAE" w:rsidRDefault="003D28C7" w:rsidP="003D28C7">
      <w:pPr>
        <w:pStyle w:val="Modrnadpis"/>
        <w:rPr>
          <w:b w:val="0"/>
        </w:rPr>
      </w:pPr>
      <w:r w:rsidRPr="00055EAE">
        <w:rPr>
          <w:b w:val="0"/>
        </w:rPr>
        <w:t>Oddíl 8 bude v případě nových programů aktualizován.</w:t>
      </w:r>
    </w:p>
    <w:p w14:paraId="45318E5A" w14:textId="77777777" w:rsidR="00886924" w:rsidRPr="00DD47DF" w:rsidRDefault="00886924" w:rsidP="003D28C7">
      <w:pPr>
        <w:pStyle w:val="Modrnadpis"/>
        <w:sectPr w:rsidR="00886924" w:rsidRPr="00DD47DF" w:rsidSect="00F258CA">
          <w:headerReference w:type="default" r:id="rId54"/>
          <w:footerReference w:type="default" r:id="rId55"/>
          <w:pgSz w:w="11906" w:h="16838"/>
          <w:pgMar w:top="1418" w:right="1276" w:bottom="1276" w:left="1418" w:header="709" w:footer="709" w:gutter="0"/>
          <w:cols w:space="708"/>
          <w:docGrid w:linePitch="272"/>
        </w:sectPr>
      </w:pPr>
    </w:p>
    <w:p w14:paraId="192EFF32" w14:textId="77777777" w:rsidR="009E6172" w:rsidRPr="00DD47DF" w:rsidRDefault="00FF200C" w:rsidP="00FF200C">
      <w:pPr>
        <w:pStyle w:val="Nadpis1"/>
      </w:pPr>
      <w:bookmarkStart w:id="135" w:name="_Toc506885073"/>
      <w:r w:rsidRPr="00DD47DF">
        <w:lastRenderedPageBreak/>
        <w:t>Předběžné podmínky</w:t>
      </w:r>
      <w:bookmarkEnd w:id="135"/>
    </w:p>
    <w:p w14:paraId="3B00D53D" w14:textId="77777777" w:rsidR="00F05C0C" w:rsidRPr="00DD47DF" w:rsidRDefault="00F05C0C" w:rsidP="00F05C0C">
      <w:pPr>
        <w:pStyle w:val="Nadpis2"/>
        <w:rPr>
          <w:rFonts w:cs="Calibri"/>
        </w:rPr>
      </w:pPr>
      <w:bookmarkStart w:id="136" w:name="_Toc506885074"/>
      <w:r w:rsidRPr="00DD47DF">
        <w:rPr>
          <w:rFonts w:cs="Calibri"/>
        </w:rPr>
        <w:t>Předběžné podmínky</w:t>
      </w:r>
      <w:bookmarkEnd w:id="136"/>
      <w:r w:rsidRPr="00DD47DF">
        <w:rPr>
          <w:rFonts w:cs="Calibri"/>
        </w:rPr>
        <w:t xml:space="preserve"> </w:t>
      </w:r>
    </w:p>
    <w:p w14:paraId="2A016838" w14:textId="77777777" w:rsidR="00171578" w:rsidRPr="00DD47DF" w:rsidRDefault="00171578" w:rsidP="00606577">
      <w:pPr>
        <w:pStyle w:val="Standardntext"/>
      </w:pPr>
      <w:r w:rsidRPr="00DD47DF">
        <w:rPr>
          <w:rFonts w:eastAsia="Arial Unicode MS"/>
        </w:rPr>
        <w:t xml:space="preserve">V souvislosti s požadavkem Evropské komise zajistit dosahování prokazatelných výsledků intervencí z Evropských strukturálních a investičních fondů, zavádí obecné nařízení instrument v podobě tzv. předběžných podmínek. Jejich cílem je zajistit, </w:t>
      </w:r>
      <w:r w:rsidRPr="00DD47DF">
        <w:t>že budou existovat nezbytné rámcové podmínky pro účinné využívání podpory</w:t>
      </w:r>
      <w:r w:rsidR="00BA4E72" w:rsidRPr="00DD47DF">
        <w:t xml:space="preserve"> </w:t>
      </w:r>
      <w:r w:rsidRPr="00DD47DF">
        <w:t>ESIF. Předběžná podmínka je podle obecného nařízení „</w:t>
      </w:r>
      <w:r w:rsidRPr="00DD47DF">
        <w:rPr>
          <w:i/>
        </w:rPr>
        <w:t>předem přesně vymezený podstatný faktor, který je nezbytným předpokladem pro účinné a efektivní splnění specifického cíle investiční priority […]</w:t>
      </w:r>
      <w:r w:rsidRPr="00DD47DF">
        <w:t xml:space="preserve">“. V rámci předběžných podmínek jsou dále definována dílčí kritéria splnění. </w:t>
      </w:r>
    </w:p>
    <w:p w14:paraId="1307E4C5" w14:textId="77777777" w:rsidR="00171578" w:rsidRPr="00DD47DF" w:rsidRDefault="00171578" w:rsidP="00606577">
      <w:pPr>
        <w:pStyle w:val="Standardntext"/>
      </w:pPr>
      <w:r w:rsidRPr="00DD47DF">
        <w:rPr>
          <w:rFonts w:eastAsia="Arial Unicode MS"/>
        </w:rPr>
        <w:t>Podle obecného nařízení by předběžné podmínky měly být splněny k datu předložení Dohody o partnerství</w:t>
      </w:r>
      <w:r w:rsidR="00782365" w:rsidRPr="00DD47DF">
        <w:rPr>
          <w:rFonts w:eastAsia="Arial Unicode MS"/>
        </w:rPr>
        <w:t xml:space="preserve"> a operačních programů</w:t>
      </w:r>
      <w:r w:rsidRPr="00DD47DF">
        <w:rPr>
          <w:rFonts w:eastAsia="Arial Unicode MS"/>
        </w:rPr>
        <w:t>, není-li tomu tak, pak nejpozději do 31. 12. 2016. N</w:t>
      </w:r>
      <w:r w:rsidRPr="00DD47DF">
        <w:t>esplnění předběžných podmínek ve lhůtě do 31. 12. 2016 je důvodem pro pozastavení všech nebo části plateb na příslušnou prioritu programu ze strany EK.</w:t>
      </w:r>
      <w:r w:rsidRPr="00DD47DF">
        <w:rPr>
          <w:rFonts w:eastAsia="Arial Unicode MS"/>
        </w:rPr>
        <w:t xml:space="preserve"> </w:t>
      </w:r>
      <w:r w:rsidRPr="00DD47DF">
        <w:t xml:space="preserve">Opětovné spuštění průběžných plateb bude znovu možné až po splnění předběžné podmínky. </w:t>
      </w:r>
    </w:p>
    <w:p w14:paraId="30E0046D" w14:textId="77777777" w:rsidR="00171578" w:rsidRPr="00DD47DF" w:rsidRDefault="00171578" w:rsidP="00606577">
      <w:pPr>
        <w:pStyle w:val="Standardntext"/>
      </w:pPr>
      <w:r w:rsidRPr="00DD47DF">
        <w:t xml:space="preserve">Koordinací naplňování předběžných podmínek na národní úrovni zajišťuje Ministerstvo pro místní rozvoj, které k tomu účelu vydává Akční plán řízení a koordinace předběžných podmínek v programovém období 2014-2020 (dále </w:t>
      </w:r>
      <w:r w:rsidR="00DF4F92" w:rsidRPr="00DD47DF">
        <w:t>také „</w:t>
      </w:r>
      <w:r w:rsidRPr="00DD47DF">
        <w:t>Akční plán</w:t>
      </w:r>
      <w:r w:rsidR="00DF4F92" w:rsidRPr="00DD47DF">
        <w:t>“</w:t>
      </w:r>
      <w:r w:rsidRPr="00DD47DF">
        <w:t>). V souladu s</w:t>
      </w:r>
      <w:r w:rsidR="00BA4E72" w:rsidRPr="00DD47DF">
        <w:t xml:space="preserve"> </w:t>
      </w:r>
      <w:r w:rsidRPr="00DD47DF">
        <w:t>Akčním plánem zajišťuje Ministerstvo průmyslu a obchodu</w:t>
      </w:r>
      <w:r w:rsidR="00F11481" w:rsidRPr="00DD47DF">
        <w:t xml:space="preserve"> jako </w:t>
      </w:r>
      <w:r w:rsidRPr="00DD47DF">
        <w:t>Řídící orgán OP PIK</w:t>
      </w:r>
      <w:r w:rsidR="00F11481" w:rsidRPr="00DD47DF">
        <w:t xml:space="preserve"> </w:t>
      </w:r>
      <w:r w:rsidRPr="00DD47DF">
        <w:t>úlohu gestora věcného naplnění některých předběžných podmínek</w:t>
      </w:r>
      <w:r w:rsidR="00F11481" w:rsidRPr="00DD47DF">
        <w:t xml:space="preserve"> a p</w:t>
      </w:r>
      <w:r w:rsidRPr="00DD47DF">
        <w:t xml:space="preserve">růběžně </w:t>
      </w:r>
      <w:r w:rsidR="00F11481" w:rsidRPr="00DD47DF">
        <w:t xml:space="preserve">je </w:t>
      </w:r>
      <w:r w:rsidRPr="00DD47DF">
        <w:t>sleduje a vyhodnocuje</w:t>
      </w:r>
      <w:r w:rsidR="00F11481" w:rsidRPr="00DD47DF">
        <w:t xml:space="preserve">. </w:t>
      </w:r>
      <w:r w:rsidRPr="00DD47DF">
        <w:t>Zvláštní pozornost věnuje Řídící orgán OP PIK zejména tzv. rizikovým předběžným podmínkám, u kterých bylo identifikováno riziko je</w:t>
      </w:r>
      <w:r w:rsidR="001C38E4" w:rsidRPr="00DD47DF">
        <w:t xml:space="preserve">jich </w:t>
      </w:r>
      <w:r w:rsidR="001E08D2" w:rsidRPr="00DD47DF">
        <w:t xml:space="preserve">nesplnění </w:t>
      </w:r>
      <w:r w:rsidRPr="00DD47DF">
        <w:t xml:space="preserve">(riziko časové, implementační a riziko jejich nejasného či příliš obecného výkladu). </w:t>
      </w:r>
    </w:p>
    <w:p w14:paraId="1D169F8B" w14:textId="77777777" w:rsidR="00171578" w:rsidRPr="00DD47DF" w:rsidRDefault="00171578" w:rsidP="00606577">
      <w:pPr>
        <w:pStyle w:val="Standardntext"/>
      </w:pPr>
      <w:r w:rsidRPr="00DD47DF">
        <w:t>Řídící orgán OP PIK zajišťuje naplnění předběžných podmínek souběžně s přípravou OP PIK v rámci působnosti Ministerstva průmyslu a obchodu ve spolupráci s příslušnými odbornými útvary ministerstva.</w:t>
      </w:r>
      <w:r w:rsidR="00BA4E72" w:rsidRPr="00DD47DF">
        <w:t xml:space="preserve"> </w:t>
      </w:r>
      <w:r w:rsidRPr="00DD47DF">
        <w:t xml:space="preserve">Ve spolupráci s nimi jsou definována opatření a harmonogram ke splnění dosud částečně splněných nebo nesplněných předběžných podmínek. Spolupracuje také s dalšími resorty a subjekty, které jsou jejich spolugestory či gestory předběžných podmínek, do jejichž působnosti také příslušné předběžné podmínky spadají. Řídící orgán OP PIK při zpracování programu průběžně aktivně spolupracuje také s Ministerstvem pro místní rozvoj s cílem </w:t>
      </w:r>
      <w:r w:rsidR="00587DF3" w:rsidRPr="00DD47DF">
        <w:t xml:space="preserve">řešit </w:t>
      </w:r>
      <w:r w:rsidRPr="00DD47DF">
        <w:t>otevřené či nejasné otázky v souvislosti s předběžnými podmínkami a prostřednictvím Ministerstva pro místní rozvoj také usiluje o vyjasnění těchto otázek na straně EK.</w:t>
      </w:r>
    </w:p>
    <w:p w14:paraId="07F35817" w14:textId="77777777" w:rsidR="005021A2" w:rsidRPr="00DD47DF" w:rsidRDefault="005021A2" w:rsidP="005021A2">
      <w:pPr>
        <w:pStyle w:val="Standardntext"/>
      </w:pPr>
      <w:r w:rsidRPr="00DD47DF">
        <w:t>V souladu s principem předběžných podmínek, kterým je vytvoření nezbytných rámcových podmínek pro účinné využívání podpory</w:t>
      </w:r>
      <w:r w:rsidR="00BA4E72" w:rsidRPr="00DD47DF">
        <w:t xml:space="preserve"> </w:t>
      </w:r>
      <w:r w:rsidRPr="00DD47DF">
        <w:t>ESIF</w:t>
      </w:r>
      <w:r w:rsidR="00BA4E72" w:rsidRPr="00DD47DF">
        <w:t xml:space="preserve"> </w:t>
      </w:r>
      <w:r w:rsidRPr="00DD47DF">
        <w:t xml:space="preserve">v rámci plánovaných intervencí, bylo pro OP PIK s ohledem na zvolené investiční priority a specifické cíle identifikováno 9 aplikovatelných tematických předběžných podmínek (1.1, 2.1, 2.2, 3.1, 4.1, 4.2, 4.3, 7.4, 8.2) dle Přílohy XI. obecného nařízení. Jde o tematické předběžné podmínky, které požadují jak existenci strategických dokumentů, tak i implementaci legislativních aktů, včetně přijetí opatření vyplývajících </w:t>
      </w:r>
      <w:r w:rsidR="00686589" w:rsidRPr="00DD47DF">
        <w:t>z</w:t>
      </w:r>
      <w:r w:rsidRPr="00DD47DF">
        <w:t xml:space="preserve"> nelegislativních dokumentů Evropské unie. Dále jsou pro OP PIK aplikovatelné </w:t>
      </w:r>
      <w:r w:rsidR="00D1542E" w:rsidRPr="00DD47DF">
        <w:t xml:space="preserve">všechny </w:t>
      </w:r>
      <w:r w:rsidRPr="00DD47DF">
        <w:t xml:space="preserve">obecné předběžné podmínky. Z hlediska zaměření intervencí OP PIK dle zvolených investičních priorit považuje Řídící orgán OP PIK za nerelevantní pro OP PIK u předběžné podmínky č. 2.1 „Digitální růst: Strategický rámec politiky pro digitální růst, jež má stimulovat poptávku po cenově dostupných, kvalitních a interoperabilních soukromých a veřejných službách v oblasti IKT a zvýšit míru jejich využívání občany, včetně zranitelných skupin, </w:t>
      </w:r>
      <w:r w:rsidRPr="00DD47DF">
        <w:lastRenderedPageBreak/>
        <w:t xml:space="preserve">podniky a orgány veřejné správy včetně přeshraničních iniciativ“ kritérium „ukazatele umožňující měření pokroku opatření v oblastech, jako jsou počítačová gramotnost, začleňování občanů do informační společnosti, přístupnost elektronických technologií a elektronického zdravotnictví v mezích článku 168 SFEU, jež jsou v souladu tam, kde je to vhodné, s příslušnými stávajícími unijními, vnitrostátními nebo regionálními strategiemi pro jednotlivá odvětví“. Intervence do této oblasti se vztahují k investiční prioritě 2c) dle čl. 5 nařízení pro Evropský fond pro regionální rozvoj v rámci Tematického cíle 2 – Zlepšení dostupnosti, využití a kvality informačních a komunikačních technologií“, která není součástí OP PIK. </w:t>
      </w:r>
    </w:p>
    <w:p w14:paraId="1D870D80" w14:textId="77777777" w:rsidR="005021A2" w:rsidRPr="00DD47DF" w:rsidRDefault="005021A2" w:rsidP="005021A2">
      <w:pPr>
        <w:pStyle w:val="Standardntext"/>
      </w:pPr>
      <w:r w:rsidRPr="00DD47DF">
        <w:t>Volba předběžných podmínek byla provedena také v souladu s dokumentem Evropské komise „Draft Guidance on Ex Ante Conditionalities“</w:t>
      </w:r>
      <w:r w:rsidRPr="00DD47DF">
        <w:rPr>
          <w:rStyle w:val="Znakapoznpodarou"/>
        </w:rPr>
        <w:footnoteReference w:id="91"/>
      </w:r>
      <w:r w:rsidRPr="00DD47DF">
        <w:t xml:space="preserve">. Přehled všech aplikovatelných předběžných podmínek je obsažen v tabulce č. 24. MPO, jako Řídící orgán OP PIK, je současně gestorem/spolugestorem plnění uvedených tematických předběžných podmínek. V případě předběžné podmínky 1.1 </w:t>
      </w:r>
      <w:r w:rsidR="00FC061B" w:rsidRPr="00DD47DF">
        <w:t xml:space="preserve">bylo </w:t>
      </w:r>
      <w:r w:rsidRPr="00DD47DF">
        <w:t>hlavním koordinátorem přípravy Národní strategie pro inteligentní specializaci Ministerstvo školství, mládeže a tělovýchovy (MŠMT)</w:t>
      </w:r>
      <w:r w:rsidR="00FC061B" w:rsidRPr="00DD47DF">
        <w:t>, od 8.12.2014 gesce přešla na</w:t>
      </w:r>
      <w:r w:rsidRPr="00DD47DF">
        <w:t xml:space="preserve"> </w:t>
      </w:r>
      <w:r w:rsidR="00FC061B" w:rsidRPr="00DD47DF">
        <w:t xml:space="preserve">Úřad vlády ČR. </w:t>
      </w:r>
      <w:r w:rsidRPr="00DD47DF">
        <w:t>MPO se na její přípravě aktivně podíl</w:t>
      </w:r>
      <w:r w:rsidR="00FC061B" w:rsidRPr="00DD47DF">
        <w:t>elo</w:t>
      </w:r>
      <w:r w:rsidRPr="00DD47DF">
        <w:t>. Podílí se taktéž na plnění dílčích kritérií obecných předběžných podmínek.</w:t>
      </w:r>
    </w:p>
    <w:p w14:paraId="611DA23E" w14:textId="77777777" w:rsidR="00171578" w:rsidRPr="00DD47DF" w:rsidRDefault="00171578" w:rsidP="00171578">
      <w:pPr>
        <w:pStyle w:val="Standardntext"/>
      </w:pPr>
      <w:r w:rsidRPr="00DD47DF">
        <w:t xml:space="preserve">Vyhodnocení plnění předběžných podmínek dle daných kritérií bylo provedeno v rámci přípravy OP PIK s využitím </w:t>
      </w:r>
      <w:r w:rsidR="00A60A6E" w:rsidRPr="00DD47DF">
        <w:t>„</w:t>
      </w:r>
      <w:r w:rsidRPr="00DD47DF">
        <w:t>Draft Guidance on Ex Ante Conditionalities</w:t>
      </w:r>
      <w:r w:rsidR="00A60A6E" w:rsidRPr="00DD47DF">
        <w:t>“</w:t>
      </w:r>
      <w:r w:rsidRPr="00DD47DF">
        <w:t xml:space="preserve"> a dle dalších pokynů Ministerstva pro místní rozvoj – NOK v souladu s Akčním plánem. V současné fázi je podle vyhodnocení Řídícího orgánu OP PIK s plněním aplikovatelných předběžných podmínek spojeno několik typů rizika. </w:t>
      </w:r>
      <w:r w:rsidR="00E36103" w:rsidRPr="00DD47DF">
        <w:t xml:space="preserve">Jde o riziko časové i implementační. </w:t>
      </w:r>
      <w:r w:rsidRPr="00DD47DF">
        <w:t xml:space="preserve">Ke splnění všech kritérií předběžných podmínek zbývá dokončit některé strategické či analytické dokumenty </w:t>
      </w:r>
      <w:r w:rsidR="00686589" w:rsidRPr="00DD47DF">
        <w:t>a přijmout úpravu právních předpisů. Podrobněji jsou rizika popsána ve vyjádření u konkrétních předběžných podmínek v další části kapitoly.</w:t>
      </w:r>
    </w:p>
    <w:p w14:paraId="48E60DF3" w14:textId="77777777" w:rsidR="008C3BE4" w:rsidRPr="00DD47DF" w:rsidRDefault="005021A2" w:rsidP="005021A2">
      <w:pPr>
        <w:pStyle w:val="Standardntext"/>
      </w:pPr>
      <w:r w:rsidRPr="00DD47DF">
        <w:t xml:space="preserve">Z hlediska OP PIK jsou aplikovatelné také předběžné podmínky, které jsou spojeny s výše </w:t>
      </w:r>
      <w:r w:rsidR="00D5692F" w:rsidRPr="00DD47DF">
        <w:t>zmíněnými</w:t>
      </w:r>
      <w:r w:rsidRPr="00DD47DF">
        <w:t xml:space="preserve"> riziky. Na dopracování strategických dokumentů nebo dalších dokumentů k naplnění kritérií předběžných podmínek je vázáno naplnění předběžných podmínek 1.1, 2.1, 2.2, dále musí být přijata legislativní opatření pro jejich naplnění. V této souvislosti jde o podmínku 3.1, resp. 8.2 - požadavek na zkrácení doby a snížení nákladů na založení podniku. Gestorem příslušných legislativních opatření je Ministerstvo spravedlnosti, které zpracovalo </w:t>
      </w:r>
      <w:r w:rsidR="00587DF3" w:rsidRPr="00DD47DF">
        <w:t xml:space="preserve">aktualizovaný </w:t>
      </w:r>
      <w:r w:rsidRPr="00DD47DF">
        <w:t>Akční plán ke splnění požadavků předběžných podmínek. Specifický problém spatřuje Řídící orgán OP PIK v souvislosti s</w:t>
      </w:r>
      <w:r w:rsidR="00D5692F" w:rsidRPr="00DD47DF">
        <w:t> </w:t>
      </w:r>
      <w:r w:rsidRPr="00DD47DF">
        <w:t>předběžn</w:t>
      </w:r>
      <w:r w:rsidR="00D5692F" w:rsidRPr="00DD47DF">
        <w:t>ými podmínkami pro Tematický cíl 4 (4.1 a 4.3),</w:t>
      </w:r>
      <w:r w:rsidRPr="00DD47DF">
        <w:t xml:space="preserve"> kde bylo identifikováno riziko v podobě probíhajících řízení o porušení Smlouvy, která s ČR vede EK v souvislosti s transpozicí směrnic v oblasti energetiky</w:t>
      </w:r>
      <w:r w:rsidRPr="00DD47DF">
        <w:rPr>
          <w:rStyle w:val="Znakapoznpodarou"/>
        </w:rPr>
        <w:footnoteReference w:id="92"/>
      </w:r>
      <w:r w:rsidRPr="00DD47DF">
        <w:t xml:space="preserve"> (podrobnosti jsou uvedeny </w:t>
      </w:r>
      <w:r w:rsidR="00D5692F" w:rsidRPr="00DD47DF">
        <w:t xml:space="preserve">v </w:t>
      </w:r>
      <w:r w:rsidRPr="00DD47DF">
        <w:t>tabul</w:t>
      </w:r>
      <w:r w:rsidR="00D5692F" w:rsidRPr="00DD47DF">
        <w:t>ce</w:t>
      </w:r>
      <w:r w:rsidRPr="00DD47DF">
        <w:t xml:space="preserve"> č. 24). Řídící orgán usiloval o vyjasnění stanoviska Evropské komise k této otázce již během přípravy OP PIK, nicméně jasné stanovisko EK ČR </w:t>
      </w:r>
      <w:r w:rsidR="00686589" w:rsidRPr="00DD47DF">
        <w:t xml:space="preserve">obdržela </w:t>
      </w:r>
      <w:r w:rsidRPr="00DD47DF">
        <w:t xml:space="preserve">až v rámci reakce na Dohodu o partnerství v rámci neformálního dialogu. Dle tohoto stanoviska EK nebude tyto předběžné podmínky považovat za splněné. V rámci řešení situace přistoupil Řídící orgány OP PIK k jednání s MMR a </w:t>
      </w:r>
      <w:r w:rsidR="00782365" w:rsidRPr="00DD47DF">
        <w:t xml:space="preserve">byla zahájena </w:t>
      </w:r>
      <w:r w:rsidRPr="00DD47DF">
        <w:t xml:space="preserve">přímá jednání s EK s cílem dosáhnout řešení těchto případů s ohledem na nutnost naplnění předběžných podmínek. Současně byl zpracován </w:t>
      </w:r>
      <w:r w:rsidRPr="00DD47DF">
        <w:lastRenderedPageBreak/>
        <w:t>Akční plán pro uvedené předběžné podmínky</w:t>
      </w:r>
      <w:r w:rsidR="009914C7" w:rsidRPr="00DD47DF">
        <w:t>. V návaznosti na technické jednání s Evropskou komisí dne 30. 4. 2014, kdy EK uvedla, že řízení o porušení Smlouvy nemají dopad na předběžnou podmínku 4.3, byl Akční plán aktualizován pro předběžnou podmínku 4.1.</w:t>
      </w:r>
      <w:r w:rsidR="00BA4E72" w:rsidRPr="00DD47DF">
        <w:t xml:space="preserve"> </w:t>
      </w:r>
      <w:r w:rsidR="00E35843" w:rsidRPr="00DD47DF">
        <w:t>Problematika naplnění předběžných podmínek pro Tematický cíl 2 je řešena ve spolupráci s dalšími resorty a subjekty, zodpovědnými za realizaci opatření ke splnění podmínek či dopracování příslušných strategických dokumentů</w:t>
      </w:r>
      <w:r w:rsidR="00242E72" w:rsidRPr="00DD47DF">
        <w:t xml:space="preserve"> a</w:t>
      </w:r>
      <w:r w:rsidR="00E35843" w:rsidRPr="00DD47DF">
        <w:t xml:space="preserve"> </w:t>
      </w:r>
      <w:r w:rsidR="00242E72" w:rsidRPr="00DD47DF">
        <w:t>byly zpracovány Akční plány ke splnění předběžných podmínek 2.1 a 2.2.</w:t>
      </w:r>
      <w:r w:rsidR="00895285" w:rsidRPr="00DD47DF">
        <w:t xml:space="preserve"> K OP PIK jsou připojeny výše zmíněné akční plány, jakož i další akční plány k předběžným podmínkám, které spadají do působnosti jiných resortů – akční plán pro předběžnou podmínku 1.1 (RIS3 Strategie, gesce </w:t>
      </w:r>
      <w:r w:rsidR="00FC061B" w:rsidRPr="00DD47DF">
        <w:t>Úřad vlády ČR</w:t>
      </w:r>
      <w:r w:rsidR="00895285" w:rsidRPr="00DD47DF">
        <w:t>) a obecnou předběžnou podmínku EIA (gesce MŽP).</w:t>
      </w:r>
      <w:r w:rsidR="00587DF3" w:rsidRPr="00DD47DF">
        <w:t xml:space="preserve"> Akční plány tematických předběžných podmínek byly aktualizovány v návaznosti na postup plnění opatření k jejich splnění a další aktuální vývoj. </w:t>
      </w:r>
      <w:r w:rsidR="00A83C7A" w:rsidRPr="00DD47DF">
        <w:t>Aktuální Akční plány a další podklady k tematickým předběžným podmínkám v návaznosti na připomínky Evropské komise byly doplněny do Přílohy II.</w:t>
      </w:r>
    </w:p>
    <w:p w14:paraId="3CB1EC8F" w14:textId="77777777" w:rsidR="00587DF3" w:rsidRPr="00DD47DF" w:rsidRDefault="008C3BE4" w:rsidP="00587DF3">
      <w:pPr>
        <w:pStyle w:val="Standardntext"/>
      </w:pPr>
      <w:r w:rsidRPr="00DD47DF">
        <w:t>Na základě připomín</w:t>
      </w:r>
      <w:r w:rsidR="00587DF3" w:rsidRPr="00DD47DF">
        <w:t>ek</w:t>
      </w:r>
      <w:r w:rsidRPr="00DD47DF">
        <w:t xml:space="preserve"> Evropské komise ke kapitole předběžných podmínek v OP PIK bylo do Přílohy II doplněno úplné znění naplňování obecných předběžných podmínek na národní úrovni v rámci Dohody o partn</w:t>
      </w:r>
      <w:r w:rsidR="00F3375C" w:rsidRPr="00DD47DF">
        <w:t>e</w:t>
      </w:r>
      <w:r w:rsidRPr="00DD47DF">
        <w:t>rství</w:t>
      </w:r>
      <w:r w:rsidR="00587DF3" w:rsidRPr="00DD47DF">
        <w:t>, kde bylo doplněno jak naplňování obecných předběžných podmínek, tak i detailní akční plán na centrální úrovni. Současně bylo v návaznosti na připomínky EK doplněno naplňování obecných předběžných podmínek i upřesnění opatření k jejich splnění na úrovni operačního programu.</w:t>
      </w:r>
    </w:p>
    <w:p w14:paraId="10CCF628" w14:textId="77777777" w:rsidR="008C3BE4" w:rsidRPr="00DD47DF" w:rsidRDefault="00F10204" w:rsidP="005021A2">
      <w:pPr>
        <w:pStyle w:val="Standardntext"/>
        <w:sectPr w:rsidR="008C3BE4" w:rsidRPr="00DD47DF" w:rsidSect="00F258CA">
          <w:headerReference w:type="default" r:id="rId56"/>
          <w:footerReference w:type="default" r:id="rId57"/>
          <w:pgSz w:w="11906" w:h="16838"/>
          <w:pgMar w:top="1418" w:right="1276" w:bottom="1276" w:left="1418" w:header="709" w:footer="709" w:gutter="0"/>
          <w:cols w:space="708"/>
          <w:docGrid w:linePitch="272"/>
        </w:sectPr>
      </w:pPr>
      <w:r w:rsidRPr="00DD47DF">
        <w:t>Struktura informací k naplňování obecných předběžných podmínek i opatřením k jejich splnění reflektuje požadavky EK.</w:t>
      </w:r>
    </w:p>
    <w:p w14:paraId="220C0598" w14:textId="77777777" w:rsidR="00BF3FE5" w:rsidRPr="00DD47DF" w:rsidRDefault="00BF3FE5" w:rsidP="00FF200C">
      <w:pPr>
        <w:pStyle w:val="Titulek"/>
      </w:pPr>
      <w:r w:rsidRPr="00DD47DF">
        <w:lastRenderedPageBreak/>
        <w:t>Tabulka</w:t>
      </w:r>
      <w:r w:rsidR="00FF200C" w:rsidRPr="00DD47DF">
        <w:t xml:space="preserve"> </w:t>
      </w:r>
      <w:r w:rsidR="002756E7" w:rsidRPr="00DD47DF">
        <w:fldChar w:fldCharType="begin"/>
      </w:r>
      <w:r w:rsidR="000E35F2" w:rsidRPr="00DD47DF">
        <w:instrText xml:space="preserve"> SEQ Tabulka \* ARABIC </w:instrText>
      </w:r>
      <w:r w:rsidR="002756E7" w:rsidRPr="00DD47DF">
        <w:fldChar w:fldCharType="separate"/>
      </w:r>
      <w:r w:rsidR="00117847">
        <w:rPr>
          <w:noProof/>
        </w:rPr>
        <w:t>24</w:t>
      </w:r>
      <w:r w:rsidR="002756E7" w:rsidRPr="00DD47DF">
        <w:rPr>
          <w:noProof/>
        </w:rPr>
        <w:fldChar w:fldCharType="end"/>
      </w:r>
      <w:r w:rsidRPr="00DD47DF">
        <w:t xml:space="preserve">: </w:t>
      </w:r>
      <w:r w:rsidR="00F64D76" w:rsidRPr="00DD47DF">
        <w:t>Určení příslušných předběžných podmínek a posouzení jejich plnění</w:t>
      </w:r>
    </w:p>
    <w:tbl>
      <w:tblPr>
        <w:tblW w:w="14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52"/>
        <w:gridCol w:w="1701"/>
        <w:gridCol w:w="1276"/>
        <w:gridCol w:w="1843"/>
        <w:gridCol w:w="1134"/>
        <w:gridCol w:w="2126"/>
        <w:gridCol w:w="4394"/>
      </w:tblGrid>
      <w:tr w:rsidR="00790A0D" w:rsidRPr="00DD47DF" w14:paraId="22C14F93" w14:textId="77777777" w:rsidTr="006D2F5F">
        <w:tc>
          <w:tcPr>
            <w:tcW w:w="1752" w:type="dxa"/>
            <w:shd w:val="clear" w:color="auto" w:fill="B8CCE4"/>
            <w:vAlign w:val="center"/>
          </w:tcPr>
          <w:p w14:paraId="423F6060" w14:textId="77777777" w:rsidR="00790A0D" w:rsidRPr="00DD47DF" w:rsidRDefault="00790A0D" w:rsidP="006D2F5F">
            <w:pPr>
              <w:pStyle w:val="Tabulka"/>
              <w:rPr>
                <w:rFonts w:cs="Calibri"/>
                <w:b/>
              </w:rPr>
            </w:pPr>
            <w:r w:rsidRPr="00DD47DF">
              <w:rPr>
                <w:rFonts w:cs="Calibri"/>
                <w:b/>
              </w:rPr>
              <w:t>Předběžná podmínka</w:t>
            </w:r>
          </w:p>
        </w:tc>
        <w:tc>
          <w:tcPr>
            <w:tcW w:w="1701" w:type="dxa"/>
            <w:shd w:val="clear" w:color="auto" w:fill="B8CCE4"/>
            <w:vAlign w:val="center"/>
          </w:tcPr>
          <w:p w14:paraId="146119A5" w14:textId="77777777" w:rsidR="00790A0D" w:rsidRPr="00DD47DF" w:rsidRDefault="00790A0D" w:rsidP="006D2F5F">
            <w:pPr>
              <w:pStyle w:val="Tabulka"/>
              <w:rPr>
                <w:rFonts w:cs="Calibri"/>
                <w:b/>
              </w:rPr>
            </w:pPr>
            <w:r w:rsidRPr="00DD47DF">
              <w:rPr>
                <w:rFonts w:cs="Calibri"/>
                <w:b/>
              </w:rPr>
              <w:t>Prioritní osy, kterých se podmínka týká</w:t>
            </w:r>
          </w:p>
        </w:tc>
        <w:tc>
          <w:tcPr>
            <w:tcW w:w="1276" w:type="dxa"/>
            <w:shd w:val="clear" w:color="auto" w:fill="B8CCE4"/>
            <w:vAlign w:val="center"/>
          </w:tcPr>
          <w:p w14:paraId="6C218F74" w14:textId="77777777" w:rsidR="00790A0D" w:rsidRPr="00DD47DF" w:rsidRDefault="00790A0D" w:rsidP="006D2F5F">
            <w:pPr>
              <w:pStyle w:val="Tabulka"/>
              <w:rPr>
                <w:rFonts w:cs="Calibri"/>
                <w:b/>
              </w:rPr>
            </w:pPr>
            <w:r w:rsidRPr="00DD47DF">
              <w:rPr>
                <w:rFonts w:cs="Calibri"/>
                <w:b/>
              </w:rPr>
              <w:t>Předběžná podmínka splněna: ano/ne/částečně</w:t>
            </w:r>
          </w:p>
        </w:tc>
        <w:tc>
          <w:tcPr>
            <w:tcW w:w="1843" w:type="dxa"/>
            <w:shd w:val="clear" w:color="auto" w:fill="B8CCE4"/>
            <w:vAlign w:val="center"/>
          </w:tcPr>
          <w:p w14:paraId="5E893E0A" w14:textId="77777777" w:rsidR="00790A0D" w:rsidRPr="00DD47DF" w:rsidRDefault="00790A0D" w:rsidP="006D2F5F">
            <w:pPr>
              <w:pStyle w:val="Tabulka"/>
              <w:rPr>
                <w:rFonts w:cs="Calibri"/>
                <w:b/>
              </w:rPr>
            </w:pPr>
            <w:r w:rsidRPr="00DD47DF">
              <w:rPr>
                <w:rFonts w:cs="Calibri"/>
                <w:b/>
              </w:rPr>
              <w:t>Kritéria</w:t>
            </w:r>
          </w:p>
        </w:tc>
        <w:tc>
          <w:tcPr>
            <w:tcW w:w="1134" w:type="dxa"/>
            <w:shd w:val="clear" w:color="auto" w:fill="B8CCE4"/>
            <w:vAlign w:val="center"/>
          </w:tcPr>
          <w:p w14:paraId="521DEADC" w14:textId="77777777" w:rsidR="00790A0D" w:rsidRPr="00DD47DF" w:rsidRDefault="00790A0D" w:rsidP="006D2F5F">
            <w:pPr>
              <w:pStyle w:val="Tabulka"/>
              <w:rPr>
                <w:rFonts w:cs="Calibri"/>
                <w:b/>
              </w:rPr>
            </w:pPr>
            <w:r w:rsidRPr="00DD47DF">
              <w:rPr>
                <w:rFonts w:cs="Calibri"/>
                <w:b/>
              </w:rPr>
              <w:t>Kritéria splněna</w:t>
            </w:r>
          </w:p>
          <w:p w14:paraId="60C7E2F8" w14:textId="77777777" w:rsidR="00790A0D" w:rsidRPr="00DD47DF" w:rsidRDefault="00790A0D" w:rsidP="006D2F5F">
            <w:pPr>
              <w:pStyle w:val="Tabulka"/>
              <w:rPr>
                <w:rFonts w:cs="Calibri"/>
                <w:b/>
              </w:rPr>
            </w:pPr>
            <w:r w:rsidRPr="00DD47DF">
              <w:rPr>
                <w:rFonts w:cs="Calibri"/>
                <w:b/>
              </w:rPr>
              <w:t>ano/ne</w:t>
            </w:r>
          </w:p>
        </w:tc>
        <w:tc>
          <w:tcPr>
            <w:tcW w:w="2126" w:type="dxa"/>
            <w:shd w:val="clear" w:color="auto" w:fill="B8CCE4"/>
            <w:vAlign w:val="center"/>
          </w:tcPr>
          <w:p w14:paraId="6F5B3742" w14:textId="77777777" w:rsidR="00790A0D" w:rsidRPr="00DD47DF" w:rsidRDefault="00790A0D" w:rsidP="006D2F5F">
            <w:pPr>
              <w:pStyle w:val="Tabulka"/>
              <w:rPr>
                <w:rFonts w:cs="Calibri"/>
                <w:b/>
              </w:rPr>
            </w:pPr>
            <w:r w:rsidRPr="00DD47DF">
              <w:rPr>
                <w:rFonts w:cs="Calibri"/>
                <w:b/>
              </w:rPr>
              <w:t>Odkaz</w:t>
            </w:r>
          </w:p>
        </w:tc>
        <w:tc>
          <w:tcPr>
            <w:tcW w:w="4394" w:type="dxa"/>
            <w:shd w:val="clear" w:color="auto" w:fill="B8CCE4"/>
            <w:vAlign w:val="center"/>
          </w:tcPr>
          <w:p w14:paraId="1963BFC9" w14:textId="77777777" w:rsidR="00790A0D" w:rsidRPr="00DD47DF" w:rsidRDefault="00790A0D" w:rsidP="006D2F5F">
            <w:pPr>
              <w:pStyle w:val="Tabulka"/>
              <w:rPr>
                <w:rFonts w:cs="Calibri"/>
                <w:b/>
              </w:rPr>
            </w:pPr>
            <w:r w:rsidRPr="00DD47DF">
              <w:rPr>
                <w:rFonts w:cs="Calibri"/>
                <w:b/>
              </w:rPr>
              <w:t>Vysvětlení</w:t>
            </w:r>
            <w:r w:rsidRPr="00DD47DF">
              <w:rPr>
                <w:rStyle w:val="Znakapoznpodarou"/>
                <w:rFonts w:eastAsia="Calibri" w:cs="Calibri"/>
              </w:rPr>
              <w:footnoteReference w:id="93"/>
            </w:r>
          </w:p>
        </w:tc>
      </w:tr>
      <w:tr w:rsidR="00790A0D" w:rsidRPr="00DD47DF" w14:paraId="38436906" w14:textId="77777777" w:rsidTr="006D2F5F">
        <w:tc>
          <w:tcPr>
            <w:tcW w:w="1752" w:type="dxa"/>
            <w:vMerge w:val="restart"/>
            <w:shd w:val="clear" w:color="auto" w:fill="auto"/>
          </w:tcPr>
          <w:p w14:paraId="6D166DCD" w14:textId="77777777" w:rsidR="00790A0D" w:rsidRPr="00DD47DF" w:rsidRDefault="00790A0D" w:rsidP="006D2F5F">
            <w:pPr>
              <w:pStyle w:val="Tabulka"/>
              <w:jc w:val="left"/>
              <w:rPr>
                <w:rFonts w:cs="Calibri"/>
                <w:b/>
              </w:rPr>
            </w:pPr>
            <w:r w:rsidRPr="00DD47DF">
              <w:rPr>
                <w:rFonts w:cs="Calibri"/>
                <w:b/>
              </w:rPr>
              <w:t xml:space="preserve">Existence administrativní kapacity pro provádění a uplatňování právních předpisů a politiky Unie v oblasti boje pro diskriminaci v případě fondů ESI </w:t>
            </w:r>
          </w:p>
        </w:tc>
        <w:tc>
          <w:tcPr>
            <w:tcW w:w="1701" w:type="dxa"/>
            <w:vMerge w:val="restart"/>
            <w:shd w:val="clear" w:color="auto" w:fill="auto"/>
          </w:tcPr>
          <w:p w14:paraId="107F428B" w14:textId="77777777" w:rsidR="00790A0D" w:rsidRPr="00DD47DF" w:rsidRDefault="00790A0D" w:rsidP="006D2F5F">
            <w:pPr>
              <w:pStyle w:val="Tabulka"/>
              <w:jc w:val="left"/>
              <w:rPr>
                <w:rFonts w:cs="Calibri"/>
              </w:rPr>
            </w:pPr>
            <w:r w:rsidRPr="00DD47DF">
              <w:rPr>
                <w:rFonts w:cs="Calibri"/>
              </w:rPr>
              <w:t>Všechny prioritní osy OP PIK</w:t>
            </w:r>
          </w:p>
        </w:tc>
        <w:tc>
          <w:tcPr>
            <w:tcW w:w="1276" w:type="dxa"/>
            <w:vMerge w:val="restart"/>
            <w:shd w:val="clear" w:color="auto" w:fill="auto"/>
          </w:tcPr>
          <w:p w14:paraId="7D2885B7" w14:textId="77777777" w:rsidR="00790A0D" w:rsidRPr="00DD47DF" w:rsidRDefault="00790A0D" w:rsidP="006D2F5F">
            <w:pPr>
              <w:pStyle w:val="Tabulka"/>
              <w:jc w:val="left"/>
              <w:rPr>
                <w:rFonts w:cs="Calibri"/>
              </w:rPr>
            </w:pPr>
            <w:r w:rsidRPr="00DD47DF">
              <w:rPr>
                <w:rFonts w:cs="Calibri"/>
              </w:rPr>
              <w:t xml:space="preserve">Ano </w:t>
            </w:r>
          </w:p>
          <w:p w14:paraId="169EB8AA" w14:textId="77777777" w:rsidR="00790A0D" w:rsidRPr="00DD47DF" w:rsidRDefault="00790A0D" w:rsidP="006D2F5F">
            <w:pPr>
              <w:pStyle w:val="Tabulka"/>
              <w:jc w:val="left"/>
              <w:rPr>
                <w:rFonts w:cs="Calibri"/>
              </w:rPr>
            </w:pPr>
          </w:p>
          <w:p w14:paraId="621F1CE9" w14:textId="77777777" w:rsidR="00790A0D" w:rsidRPr="00DD47DF" w:rsidRDefault="00790A0D" w:rsidP="006D2F5F">
            <w:pPr>
              <w:pStyle w:val="Tabulka"/>
              <w:jc w:val="left"/>
              <w:rPr>
                <w:rFonts w:cs="Calibri"/>
              </w:rPr>
            </w:pPr>
          </w:p>
        </w:tc>
        <w:tc>
          <w:tcPr>
            <w:tcW w:w="1843" w:type="dxa"/>
            <w:shd w:val="clear" w:color="auto" w:fill="auto"/>
          </w:tcPr>
          <w:p w14:paraId="5EA4F79A" w14:textId="77777777" w:rsidR="00790A0D" w:rsidRPr="00DD47DF" w:rsidRDefault="00790A0D" w:rsidP="006D2F5F">
            <w:pPr>
              <w:pStyle w:val="Tabulka"/>
              <w:jc w:val="left"/>
              <w:rPr>
                <w:rFonts w:cs="Calibri"/>
              </w:rPr>
            </w:pPr>
            <w:r w:rsidRPr="00DD47DF">
              <w:rPr>
                <w:rFonts w:cs="Calibri"/>
              </w:rPr>
              <w:t>Ustanovení v souladu s institucionálním a právním rámcem členských států za účelem zapojení subjektů odpovědných za prosazování rovného zacházení se všemi osobami v rámci přípravy a provádění programů včetně poskytování poradenství v otázkách rovnosti v rámci činností týkajících se fondů ESI.</w:t>
            </w:r>
          </w:p>
        </w:tc>
        <w:tc>
          <w:tcPr>
            <w:tcW w:w="1134" w:type="dxa"/>
            <w:shd w:val="clear" w:color="auto" w:fill="auto"/>
          </w:tcPr>
          <w:p w14:paraId="79BBAA6E"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2F8635D9" w14:textId="77777777" w:rsidR="00790A0D" w:rsidRPr="00DD47DF" w:rsidRDefault="00580034" w:rsidP="006D2F5F">
            <w:pPr>
              <w:pStyle w:val="Tabulka"/>
              <w:jc w:val="left"/>
              <w:rPr>
                <w:rStyle w:val="Hypertextovodkaz"/>
                <w:rFonts w:cs="Calibri"/>
              </w:rPr>
            </w:pPr>
            <w:hyperlink r:id="rId58" w:history="1">
              <w:r w:rsidR="00790A0D" w:rsidRPr="00DD47DF">
                <w:rPr>
                  <w:rStyle w:val="Hypertextovodkaz"/>
                  <w:rFonts w:cs="Calibri"/>
                </w:rPr>
                <w:t>http://www.ochrance.cz/en/discrimination/</w:t>
              </w:r>
            </w:hyperlink>
          </w:p>
          <w:p w14:paraId="4ACC9149" w14:textId="77777777" w:rsidR="00790A0D" w:rsidRPr="00DD47DF" w:rsidRDefault="00790A0D" w:rsidP="006D2F5F">
            <w:pPr>
              <w:pStyle w:val="Tabulka"/>
              <w:jc w:val="left"/>
              <w:rPr>
                <w:rStyle w:val="Hypertextovodkaz"/>
                <w:rFonts w:cs="Calibri"/>
              </w:rPr>
            </w:pPr>
          </w:p>
          <w:p w14:paraId="24EE73FD" w14:textId="77777777" w:rsidR="00790A0D" w:rsidRPr="00DD47DF" w:rsidRDefault="00580034" w:rsidP="006D2F5F">
            <w:pPr>
              <w:pStyle w:val="Tabulka"/>
              <w:jc w:val="left"/>
              <w:rPr>
                <w:rFonts w:cs="Calibri"/>
              </w:rPr>
            </w:pPr>
            <w:hyperlink r:id="rId59" w:history="1">
              <w:r w:rsidR="00790A0D" w:rsidRPr="00DD47DF">
                <w:rPr>
                  <w:rStyle w:val="Hypertextovodkaz"/>
                </w:rPr>
                <w:t>http://www.vlada.cz/cz/ppov/zmocnenec-vlady-pro-lidska-prava/organizace-sekce-lp/organizace-sekce-lidskych-prav-107606/</w:t>
              </w:r>
            </w:hyperlink>
          </w:p>
        </w:tc>
        <w:tc>
          <w:tcPr>
            <w:tcW w:w="4394" w:type="dxa"/>
            <w:shd w:val="clear" w:color="auto" w:fill="auto"/>
          </w:tcPr>
          <w:p w14:paraId="6AE47BE9" w14:textId="77777777" w:rsidR="00CE492D" w:rsidRPr="00DD47DF" w:rsidRDefault="00CE492D" w:rsidP="006D2F5F">
            <w:pPr>
              <w:pStyle w:val="Tabulka"/>
              <w:jc w:val="left"/>
              <w:rPr>
                <w:rFonts w:cs="Calibri"/>
              </w:rPr>
            </w:pPr>
            <w:r w:rsidRPr="00DD47DF">
              <w:rPr>
                <w:rFonts w:cs="Calibri"/>
              </w:rPr>
              <w:t>Gestor PP: plnění ANO</w:t>
            </w:r>
          </w:p>
          <w:p w14:paraId="5A729307" w14:textId="77777777" w:rsidR="00CE492D" w:rsidRPr="00DD47DF" w:rsidRDefault="00CE492D" w:rsidP="00CE492D">
            <w:pPr>
              <w:spacing w:before="80" w:after="80"/>
              <w:rPr>
                <w:sz w:val="22"/>
                <w:szCs w:val="22"/>
              </w:rPr>
            </w:pPr>
            <w:r w:rsidRPr="00DD47DF">
              <w:rPr>
                <w:sz w:val="22"/>
                <w:szCs w:val="22"/>
              </w:rPr>
              <w:t>Úkoly vztahující se k  předběžné podmínce „Existence administrativní kapacity pro implementaci a aplikaci evropského antidiskriminačního práva a politiky v oblasti ESI fondů zajišťuje Úřad vlády.</w:t>
            </w:r>
          </w:p>
          <w:p w14:paraId="787F5745" w14:textId="77777777" w:rsidR="00570E7E" w:rsidRPr="00DD47DF" w:rsidRDefault="00570E7E" w:rsidP="00CE492D">
            <w:pPr>
              <w:spacing w:before="80" w:after="80"/>
              <w:rPr>
                <w:sz w:val="22"/>
                <w:szCs w:val="22"/>
              </w:rPr>
            </w:pPr>
            <w:r w:rsidRPr="00DD47DF">
              <w:rPr>
                <w:sz w:val="22"/>
                <w:szCs w:val="22"/>
              </w:rPr>
              <w:t>ŘO: plnění ANO</w:t>
            </w:r>
          </w:p>
          <w:p w14:paraId="4843E934" w14:textId="77777777" w:rsidR="00790A0D" w:rsidRPr="00DD47DF" w:rsidRDefault="00790A0D" w:rsidP="006D2F5F">
            <w:pPr>
              <w:pStyle w:val="Tabulka"/>
              <w:jc w:val="left"/>
              <w:rPr>
                <w:rFonts w:cs="Calibri"/>
              </w:rPr>
            </w:pPr>
            <w:r w:rsidRPr="00DD47DF">
              <w:rPr>
                <w:rFonts w:cs="Calibri"/>
              </w:rPr>
              <w:t xml:space="preserve">V rámci agendy nediskriminace je kontaktní osobou, zabývající se implementací a aplikací antidiskriminačního práva, která je zároveň odpovědná za koordinací aktivit a spolupráci s Úřadem vlády a MPSV, komunikační úředník OP PIK. Ve fázi implementace operačního programu bude také zajištěna účast zástupce gestora (ÚV ČR – Sekce pro lidská práva) v Monitorovacím výboru OP PIK. </w:t>
            </w:r>
          </w:p>
          <w:p w14:paraId="70564289" w14:textId="77777777" w:rsidR="00790A0D" w:rsidRPr="00DD47DF" w:rsidRDefault="00790A0D" w:rsidP="000D5493">
            <w:pPr>
              <w:pStyle w:val="Tabulka"/>
              <w:jc w:val="left"/>
              <w:rPr>
                <w:rFonts w:cs="Calibri"/>
              </w:rPr>
            </w:pPr>
            <w:r w:rsidRPr="00DD47DF">
              <w:rPr>
                <w:rFonts w:cs="Calibri"/>
              </w:rPr>
              <w:t>Specifické naplňování na národní úrovni je uvedeno v rámci Dohody o partnerství</w:t>
            </w:r>
            <w:r w:rsidR="000D5493" w:rsidRPr="00DD47DF">
              <w:rPr>
                <w:rFonts w:cs="Calibri"/>
              </w:rPr>
              <w:t xml:space="preserve"> – viz Příloha II</w:t>
            </w:r>
            <w:r w:rsidRPr="00DD47DF">
              <w:rPr>
                <w:rFonts w:cs="Calibri"/>
              </w:rPr>
              <w:t>.</w:t>
            </w:r>
          </w:p>
        </w:tc>
      </w:tr>
      <w:tr w:rsidR="00790A0D" w:rsidRPr="00DD47DF" w14:paraId="7D730CCE" w14:textId="77777777" w:rsidTr="006D2F5F">
        <w:tc>
          <w:tcPr>
            <w:tcW w:w="1752" w:type="dxa"/>
            <w:vMerge/>
            <w:shd w:val="clear" w:color="auto" w:fill="auto"/>
          </w:tcPr>
          <w:p w14:paraId="0D20CA59" w14:textId="77777777" w:rsidR="00790A0D" w:rsidRPr="00DD47DF" w:rsidRDefault="00790A0D" w:rsidP="006D2F5F">
            <w:pPr>
              <w:pStyle w:val="Tabulka"/>
              <w:jc w:val="left"/>
              <w:rPr>
                <w:rFonts w:cs="Calibri"/>
                <w:b/>
              </w:rPr>
            </w:pPr>
          </w:p>
        </w:tc>
        <w:tc>
          <w:tcPr>
            <w:tcW w:w="1701" w:type="dxa"/>
            <w:vMerge/>
            <w:shd w:val="clear" w:color="auto" w:fill="auto"/>
          </w:tcPr>
          <w:p w14:paraId="3DFF7087" w14:textId="77777777" w:rsidR="00790A0D" w:rsidRPr="00DD47DF" w:rsidRDefault="00790A0D" w:rsidP="006D2F5F">
            <w:pPr>
              <w:pStyle w:val="Tabulka"/>
              <w:jc w:val="left"/>
              <w:rPr>
                <w:rFonts w:cs="Calibri"/>
              </w:rPr>
            </w:pPr>
          </w:p>
        </w:tc>
        <w:tc>
          <w:tcPr>
            <w:tcW w:w="1276" w:type="dxa"/>
            <w:vMerge/>
            <w:shd w:val="clear" w:color="auto" w:fill="auto"/>
          </w:tcPr>
          <w:p w14:paraId="0B8CCDBA" w14:textId="77777777" w:rsidR="00790A0D" w:rsidRPr="00DD47DF" w:rsidRDefault="00790A0D" w:rsidP="006D2F5F">
            <w:pPr>
              <w:pStyle w:val="Tabulka"/>
              <w:jc w:val="left"/>
              <w:rPr>
                <w:rFonts w:cs="Calibri"/>
              </w:rPr>
            </w:pPr>
          </w:p>
        </w:tc>
        <w:tc>
          <w:tcPr>
            <w:tcW w:w="1843" w:type="dxa"/>
            <w:shd w:val="clear" w:color="auto" w:fill="auto"/>
          </w:tcPr>
          <w:p w14:paraId="33BD1484" w14:textId="77777777" w:rsidR="00790A0D" w:rsidRPr="00DD47DF" w:rsidRDefault="00790A0D" w:rsidP="006D2F5F">
            <w:pPr>
              <w:pStyle w:val="Tabulka"/>
              <w:jc w:val="left"/>
              <w:rPr>
                <w:rFonts w:cs="Calibri"/>
              </w:rPr>
            </w:pPr>
            <w:r w:rsidRPr="00DD47DF">
              <w:rPr>
                <w:rFonts w:cs="Calibri"/>
              </w:rPr>
              <w:t xml:space="preserve">Opatření za účelem vzdělávání zaměstnanců orgánů zapojených do řízení a kontroly fondů ESI v oblasti právních předpisů a politiky Unie proti diskriminaci </w:t>
            </w:r>
          </w:p>
        </w:tc>
        <w:tc>
          <w:tcPr>
            <w:tcW w:w="1134" w:type="dxa"/>
            <w:shd w:val="clear" w:color="auto" w:fill="auto"/>
          </w:tcPr>
          <w:p w14:paraId="77C8CB6A"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D309BF0" w14:textId="77777777" w:rsidR="00790A0D" w:rsidRPr="00DD47DF" w:rsidRDefault="00580034" w:rsidP="006D2F5F">
            <w:pPr>
              <w:pStyle w:val="Tabulka"/>
              <w:jc w:val="left"/>
              <w:rPr>
                <w:rFonts w:cs="Calibri"/>
              </w:rPr>
            </w:pPr>
            <w:hyperlink r:id="rId60" w:history="1">
              <w:r w:rsidR="00790A0D" w:rsidRPr="00DD47DF">
                <w:rPr>
                  <w:rStyle w:val="Hypertextovodkaz"/>
                </w:rPr>
                <w:t>http://www.strukturalni-fondy.cz/cs/Fondy-EU/2014-2020/Metodicke-pokyny/Metodika-rozvoje-lidskych-zdroju</w:t>
              </w:r>
            </w:hyperlink>
          </w:p>
        </w:tc>
        <w:tc>
          <w:tcPr>
            <w:tcW w:w="4394" w:type="dxa"/>
            <w:shd w:val="clear" w:color="auto" w:fill="auto"/>
          </w:tcPr>
          <w:p w14:paraId="7CDB3EE5" w14:textId="77777777" w:rsidR="00570E7E" w:rsidRPr="00DD47DF" w:rsidRDefault="00570E7E" w:rsidP="006D2F5F">
            <w:pPr>
              <w:pStyle w:val="Tabulka"/>
              <w:jc w:val="left"/>
              <w:rPr>
                <w:rFonts w:cs="Calibri"/>
              </w:rPr>
            </w:pPr>
            <w:r w:rsidRPr="00DD47DF">
              <w:rPr>
                <w:rFonts w:cs="Calibri"/>
              </w:rPr>
              <w:t>Gestor PP: Plnění ANO</w:t>
            </w:r>
          </w:p>
          <w:p w14:paraId="0208C903" w14:textId="77777777" w:rsidR="00570E7E" w:rsidRPr="00DD47DF" w:rsidRDefault="00790A0D" w:rsidP="00570E7E">
            <w:pPr>
              <w:pStyle w:val="DAVA"/>
              <w:spacing w:before="80" w:after="80"/>
              <w:rPr>
                <w:rFonts w:ascii="Times New Roman" w:hAnsi="Times New Roman"/>
                <w:color w:val="000000"/>
                <w:sz w:val="22"/>
                <w:szCs w:val="22"/>
                <w:lang w:eastAsia="cs-CZ"/>
              </w:rPr>
            </w:pPr>
            <w:r w:rsidRPr="00DD47DF">
              <w:rPr>
                <w:rFonts w:ascii="Times New Roman" w:hAnsi="Times New Roman"/>
                <w:sz w:val="22"/>
                <w:szCs w:val="22"/>
              </w:rPr>
              <w:t>Ve spolupráci ÚV ČR a veřejného ochránce práv byly připraveny programy školení relevantních zaměstnanců k tématu rovného zacházení a zákazu diskriminace.</w:t>
            </w:r>
            <w:r w:rsidRPr="00DD47DF">
              <w:rPr>
                <w:rFonts w:cs="Calibri"/>
                <w:sz w:val="22"/>
                <w:szCs w:val="22"/>
              </w:rPr>
              <w:t xml:space="preserve"> </w:t>
            </w:r>
            <w:r w:rsidR="00570E7E" w:rsidRPr="00DD47DF">
              <w:rPr>
                <w:rFonts w:ascii="Times New Roman" w:hAnsi="Times New Roman"/>
                <w:sz w:val="22"/>
                <w:szCs w:val="22"/>
                <w:lang w:eastAsia="cs-CZ"/>
              </w:rPr>
              <w:t xml:space="preserve">Plnění tohoto kritéria již probíhá a bude probíhat průběžně po celou dobu programového období. </w:t>
            </w:r>
            <w:r w:rsidRPr="00DD47DF">
              <w:rPr>
                <w:rFonts w:ascii="Times New Roman" w:hAnsi="Times New Roman"/>
                <w:sz w:val="22"/>
                <w:szCs w:val="22"/>
              </w:rPr>
              <w:t xml:space="preserve">MMR-NOK zajišťuje na horizontální úrovni proškolení zaměstnanců implementujících fondy EU v rámci Systému vzdělávání. </w:t>
            </w:r>
            <w:r w:rsidR="00570E7E" w:rsidRPr="00DD47DF">
              <w:rPr>
                <w:rFonts w:ascii="Times New Roman" w:hAnsi="Times New Roman"/>
                <w:color w:val="000000"/>
                <w:sz w:val="22"/>
                <w:szCs w:val="22"/>
                <w:lang w:eastAsia="cs-CZ"/>
              </w:rPr>
              <w:t>Sekce pro lidská práva ÚV zajišťuje obsahovou náplň vzdělávání a lektorské zajištění.</w:t>
            </w:r>
          </w:p>
          <w:p w14:paraId="26142845" w14:textId="77777777" w:rsidR="00570E7E" w:rsidRPr="00DD47DF" w:rsidRDefault="00570E7E" w:rsidP="00570E7E">
            <w:pPr>
              <w:pStyle w:val="DAVA"/>
              <w:spacing w:before="80" w:after="80"/>
              <w:rPr>
                <w:rFonts w:ascii="Times New Roman" w:hAnsi="Times New Roman"/>
                <w:sz w:val="22"/>
                <w:szCs w:val="22"/>
                <w:lang w:eastAsia="cs-CZ"/>
              </w:rPr>
            </w:pPr>
            <w:r w:rsidRPr="00DD47DF">
              <w:rPr>
                <w:rFonts w:ascii="Times New Roman" w:hAnsi="Times New Roman"/>
                <w:color w:val="000000"/>
                <w:sz w:val="22"/>
                <w:szCs w:val="22"/>
                <w:lang w:eastAsia="cs-CZ"/>
              </w:rPr>
              <w:t>ŘO: Plnění ANO</w:t>
            </w:r>
          </w:p>
          <w:p w14:paraId="6E59B10A" w14:textId="77777777" w:rsidR="00790A0D" w:rsidRPr="00DD47DF" w:rsidRDefault="00790A0D" w:rsidP="006D2F5F">
            <w:pPr>
              <w:pStyle w:val="Tabulka"/>
              <w:jc w:val="left"/>
              <w:rPr>
                <w:rFonts w:cs="Calibri"/>
              </w:rPr>
            </w:pPr>
            <w:r w:rsidRPr="00DD47DF">
              <w:rPr>
                <w:rFonts w:cs="Calibri"/>
              </w:rPr>
              <w:t>Zaměstnanci ŘO OP PIK jsou zapojeni do Systému vzdělávání a účastní se průběžně a dle potřeby příslušných školení s problematikou nediskriminace a rovného zacházení.</w:t>
            </w:r>
          </w:p>
          <w:p w14:paraId="01E9B28A" w14:textId="77777777" w:rsidR="00790A0D" w:rsidRPr="00DD47DF" w:rsidRDefault="00790A0D" w:rsidP="000D5493">
            <w:pPr>
              <w:pStyle w:val="Tabulka"/>
              <w:jc w:val="left"/>
              <w:rPr>
                <w:rFonts w:cs="Calibri"/>
              </w:rPr>
            </w:pPr>
            <w:r w:rsidRPr="00DD47DF">
              <w:rPr>
                <w:rFonts w:cs="Calibri"/>
              </w:rPr>
              <w:t>Specifické naplňování na národní úrovni je uvedeno v rámci Dohody o partnerství</w:t>
            </w:r>
            <w:r w:rsidR="000D5493" w:rsidRPr="00DD47DF">
              <w:rPr>
                <w:rFonts w:cs="Calibri"/>
              </w:rPr>
              <w:t xml:space="preserve"> – viz Příloha II</w:t>
            </w:r>
            <w:r w:rsidRPr="00DD47DF">
              <w:rPr>
                <w:rFonts w:cs="Calibri"/>
              </w:rPr>
              <w:t>.</w:t>
            </w:r>
          </w:p>
        </w:tc>
      </w:tr>
      <w:tr w:rsidR="00790A0D" w:rsidRPr="00DD47DF" w14:paraId="3AA75771" w14:textId="77777777" w:rsidTr="006D2F5F">
        <w:tc>
          <w:tcPr>
            <w:tcW w:w="1752" w:type="dxa"/>
            <w:vMerge w:val="restart"/>
            <w:shd w:val="clear" w:color="auto" w:fill="auto"/>
          </w:tcPr>
          <w:p w14:paraId="41BF2F47" w14:textId="77777777" w:rsidR="00790A0D" w:rsidRPr="00DD47DF" w:rsidRDefault="00790A0D" w:rsidP="006D2F5F">
            <w:pPr>
              <w:pStyle w:val="Tabulka"/>
              <w:jc w:val="left"/>
              <w:rPr>
                <w:rFonts w:cs="Calibri"/>
                <w:b/>
              </w:rPr>
            </w:pPr>
            <w:r w:rsidRPr="00DD47DF">
              <w:rPr>
                <w:rFonts w:cs="Calibri"/>
                <w:b/>
              </w:rPr>
              <w:t xml:space="preserve">Existence administrativní kapacity pro provádění a uplatňování právních předpisů a politiky Unie v oblasti rovnosti mezi ženami a muži v případě </w:t>
            </w:r>
            <w:r w:rsidRPr="00DD47DF">
              <w:rPr>
                <w:rFonts w:cs="Calibri"/>
                <w:b/>
              </w:rPr>
              <w:lastRenderedPageBreak/>
              <w:t>fondů ESI</w:t>
            </w:r>
          </w:p>
        </w:tc>
        <w:tc>
          <w:tcPr>
            <w:tcW w:w="1701" w:type="dxa"/>
            <w:vMerge w:val="restart"/>
            <w:shd w:val="clear" w:color="auto" w:fill="auto"/>
          </w:tcPr>
          <w:p w14:paraId="5E858BAF" w14:textId="77777777" w:rsidR="00790A0D" w:rsidRPr="00DD47DF" w:rsidRDefault="00790A0D" w:rsidP="006D2F5F">
            <w:pPr>
              <w:pStyle w:val="Tabulka"/>
              <w:jc w:val="left"/>
              <w:rPr>
                <w:rFonts w:cs="Calibri"/>
              </w:rPr>
            </w:pPr>
            <w:r w:rsidRPr="00DD47DF">
              <w:rPr>
                <w:rFonts w:cs="Calibri"/>
              </w:rPr>
              <w:lastRenderedPageBreak/>
              <w:t>Všechny prioritní osy OP PIK</w:t>
            </w:r>
          </w:p>
        </w:tc>
        <w:tc>
          <w:tcPr>
            <w:tcW w:w="1276" w:type="dxa"/>
            <w:vMerge w:val="restart"/>
            <w:shd w:val="clear" w:color="auto" w:fill="auto"/>
          </w:tcPr>
          <w:p w14:paraId="444CB10F" w14:textId="77777777" w:rsidR="00790A0D" w:rsidRPr="00DD47DF" w:rsidRDefault="00790A0D" w:rsidP="006D2F5F">
            <w:pPr>
              <w:pStyle w:val="Tabulka"/>
              <w:jc w:val="left"/>
              <w:rPr>
                <w:rFonts w:cs="Calibri"/>
              </w:rPr>
            </w:pPr>
            <w:r w:rsidRPr="00DD47DF">
              <w:rPr>
                <w:rFonts w:cs="Calibri"/>
              </w:rPr>
              <w:t>Ano</w:t>
            </w:r>
          </w:p>
          <w:p w14:paraId="4D316949" w14:textId="77777777" w:rsidR="00790A0D" w:rsidRPr="00DD47DF" w:rsidRDefault="00790A0D" w:rsidP="006D2F5F">
            <w:pPr>
              <w:pStyle w:val="Tabulka"/>
              <w:jc w:val="left"/>
              <w:rPr>
                <w:rFonts w:cs="Calibri"/>
              </w:rPr>
            </w:pPr>
          </w:p>
        </w:tc>
        <w:tc>
          <w:tcPr>
            <w:tcW w:w="1843" w:type="dxa"/>
            <w:shd w:val="clear" w:color="auto" w:fill="auto"/>
          </w:tcPr>
          <w:p w14:paraId="7BA0F161" w14:textId="77777777" w:rsidR="00790A0D" w:rsidRPr="00DD47DF" w:rsidRDefault="00790A0D" w:rsidP="006D2F5F">
            <w:pPr>
              <w:pStyle w:val="Tabulka"/>
              <w:jc w:val="left"/>
              <w:rPr>
                <w:rFonts w:cs="Calibri"/>
              </w:rPr>
            </w:pPr>
            <w:r w:rsidRPr="00DD47DF">
              <w:rPr>
                <w:rFonts w:cs="Calibri"/>
              </w:rPr>
              <w:t xml:space="preserve">Ustanovení v souladu s institucionálním a právním rámcem členských států za účelem zapojení subjektů odpovědných za rovnost mezi ženami a muži v rámci přípravy a </w:t>
            </w:r>
            <w:r w:rsidRPr="00DD47DF">
              <w:rPr>
                <w:rFonts w:cs="Calibri"/>
              </w:rPr>
              <w:lastRenderedPageBreak/>
              <w:t>provádění programů, včetně poskytování poradenství v otázkách rovnosti mezi ženami a muži v rámci činností týkajících se fondů ESI;</w:t>
            </w:r>
          </w:p>
        </w:tc>
        <w:tc>
          <w:tcPr>
            <w:tcW w:w="1134" w:type="dxa"/>
            <w:shd w:val="clear" w:color="auto" w:fill="auto"/>
          </w:tcPr>
          <w:p w14:paraId="68590A9A"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3AF8933B" w14:textId="77777777" w:rsidR="00790A0D" w:rsidRPr="00DD47DF" w:rsidRDefault="00580034" w:rsidP="006D2F5F">
            <w:pPr>
              <w:pStyle w:val="Tabulka"/>
              <w:jc w:val="left"/>
              <w:rPr>
                <w:rStyle w:val="Hypertextovodkaz"/>
                <w:rFonts w:cs="Calibri"/>
              </w:rPr>
            </w:pPr>
            <w:hyperlink r:id="rId61" w:history="1">
              <w:r w:rsidR="00790A0D" w:rsidRPr="00DD47DF">
                <w:rPr>
                  <w:rStyle w:val="Hypertextovodkaz"/>
                  <w:rFonts w:cs="Calibri"/>
                </w:rPr>
                <w:t>http://www.ochrance.cz/en/discrimination/</w:t>
              </w:r>
            </w:hyperlink>
          </w:p>
          <w:p w14:paraId="6D351DBD" w14:textId="77777777" w:rsidR="00790A0D" w:rsidRPr="00DD47DF" w:rsidRDefault="00790A0D" w:rsidP="006D2F5F">
            <w:pPr>
              <w:pStyle w:val="Tabulka"/>
              <w:jc w:val="left"/>
              <w:rPr>
                <w:rStyle w:val="Hypertextovodkaz"/>
                <w:rFonts w:cs="Calibri"/>
              </w:rPr>
            </w:pPr>
          </w:p>
          <w:p w14:paraId="29C2DDAA" w14:textId="77777777" w:rsidR="00790A0D" w:rsidRPr="00DD47DF" w:rsidRDefault="00580034" w:rsidP="006D2F5F">
            <w:pPr>
              <w:pStyle w:val="Tabulka"/>
              <w:jc w:val="left"/>
              <w:rPr>
                <w:rFonts w:cs="Calibri"/>
              </w:rPr>
            </w:pPr>
            <w:hyperlink r:id="rId62" w:history="1">
              <w:r w:rsidR="00790A0D" w:rsidRPr="00DD47DF">
                <w:rPr>
                  <w:rStyle w:val="Hypertextovodkaz"/>
                  <w:rFonts w:cs="Calibri"/>
                </w:rPr>
                <w:t>http://www.mpsv.cz/cs/12152</w:t>
              </w:r>
            </w:hyperlink>
          </w:p>
        </w:tc>
        <w:tc>
          <w:tcPr>
            <w:tcW w:w="4394" w:type="dxa"/>
            <w:shd w:val="clear" w:color="auto" w:fill="auto"/>
          </w:tcPr>
          <w:p w14:paraId="33BE7BEE" w14:textId="77777777" w:rsidR="00570E7E" w:rsidRPr="00DD47DF" w:rsidRDefault="00570E7E" w:rsidP="006D2F5F">
            <w:pPr>
              <w:pStyle w:val="Tabulka"/>
              <w:jc w:val="left"/>
              <w:rPr>
                <w:rFonts w:cs="Calibri"/>
              </w:rPr>
            </w:pPr>
            <w:r w:rsidRPr="00DD47DF">
              <w:rPr>
                <w:rFonts w:cs="Calibri"/>
              </w:rPr>
              <w:t>Gestor PP: Plnění ANO</w:t>
            </w:r>
          </w:p>
          <w:p w14:paraId="2DA523A4" w14:textId="77777777" w:rsidR="00D709F2" w:rsidRPr="00DD47DF" w:rsidRDefault="00570E7E" w:rsidP="006D2F5F">
            <w:pPr>
              <w:pStyle w:val="Tabulka"/>
              <w:jc w:val="left"/>
              <w:rPr>
                <w:color w:val="000000"/>
              </w:rPr>
            </w:pPr>
            <w:r w:rsidRPr="00DD47DF">
              <w:rPr>
                <w:color w:val="000000"/>
              </w:rPr>
              <w:t xml:space="preserve">Úkoly vztahující se k použitelné předběžné podmínce zajištuje </w:t>
            </w:r>
            <w:r w:rsidRPr="00DD47DF">
              <w:t xml:space="preserve"> </w:t>
            </w:r>
            <w:r w:rsidRPr="00DD47DF">
              <w:rPr>
                <w:color w:val="000000"/>
              </w:rPr>
              <w:t>Úřad vlády jakožto vnitrostátní koordinátor agendy rovných příležitostí žen a mužů, spolu s určenými kontaktními pracovníky ŘO jednotlivých ESI fondů.</w:t>
            </w:r>
          </w:p>
          <w:p w14:paraId="33551DAD" w14:textId="77777777" w:rsidR="00570E7E" w:rsidRPr="00DD47DF" w:rsidRDefault="00570E7E" w:rsidP="006D2F5F">
            <w:pPr>
              <w:pStyle w:val="Tabulka"/>
              <w:jc w:val="left"/>
              <w:rPr>
                <w:rFonts w:cs="Calibri"/>
              </w:rPr>
            </w:pPr>
            <w:r w:rsidRPr="00DD47DF">
              <w:rPr>
                <w:rFonts w:cs="Calibri"/>
              </w:rPr>
              <w:t>ŘO: Plnění ANO</w:t>
            </w:r>
          </w:p>
          <w:p w14:paraId="63603A2E" w14:textId="6F2017EE" w:rsidR="00790A0D" w:rsidRPr="00DD47DF" w:rsidRDefault="00790A0D" w:rsidP="006D2F5F">
            <w:pPr>
              <w:pStyle w:val="Tabulka"/>
              <w:jc w:val="left"/>
              <w:rPr>
                <w:rFonts w:cs="Calibri"/>
              </w:rPr>
            </w:pPr>
            <w:r w:rsidRPr="00DD47DF">
              <w:rPr>
                <w:rFonts w:cs="Calibri"/>
              </w:rPr>
              <w:t xml:space="preserve">V OPPIK bude zajištěno, aby podpořené projekty přispívaly k naplňování principu </w:t>
            </w:r>
            <w:r w:rsidRPr="00DD47DF">
              <w:rPr>
                <w:rFonts w:cs="Calibri"/>
              </w:rPr>
              <w:lastRenderedPageBreak/>
              <w:t>rovnosti žen a mužů u relevantních intervencí. V OPPIK budou mít ke všem programům podpory stejný přístup ženy i muži</w:t>
            </w:r>
            <w:r w:rsidR="00D93B75" w:rsidRPr="00DD47DF">
              <w:rPr>
                <w:rFonts w:cs="Calibri"/>
              </w:rPr>
              <w:t>.</w:t>
            </w:r>
            <w:r w:rsidRPr="00DD47DF">
              <w:rPr>
                <w:rFonts w:cs="Calibri"/>
              </w:rPr>
              <w:t xml:space="preserve"> </w:t>
            </w:r>
            <w:r w:rsidR="00D93B75" w:rsidRPr="00DD47DF">
              <w:rPr>
                <w:rFonts w:cs="Calibri"/>
              </w:rPr>
              <w:t>P</w:t>
            </w:r>
            <w:r w:rsidRPr="00DD47DF">
              <w:rPr>
                <w:rFonts w:cs="Calibri"/>
              </w:rPr>
              <w:t xml:space="preserve">rincip rovnosti žen a mužů bude zahrnut do výběrových kritérií subprogramů podpory. V případě, že </w:t>
            </w:r>
            <w:r w:rsidR="00BA68C1">
              <w:rPr>
                <w:rFonts w:cs="Calibri"/>
              </w:rPr>
              <w:t>výběrová</w:t>
            </w:r>
            <w:r w:rsidR="00BA68C1" w:rsidRPr="00DD47DF">
              <w:rPr>
                <w:rFonts w:cs="Calibri"/>
              </w:rPr>
              <w:t xml:space="preserve"> </w:t>
            </w:r>
            <w:r w:rsidRPr="00DD47DF">
              <w:rPr>
                <w:rFonts w:cs="Calibri"/>
              </w:rPr>
              <w:t xml:space="preserve">komise shledá, že projekt nebude projekt podpořen. Aktivity v PO 5 – Technická pomoc budou přístupné všem, bez rozdílu pohlaví. Rovnost mužů a žen bude zajištěna také ve složení Monitorovacího výboru. </w:t>
            </w:r>
            <w:r w:rsidR="00D93B75" w:rsidRPr="00DD47DF">
              <w:rPr>
                <w:rFonts w:cs="Calibri"/>
              </w:rPr>
              <w:t>Ko</w:t>
            </w:r>
            <w:r w:rsidRPr="00DD47DF">
              <w:rPr>
                <w:rFonts w:cs="Calibri"/>
              </w:rPr>
              <w:t>ntaktní osobou, zabývající se implementací a aplikaci práva rovnosti žen a mužů, která je zároveň odpovědná za koordinaci aktivit a spolupráci s</w:t>
            </w:r>
            <w:r w:rsidR="00D93B75" w:rsidRPr="00DD47DF">
              <w:rPr>
                <w:rFonts w:cs="Calibri"/>
              </w:rPr>
              <w:t>  ÚV ČR</w:t>
            </w:r>
            <w:r w:rsidRPr="00DD47DF">
              <w:rPr>
                <w:rFonts w:cs="Calibri"/>
              </w:rPr>
              <w:t>, komunikační úředník.</w:t>
            </w:r>
          </w:p>
          <w:p w14:paraId="7DA4E9B9" w14:textId="77777777" w:rsidR="00790A0D" w:rsidRPr="00DD47DF" w:rsidRDefault="00790A0D" w:rsidP="002A5257">
            <w:pPr>
              <w:pStyle w:val="Tabulka"/>
              <w:jc w:val="left"/>
              <w:rPr>
                <w:rFonts w:cs="Calibri"/>
              </w:rPr>
            </w:pPr>
            <w:r w:rsidRPr="00DD47DF">
              <w:rPr>
                <w:rFonts w:cs="Calibri"/>
              </w:rPr>
              <w:t xml:space="preserve">Specifické naplňování na národní úrovni </w:t>
            </w:r>
            <w:r w:rsidR="002A5257" w:rsidRPr="00DD47DF">
              <w:rPr>
                <w:rFonts w:cs="Calibri"/>
              </w:rPr>
              <w:t xml:space="preserve"> - viz Příloha II.</w:t>
            </w:r>
          </w:p>
        </w:tc>
      </w:tr>
      <w:tr w:rsidR="00790A0D" w:rsidRPr="00DD47DF" w14:paraId="4B36422D" w14:textId="77777777" w:rsidTr="006D2F5F">
        <w:tc>
          <w:tcPr>
            <w:tcW w:w="1752" w:type="dxa"/>
            <w:vMerge/>
            <w:shd w:val="clear" w:color="auto" w:fill="auto"/>
          </w:tcPr>
          <w:p w14:paraId="40D25FFE" w14:textId="77777777" w:rsidR="00790A0D" w:rsidRPr="00DD47DF" w:rsidRDefault="00790A0D" w:rsidP="006D2F5F">
            <w:pPr>
              <w:pStyle w:val="Tabulka"/>
              <w:jc w:val="left"/>
              <w:rPr>
                <w:rFonts w:cs="Calibri"/>
                <w:b/>
              </w:rPr>
            </w:pPr>
          </w:p>
        </w:tc>
        <w:tc>
          <w:tcPr>
            <w:tcW w:w="1701" w:type="dxa"/>
            <w:vMerge/>
            <w:shd w:val="clear" w:color="auto" w:fill="auto"/>
          </w:tcPr>
          <w:p w14:paraId="61B97A39" w14:textId="77777777" w:rsidR="00790A0D" w:rsidRPr="00DD47DF" w:rsidRDefault="00790A0D" w:rsidP="006D2F5F">
            <w:pPr>
              <w:pStyle w:val="Tabulka"/>
              <w:jc w:val="left"/>
              <w:rPr>
                <w:rFonts w:cs="Calibri"/>
              </w:rPr>
            </w:pPr>
          </w:p>
        </w:tc>
        <w:tc>
          <w:tcPr>
            <w:tcW w:w="1276" w:type="dxa"/>
            <w:vMerge/>
            <w:shd w:val="clear" w:color="auto" w:fill="auto"/>
          </w:tcPr>
          <w:p w14:paraId="2392CC94" w14:textId="77777777" w:rsidR="00790A0D" w:rsidRPr="00DD47DF" w:rsidRDefault="00790A0D" w:rsidP="006D2F5F">
            <w:pPr>
              <w:pStyle w:val="Tabulka"/>
              <w:jc w:val="left"/>
              <w:rPr>
                <w:rFonts w:cs="Calibri"/>
              </w:rPr>
            </w:pPr>
          </w:p>
        </w:tc>
        <w:tc>
          <w:tcPr>
            <w:tcW w:w="1843" w:type="dxa"/>
            <w:shd w:val="clear" w:color="auto" w:fill="auto"/>
          </w:tcPr>
          <w:p w14:paraId="51BF0482" w14:textId="77777777" w:rsidR="00790A0D" w:rsidRPr="00DD47DF" w:rsidRDefault="00790A0D" w:rsidP="006D2F5F">
            <w:pPr>
              <w:pStyle w:val="Tabulka"/>
              <w:jc w:val="left"/>
              <w:rPr>
                <w:rFonts w:cs="Calibri"/>
              </w:rPr>
            </w:pPr>
            <w:r w:rsidRPr="00DD47DF">
              <w:rPr>
                <w:rFonts w:cs="Calibri"/>
              </w:rPr>
              <w:t>Opatření za účelem vzdělávání zaměstnanců orgánů zapojených do řízení a kontroly fondů ESI v oblasti právních předpisů a politiky Unie týkajících se rovnosti mezi ženami a muži a zohledňování rovnosti mezi ženami a muži.</w:t>
            </w:r>
          </w:p>
        </w:tc>
        <w:tc>
          <w:tcPr>
            <w:tcW w:w="1134" w:type="dxa"/>
            <w:shd w:val="clear" w:color="auto" w:fill="auto"/>
          </w:tcPr>
          <w:p w14:paraId="281CD8A7"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75B047F2" w14:textId="77777777" w:rsidR="00790A0D" w:rsidRPr="00DD47DF" w:rsidRDefault="00580034" w:rsidP="006D2F5F">
            <w:pPr>
              <w:pStyle w:val="Tabulka"/>
              <w:jc w:val="left"/>
              <w:rPr>
                <w:rFonts w:cs="Calibri"/>
              </w:rPr>
            </w:pPr>
            <w:hyperlink r:id="rId63" w:history="1">
              <w:r w:rsidR="00790A0D" w:rsidRPr="00DD47DF">
                <w:rPr>
                  <w:rStyle w:val="Hypertextovodkaz"/>
                </w:rPr>
                <w:t>http://www.strukturalni-fondy.cz/cs/Fondy-EU/2014-2020/Metodicke-pokyny/Metodika-rozvoje-lidskych-zdroju</w:t>
              </w:r>
            </w:hyperlink>
          </w:p>
        </w:tc>
        <w:tc>
          <w:tcPr>
            <w:tcW w:w="4394" w:type="dxa"/>
            <w:shd w:val="clear" w:color="auto" w:fill="auto"/>
          </w:tcPr>
          <w:p w14:paraId="06C5017C" w14:textId="77777777" w:rsidR="00C50130" w:rsidRPr="00DD47DF" w:rsidRDefault="00C50130" w:rsidP="006D2F5F">
            <w:pPr>
              <w:pStyle w:val="Tabulka"/>
              <w:jc w:val="left"/>
              <w:rPr>
                <w:rFonts w:cs="Calibri"/>
              </w:rPr>
            </w:pPr>
            <w:r w:rsidRPr="00DD47DF">
              <w:rPr>
                <w:rFonts w:cs="Calibri"/>
              </w:rPr>
              <w:t>Gestor PP: Plnění ANO</w:t>
            </w:r>
          </w:p>
          <w:p w14:paraId="4ED69B2F" w14:textId="77777777" w:rsidR="00C50130" w:rsidRPr="00DD47DF" w:rsidRDefault="00790A0D" w:rsidP="00C50130">
            <w:pPr>
              <w:pStyle w:val="Prosttext"/>
              <w:spacing w:before="80" w:after="80"/>
              <w:rPr>
                <w:rFonts w:ascii="Times New Roman" w:hAnsi="Times New Roman"/>
                <w:sz w:val="22"/>
                <w:szCs w:val="22"/>
                <w:lang w:eastAsia="cs-CZ"/>
              </w:rPr>
            </w:pPr>
            <w:r w:rsidRPr="00DD47DF">
              <w:rPr>
                <w:rFonts w:ascii="Times New Roman" w:hAnsi="Times New Roman"/>
                <w:sz w:val="22"/>
                <w:szCs w:val="22"/>
              </w:rPr>
              <w:t>MMR-NOK zajišťuje na horizontální úrovni proškolení zaměstnanců implementujících fondy EU v rámci Systému vzdělávání, Úřad vlády</w:t>
            </w:r>
            <w:r w:rsidR="00C50130" w:rsidRPr="00DD47DF">
              <w:rPr>
                <w:rFonts w:ascii="Times New Roman" w:hAnsi="Times New Roman"/>
                <w:sz w:val="22"/>
                <w:szCs w:val="22"/>
              </w:rPr>
              <w:t xml:space="preserve"> </w:t>
            </w:r>
            <w:r w:rsidRPr="00DD47DF">
              <w:rPr>
                <w:rFonts w:ascii="Times New Roman" w:hAnsi="Times New Roman"/>
                <w:sz w:val="22"/>
                <w:szCs w:val="22"/>
              </w:rPr>
              <w:t>zajišťuje obsahovou náplň vzdělávání a lektorské zajištění.</w:t>
            </w:r>
            <w:r w:rsidR="00C50130" w:rsidRPr="00DD47DF">
              <w:rPr>
                <w:sz w:val="22"/>
                <w:szCs w:val="22"/>
                <w:lang w:eastAsia="cs-CZ"/>
              </w:rPr>
              <w:t xml:space="preserve"> </w:t>
            </w:r>
            <w:r w:rsidR="00C50130" w:rsidRPr="00DD47DF">
              <w:rPr>
                <w:rFonts w:ascii="Times New Roman" w:hAnsi="Times New Roman"/>
                <w:sz w:val="22"/>
                <w:szCs w:val="22"/>
                <w:lang w:eastAsia="cs-CZ"/>
              </w:rPr>
              <w:t xml:space="preserve">Oblast vzdělávání je součástí Metodického pokynu k rozvoji lidských zdrojů v programovém období 2014-2020 a v programovém období 2007-2013 (Usnesení vlády ČR ze dne 16. června 2014 č. 444). </w:t>
            </w:r>
          </w:p>
          <w:p w14:paraId="1A0C2933" w14:textId="77777777" w:rsidR="00790A0D" w:rsidRPr="00DD47DF" w:rsidRDefault="00C50130" w:rsidP="006D2F5F">
            <w:pPr>
              <w:pStyle w:val="Tabulka"/>
              <w:jc w:val="left"/>
              <w:rPr>
                <w:rFonts w:cs="Calibri"/>
              </w:rPr>
            </w:pPr>
            <w:r w:rsidRPr="00DD47DF">
              <w:rPr>
                <w:rFonts w:cs="Calibri"/>
              </w:rPr>
              <w:t>ŘO: Plnění ANO</w:t>
            </w:r>
          </w:p>
          <w:p w14:paraId="5F955C2C" w14:textId="77777777" w:rsidR="00790A0D" w:rsidRPr="00DD47DF" w:rsidRDefault="00790A0D" w:rsidP="006D2F5F">
            <w:pPr>
              <w:pStyle w:val="Tabulka"/>
              <w:jc w:val="left"/>
              <w:rPr>
                <w:rFonts w:cs="Calibri"/>
              </w:rPr>
            </w:pPr>
            <w:r w:rsidRPr="00DD47DF">
              <w:rPr>
                <w:rFonts w:cs="Calibri"/>
              </w:rPr>
              <w:t xml:space="preserve">Zaměstnanci ŘO OP PIK jsou zapojeni do Systému vzdělávání a účastní se průběžně a dle </w:t>
            </w:r>
            <w:r w:rsidRPr="00DD47DF">
              <w:rPr>
                <w:rFonts w:cs="Calibri"/>
              </w:rPr>
              <w:lastRenderedPageBreak/>
              <w:t>potřeby příslušných školení s problematikou rovnosti mezi ženami a muži.</w:t>
            </w:r>
          </w:p>
          <w:p w14:paraId="7FFDEB3B" w14:textId="77777777" w:rsidR="00790A0D" w:rsidRPr="00DD47DF" w:rsidRDefault="00790A0D" w:rsidP="006D2F5F">
            <w:pPr>
              <w:pStyle w:val="Tabulka"/>
              <w:jc w:val="left"/>
              <w:rPr>
                <w:rFonts w:cs="Calibri"/>
              </w:rPr>
            </w:pPr>
            <w:r w:rsidRPr="00DD47DF">
              <w:rPr>
                <w:rFonts w:cs="Calibri"/>
              </w:rPr>
              <w:t>Specifické naplňování na národní úrovni je uvedeno v rámci Dohody o partnerství</w:t>
            </w:r>
            <w:r w:rsidR="000D5493" w:rsidRPr="00DD47DF">
              <w:rPr>
                <w:rFonts w:cs="Calibri"/>
              </w:rPr>
              <w:t xml:space="preserve"> – viz Příloha II</w:t>
            </w:r>
            <w:r w:rsidRPr="00DD47DF">
              <w:rPr>
                <w:rFonts w:cs="Calibri"/>
              </w:rPr>
              <w:t>.</w:t>
            </w:r>
          </w:p>
        </w:tc>
      </w:tr>
      <w:tr w:rsidR="00790A0D" w:rsidRPr="00DD47DF" w14:paraId="54D59BE7" w14:textId="77777777" w:rsidTr="006D2F5F">
        <w:tc>
          <w:tcPr>
            <w:tcW w:w="1752" w:type="dxa"/>
            <w:vMerge w:val="restart"/>
            <w:shd w:val="clear" w:color="auto" w:fill="auto"/>
          </w:tcPr>
          <w:p w14:paraId="7B95890B" w14:textId="77777777" w:rsidR="00790A0D" w:rsidRPr="00DD47DF" w:rsidRDefault="00790A0D" w:rsidP="006D2F5F">
            <w:pPr>
              <w:pStyle w:val="Tabulka"/>
              <w:jc w:val="left"/>
              <w:rPr>
                <w:rFonts w:cs="Calibri"/>
                <w:b/>
              </w:rPr>
            </w:pPr>
            <w:r w:rsidRPr="00DD47DF">
              <w:rPr>
                <w:rFonts w:cs="Calibri"/>
                <w:b/>
              </w:rPr>
              <w:lastRenderedPageBreak/>
              <w:t>Existence administrativní kapacity k provádění a uplatňování Úmluvy OSN o právech osob se zdravotním postižením (UNCRPD) v oblasti fondů ESI v souladu s rozhodnutím Rady 2010/48/ES</w:t>
            </w:r>
            <w:r w:rsidRPr="00DD47DF">
              <w:rPr>
                <w:rStyle w:val="Znakapoznpodarou"/>
                <w:rFonts w:cs="Calibri"/>
              </w:rPr>
              <w:footnoteReference w:id="94"/>
            </w:r>
          </w:p>
          <w:p w14:paraId="32B75CE3" w14:textId="77777777" w:rsidR="00790A0D" w:rsidRPr="00DD47DF" w:rsidRDefault="00790A0D" w:rsidP="006D2F5F">
            <w:pPr>
              <w:pStyle w:val="Tabulka"/>
              <w:jc w:val="left"/>
              <w:rPr>
                <w:rFonts w:cs="Calibri"/>
                <w:b/>
              </w:rPr>
            </w:pPr>
          </w:p>
        </w:tc>
        <w:tc>
          <w:tcPr>
            <w:tcW w:w="1701" w:type="dxa"/>
            <w:vMerge w:val="restart"/>
            <w:shd w:val="clear" w:color="auto" w:fill="auto"/>
          </w:tcPr>
          <w:p w14:paraId="3F734DE7" w14:textId="77777777" w:rsidR="00790A0D" w:rsidRPr="00DD47DF" w:rsidRDefault="00790A0D" w:rsidP="006D2F5F">
            <w:pPr>
              <w:pStyle w:val="Tabulka"/>
              <w:jc w:val="left"/>
              <w:rPr>
                <w:rFonts w:cs="Calibri"/>
              </w:rPr>
            </w:pPr>
            <w:r w:rsidRPr="00DD47DF">
              <w:rPr>
                <w:rFonts w:cs="Calibri"/>
              </w:rPr>
              <w:t>Všechny prioritní osy OP PIK</w:t>
            </w:r>
          </w:p>
        </w:tc>
        <w:tc>
          <w:tcPr>
            <w:tcW w:w="1276" w:type="dxa"/>
            <w:vMerge w:val="restart"/>
            <w:shd w:val="clear" w:color="auto" w:fill="auto"/>
          </w:tcPr>
          <w:p w14:paraId="45805DCD" w14:textId="77777777" w:rsidR="00790A0D" w:rsidRPr="00DD47DF" w:rsidRDefault="00790A0D" w:rsidP="006D2F5F">
            <w:pPr>
              <w:pStyle w:val="Tabulka"/>
              <w:jc w:val="left"/>
              <w:rPr>
                <w:rFonts w:cs="Calibri"/>
              </w:rPr>
            </w:pPr>
            <w:r w:rsidRPr="00DD47DF">
              <w:rPr>
                <w:rFonts w:cs="Calibri"/>
              </w:rPr>
              <w:t>Ano</w:t>
            </w:r>
          </w:p>
          <w:p w14:paraId="689B54DE" w14:textId="77777777" w:rsidR="00790A0D" w:rsidRPr="00DD47DF" w:rsidRDefault="00790A0D" w:rsidP="006D2F5F">
            <w:pPr>
              <w:pStyle w:val="Tabulka"/>
              <w:jc w:val="left"/>
              <w:rPr>
                <w:rFonts w:cs="Calibri"/>
              </w:rPr>
            </w:pPr>
          </w:p>
        </w:tc>
        <w:tc>
          <w:tcPr>
            <w:tcW w:w="1843" w:type="dxa"/>
            <w:shd w:val="clear" w:color="auto" w:fill="auto"/>
          </w:tcPr>
          <w:p w14:paraId="2A13A8DC" w14:textId="77777777" w:rsidR="00790A0D" w:rsidRPr="00DD47DF" w:rsidRDefault="00790A0D" w:rsidP="006D2F5F">
            <w:pPr>
              <w:pStyle w:val="Tabulka"/>
              <w:jc w:val="left"/>
              <w:rPr>
                <w:rFonts w:cs="Calibri"/>
              </w:rPr>
            </w:pPr>
            <w:r w:rsidRPr="00DD47DF">
              <w:rPr>
                <w:rFonts w:cs="Calibri"/>
              </w:rPr>
              <w:t>Opatření v souladu s institucionálním a právním rámcem členských států pro konzultaci a zapojení subjektů odpovědných za ochranu práv zdravotně postižených osob nebo organizací je zastupujících a ostatních příslušných zúčastněných stran do přípravy a provádění programů;</w:t>
            </w:r>
          </w:p>
        </w:tc>
        <w:tc>
          <w:tcPr>
            <w:tcW w:w="1134" w:type="dxa"/>
            <w:shd w:val="clear" w:color="auto" w:fill="auto"/>
          </w:tcPr>
          <w:p w14:paraId="4F41BC17"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27D992BA" w14:textId="77777777" w:rsidR="00790A0D" w:rsidRPr="00DD47DF" w:rsidRDefault="00580034" w:rsidP="006D2F5F">
            <w:pPr>
              <w:pStyle w:val="Tabulka"/>
              <w:jc w:val="left"/>
              <w:rPr>
                <w:rFonts w:cs="Calibri"/>
              </w:rPr>
            </w:pPr>
            <w:hyperlink r:id="rId64" w:history="1">
              <w:r w:rsidR="00790A0D" w:rsidRPr="00DD47DF">
                <w:rPr>
                  <w:rStyle w:val="Hypertextovodkaz"/>
                  <w:rFonts w:cs="Calibri"/>
                </w:rPr>
                <w:t>http://www.vlada.cz/cz/ppov/vvzpo/dokumenty/narodni-plan-vytvareni-rovnych-prilezitosti-pro-osoby-se-zdravotnim-postizenim-na-obdobi-2010---2014-70026/</w:t>
              </w:r>
            </w:hyperlink>
          </w:p>
        </w:tc>
        <w:tc>
          <w:tcPr>
            <w:tcW w:w="4394" w:type="dxa"/>
            <w:shd w:val="clear" w:color="auto" w:fill="auto"/>
          </w:tcPr>
          <w:p w14:paraId="60DEB146" w14:textId="77777777" w:rsidR="00AE7B95" w:rsidRPr="00DD47DF" w:rsidRDefault="00AE7B95" w:rsidP="006D2F5F">
            <w:pPr>
              <w:pStyle w:val="Tabulka"/>
              <w:jc w:val="left"/>
              <w:rPr>
                <w:rFonts w:cs="Calibri"/>
              </w:rPr>
            </w:pPr>
            <w:r w:rsidRPr="00DD47DF">
              <w:rPr>
                <w:rFonts w:cs="Calibri"/>
              </w:rPr>
              <w:t>Gestor PP: Plnění ANO</w:t>
            </w:r>
          </w:p>
          <w:p w14:paraId="5A43C41D" w14:textId="77777777" w:rsidR="00AE7B95" w:rsidRPr="00DD47DF" w:rsidRDefault="00790A0D" w:rsidP="006D2F5F">
            <w:pPr>
              <w:pStyle w:val="Tabulka"/>
              <w:jc w:val="left"/>
              <w:rPr>
                <w:rFonts w:cs="Calibri"/>
              </w:rPr>
            </w:pPr>
            <w:r w:rsidRPr="00DD47DF">
              <w:rPr>
                <w:rFonts w:cs="Calibri"/>
              </w:rPr>
              <w:t>Převážnou část úkolů zajišťuje MPSV ve spolupráci s Vládním výborem pro zdravotně postižené občany a s určenými kontaktními pracovníky ŘO jednotlivých OP.</w:t>
            </w:r>
          </w:p>
          <w:p w14:paraId="74C765C6" w14:textId="77777777" w:rsidR="00AE7B95" w:rsidRPr="00DD47DF" w:rsidRDefault="00AE7B95" w:rsidP="006D2F5F">
            <w:pPr>
              <w:pStyle w:val="Tabulka"/>
              <w:jc w:val="left"/>
              <w:rPr>
                <w:rFonts w:cs="Calibri"/>
              </w:rPr>
            </w:pPr>
            <w:r w:rsidRPr="00DD47DF">
              <w:rPr>
                <w:rFonts w:cs="Calibri"/>
              </w:rPr>
              <w:t>ŘO: Plnění ANO</w:t>
            </w:r>
          </w:p>
          <w:p w14:paraId="20984395" w14:textId="77777777" w:rsidR="00790A0D" w:rsidRPr="00DD47DF" w:rsidRDefault="00790A0D" w:rsidP="006D2F5F">
            <w:pPr>
              <w:pStyle w:val="Tabulka"/>
              <w:jc w:val="left"/>
              <w:rPr>
                <w:rFonts w:cs="Calibri"/>
              </w:rPr>
            </w:pPr>
            <w:r w:rsidRPr="00DD47DF">
              <w:rPr>
                <w:rFonts w:cs="Calibri"/>
              </w:rPr>
              <w:t>V rámci agendy ochrany práv zdravotně postižených za ŘO OP PIK je kontaktní osobou, zabývající se implementací a aplikací práv zdravotně postižených, která je zároveň zodpovědná za koordinaci aktivit a spolupráci s MPSV, komunikační úředník OP PIK.</w:t>
            </w:r>
          </w:p>
          <w:p w14:paraId="0C657F47" w14:textId="77777777" w:rsidR="00790A0D" w:rsidRPr="00DD47DF" w:rsidRDefault="00790A0D" w:rsidP="006D2F5F">
            <w:pPr>
              <w:pStyle w:val="Tabulka"/>
              <w:jc w:val="left"/>
              <w:rPr>
                <w:rFonts w:cs="Calibri"/>
              </w:rPr>
            </w:pPr>
            <w:r w:rsidRPr="00DD47DF">
              <w:rPr>
                <w:rFonts w:cs="Calibri"/>
              </w:rPr>
              <w:t>Ve fázi implementace operačního programu bude zajištěna účast zástupce MPSV také v Monitorovacím výboru OP PIK.</w:t>
            </w:r>
          </w:p>
          <w:p w14:paraId="2CD07999" w14:textId="77777777" w:rsidR="00790A0D" w:rsidRPr="00DD47DF" w:rsidRDefault="00790A0D" w:rsidP="006D2F5F">
            <w:pPr>
              <w:pStyle w:val="Tabulka"/>
              <w:jc w:val="left"/>
              <w:rPr>
                <w:rFonts w:cs="Calibri"/>
              </w:rPr>
            </w:pPr>
            <w:r w:rsidRPr="00DD47DF">
              <w:rPr>
                <w:rFonts w:cs="Calibri"/>
              </w:rPr>
              <w:t>Specifické naplňování na národní úrovni je uvedeno v rámci Dohody o partnerství</w:t>
            </w:r>
            <w:r w:rsidR="000D5493" w:rsidRPr="00DD47DF">
              <w:rPr>
                <w:rFonts w:cs="Calibri"/>
              </w:rPr>
              <w:t xml:space="preserve"> – viz Příloha II</w:t>
            </w:r>
            <w:r w:rsidRPr="00DD47DF">
              <w:rPr>
                <w:rFonts w:cs="Calibri"/>
              </w:rPr>
              <w:t>.</w:t>
            </w:r>
          </w:p>
        </w:tc>
      </w:tr>
      <w:tr w:rsidR="00790A0D" w:rsidRPr="00DD47DF" w14:paraId="41A20B5D" w14:textId="77777777" w:rsidTr="006D2F5F">
        <w:tc>
          <w:tcPr>
            <w:tcW w:w="1752" w:type="dxa"/>
            <w:vMerge/>
            <w:shd w:val="clear" w:color="auto" w:fill="auto"/>
          </w:tcPr>
          <w:p w14:paraId="21CAC509" w14:textId="77777777" w:rsidR="00790A0D" w:rsidRPr="00DD47DF" w:rsidRDefault="00790A0D" w:rsidP="006D2F5F">
            <w:pPr>
              <w:pStyle w:val="Tabulka"/>
              <w:jc w:val="left"/>
              <w:rPr>
                <w:rFonts w:cs="Calibri"/>
                <w:b/>
              </w:rPr>
            </w:pPr>
          </w:p>
        </w:tc>
        <w:tc>
          <w:tcPr>
            <w:tcW w:w="1701" w:type="dxa"/>
            <w:vMerge/>
            <w:shd w:val="clear" w:color="auto" w:fill="auto"/>
          </w:tcPr>
          <w:p w14:paraId="7AF5B51F" w14:textId="77777777" w:rsidR="00790A0D" w:rsidRPr="00DD47DF" w:rsidRDefault="00790A0D" w:rsidP="006D2F5F">
            <w:pPr>
              <w:pStyle w:val="Tabulka"/>
              <w:jc w:val="left"/>
              <w:rPr>
                <w:rFonts w:cs="Calibri"/>
              </w:rPr>
            </w:pPr>
          </w:p>
        </w:tc>
        <w:tc>
          <w:tcPr>
            <w:tcW w:w="1276" w:type="dxa"/>
            <w:vMerge/>
            <w:shd w:val="clear" w:color="auto" w:fill="auto"/>
          </w:tcPr>
          <w:p w14:paraId="3F3251B6" w14:textId="77777777" w:rsidR="00790A0D" w:rsidRPr="00DD47DF" w:rsidRDefault="00790A0D" w:rsidP="006D2F5F">
            <w:pPr>
              <w:pStyle w:val="Tabulka"/>
              <w:jc w:val="left"/>
              <w:rPr>
                <w:rFonts w:cs="Calibri"/>
              </w:rPr>
            </w:pPr>
          </w:p>
        </w:tc>
        <w:tc>
          <w:tcPr>
            <w:tcW w:w="1843" w:type="dxa"/>
            <w:shd w:val="clear" w:color="auto" w:fill="auto"/>
          </w:tcPr>
          <w:p w14:paraId="087578E1" w14:textId="77777777" w:rsidR="00790A0D" w:rsidRPr="00DD47DF" w:rsidRDefault="00790A0D" w:rsidP="006D2F5F">
            <w:pPr>
              <w:pStyle w:val="Tabulka"/>
              <w:jc w:val="left"/>
              <w:rPr>
                <w:rFonts w:cs="Calibri"/>
              </w:rPr>
            </w:pPr>
            <w:r w:rsidRPr="00DD47DF">
              <w:rPr>
                <w:rFonts w:cs="Calibri"/>
              </w:rPr>
              <w:t xml:space="preserve">Opatření pro vzdělávání zaměstnanců </w:t>
            </w:r>
            <w:r w:rsidRPr="00DD47DF">
              <w:rPr>
                <w:rFonts w:cs="Calibri"/>
              </w:rPr>
              <w:lastRenderedPageBreak/>
              <w:t>orgánů zapojených do řízení a fondů ESI v oblasti práva a politik EU a členských států týkajících se zdravotně postižených osob, včetně přístupnosti a praktického uplatňování ustanovení UNCRPD provedených v právu Unie, případně členských států;</w:t>
            </w:r>
          </w:p>
        </w:tc>
        <w:tc>
          <w:tcPr>
            <w:tcW w:w="1134" w:type="dxa"/>
            <w:shd w:val="clear" w:color="auto" w:fill="auto"/>
          </w:tcPr>
          <w:p w14:paraId="1DAB0756"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45453F8A" w14:textId="77777777" w:rsidR="00790A0D" w:rsidRPr="00DD47DF" w:rsidRDefault="00580034" w:rsidP="006D2F5F">
            <w:pPr>
              <w:pStyle w:val="Tabulka"/>
              <w:jc w:val="left"/>
              <w:rPr>
                <w:rStyle w:val="Hypertextovodkaz"/>
                <w:rFonts w:cs="Calibri"/>
              </w:rPr>
            </w:pPr>
            <w:hyperlink r:id="rId65" w:history="1">
              <w:r w:rsidR="00790A0D" w:rsidRPr="00DD47DF">
                <w:rPr>
                  <w:rStyle w:val="Hypertextovodkaz"/>
                  <w:rFonts w:cs="Calibri"/>
                </w:rPr>
                <w:t>http://www.vlada.cz/cz/ppov/vvzpo/dokumenty/zprava-o-plneni-</w:t>
              </w:r>
              <w:r w:rsidR="00790A0D" w:rsidRPr="00DD47DF">
                <w:rPr>
                  <w:rStyle w:val="Hypertextovodkaz"/>
                  <w:rFonts w:cs="Calibri"/>
                </w:rPr>
                <w:lastRenderedPageBreak/>
                <w:t>opatreni-narodniho-planu-vytvareni-rovnych-prilezitosti-pro-osoby-se-zdravotnim-postizenim-na-obdobi-2010-2014-v-roce-2012-110987/</w:t>
              </w:r>
            </w:hyperlink>
          </w:p>
          <w:p w14:paraId="0CA36E0C" w14:textId="77777777" w:rsidR="00790A0D" w:rsidRPr="00DD47DF" w:rsidRDefault="00790A0D" w:rsidP="006D2F5F">
            <w:pPr>
              <w:pStyle w:val="Tabulka"/>
              <w:jc w:val="left"/>
              <w:rPr>
                <w:rStyle w:val="Hypertextovodkaz"/>
                <w:rFonts w:cs="Calibri"/>
              </w:rPr>
            </w:pPr>
          </w:p>
          <w:p w14:paraId="74C17ED3" w14:textId="77777777" w:rsidR="00790A0D" w:rsidRPr="0069482B" w:rsidRDefault="00580034" w:rsidP="006D2F5F">
            <w:pPr>
              <w:pStyle w:val="Tabulka"/>
              <w:jc w:val="left"/>
              <w:rPr>
                <w:rFonts w:cs="Calibri"/>
              </w:rPr>
            </w:pPr>
            <w:hyperlink r:id="rId66" w:history="1">
              <w:r w:rsidR="00790A0D" w:rsidRPr="0069482B">
                <w:rPr>
                  <w:rStyle w:val="Hypertextovodkaz"/>
                </w:rPr>
                <w:t>http://www.strukturalni-fondy.cz/cs/Fondy-EU/2014-2020/Metodicke-pokyny/Metodika-rozvoje-lidskych-zdroju</w:t>
              </w:r>
            </w:hyperlink>
          </w:p>
        </w:tc>
        <w:tc>
          <w:tcPr>
            <w:tcW w:w="4394" w:type="dxa"/>
            <w:shd w:val="clear" w:color="auto" w:fill="auto"/>
          </w:tcPr>
          <w:p w14:paraId="3E2B54E5" w14:textId="77777777" w:rsidR="00AE7B95" w:rsidRPr="00DD47DF" w:rsidRDefault="00AE7B95" w:rsidP="006D2F5F">
            <w:pPr>
              <w:pStyle w:val="Tabulka"/>
              <w:jc w:val="left"/>
              <w:rPr>
                <w:rFonts w:cs="Calibri"/>
              </w:rPr>
            </w:pPr>
            <w:r w:rsidRPr="00DD47DF">
              <w:rPr>
                <w:rFonts w:cs="Calibri"/>
              </w:rPr>
              <w:lastRenderedPageBreak/>
              <w:t>Gestor PP: Plnění ANO</w:t>
            </w:r>
          </w:p>
          <w:p w14:paraId="1F64B2EE" w14:textId="77777777" w:rsidR="00AE7B95" w:rsidRPr="00DD47DF" w:rsidRDefault="00AE7B95" w:rsidP="006D2F5F">
            <w:pPr>
              <w:pStyle w:val="Tabulka"/>
              <w:jc w:val="left"/>
              <w:rPr>
                <w:rFonts w:cs="Calibri"/>
              </w:rPr>
            </w:pPr>
            <w:r w:rsidRPr="00DD47DF">
              <w:rPr>
                <w:color w:val="000000"/>
              </w:rPr>
              <w:t xml:space="preserve">V rámci Národního plánu vytváření rovných </w:t>
            </w:r>
            <w:r w:rsidRPr="00DD47DF">
              <w:rPr>
                <w:color w:val="000000"/>
              </w:rPr>
              <w:lastRenderedPageBreak/>
              <w:t xml:space="preserve">příležitostí pro osoby se zdravotním postižením na období 2010 - 2014, každý rok - zpráva o plnění opatření.  </w:t>
            </w:r>
            <w:r w:rsidR="00790A0D" w:rsidRPr="00DD47DF">
              <w:rPr>
                <w:rFonts w:cs="Calibri"/>
              </w:rPr>
              <w:t xml:space="preserve">Opatření – vzdělávání zaměstnanců orgánů podílejících se na řízení a kontrole ESI fondů je plněno již nyní. MMR-NOK zajišťuje na horizontální úrovni proškolení zaměstnanců implementujících fondy EU v rámci Systému vzdělávání, MPSV zajišťuje obsahovou náplň vzdělávání a lektorské zajištění. </w:t>
            </w:r>
          </w:p>
          <w:p w14:paraId="753110DA" w14:textId="77777777" w:rsidR="00AE7B95" w:rsidRPr="00DD47DF" w:rsidRDefault="00AE7B95" w:rsidP="006D2F5F">
            <w:pPr>
              <w:pStyle w:val="Tabulka"/>
              <w:jc w:val="left"/>
              <w:rPr>
                <w:rFonts w:cs="Calibri"/>
              </w:rPr>
            </w:pPr>
            <w:r w:rsidRPr="00DD47DF">
              <w:rPr>
                <w:rFonts w:cs="Calibri"/>
              </w:rPr>
              <w:t>ŘO: Plnění ANO</w:t>
            </w:r>
          </w:p>
          <w:p w14:paraId="76606477" w14:textId="77777777" w:rsidR="00790A0D" w:rsidRPr="00DD47DF" w:rsidRDefault="00790A0D" w:rsidP="006D2F5F">
            <w:pPr>
              <w:pStyle w:val="Tabulka"/>
              <w:jc w:val="left"/>
              <w:rPr>
                <w:rFonts w:cs="Calibri"/>
              </w:rPr>
            </w:pPr>
            <w:r w:rsidRPr="00DD47DF">
              <w:rPr>
                <w:rFonts w:cs="Calibri"/>
              </w:rPr>
              <w:t>Zaměstnanci OP PIK jsou zapojeni do Systému vzdělávání, který na horizontální úrovni zastřešuje MMR-NOK, a účastní se průběžně a dle potřeby příslušných vzdělávacích akcí.</w:t>
            </w:r>
          </w:p>
          <w:p w14:paraId="6AFB315F" w14:textId="77777777" w:rsidR="00790A0D" w:rsidRPr="00DD47DF" w:rsidRDefault="00790A0D" w:rsidP="006D2F5F">
            <w:pPr>
              <w:pStyle w:val="Tabulka"/>
              <w:jc w:val="left"/>
              <w:rPr>
                <w:rFonts w:cs="Calibri"/>
              </w:rPr>
            </w:pPr>
            <w:r w:rsidRPr="00DD47DF">
              <w:rPr>
                <w:rFonts w:cs="Calibri"/>
              </w:rPr>
              <w:t>Specifické naplňování na národní úrovni je uvedeno v rámci Dohody o partnerství</w:t>
            </w:r>
            <w:r w:rsidR="00CA1478" w:rsidRPr="00DD47DF">
              <w:rPr>
                <w:rFonts w:cs="Calibri"/>
              </w:rPr>
              <w:t xml:space="preserve"> - </w:t>
            </w:r>
            <w:r w:rsidR="000D5493" w:rsidRPr="00DD47DF">
              <w:rPr>
                <w:rFonts w:cs="Calibri"/>
              </w:rPr>
              <w:t>viz Příloha II</w:t>
            </w:r>
            <w:r w:rsidRPr="00DD47DF">
              <w:rPr>
                <w:rFonts w:cs="Calibri"/>
              </w:rPr>
              <w:t xml:space="preserve">. </w:t>
            </w:r>
          </w:p>
        </w:tc>
      </w:tr>
      <w:tr w:rsidR="00790A0D" w:rsidRPr="00DD47DF" w14:paraId="31888C6C" w14:textId="77777777" w:rsidTr="006D2F5F">
        <w:tc>
          <w:tcPr>
            <w:tcW w:w="1752" w:type="dxa"/>
            <w:vMerge/>
            <w:shd w:val="clear" w:color="auto" w:fill="auto"/>
          </w:tcPr>
          <w:p w14:paraId="009AC063" w14:textId="77777777" w:rsidR="00790A0D" w:rsidRPr="00DD47DF" w:rsidRDefault="00790A0D" w:rsidP="006D2F5F">
            <w:pPr>
              <w:pStyle w:val="Tabulka"/>
              <w:jc w:val="left"/>
              <w:rPr>
                <w:rFonts w:cs="Calibri"/>
                <w:b/>
              </w:rPr>
            </w:pPr>
          </w:p>
        </w:tc>
        <w:tc>
          <w:tcPr>
            <w:tcW w:w="1701" w:type="dxa"/>
            <w:vMerge/>
            <w:shd w:val="clear" w:color="auto" w:fill="auto"/>
          </w:tcPr>
          <w:p w14:paraId="4BD34206" w14:textId="77777777" w:rsidR="00790A0D" w:rsidRPr="00DD47DF" w:rsidRDefault="00790A0D" w:rsidP="006D2F5F">
            <w:pPr>
              <w:pStyle w:val="Tabulka"/>
              <w:jc w:val="left"/>
              <w:rPr>
                <w:rFonts w:cs="Calibri"/>
              </w:rPr>
            </w:pPr>
          </w:p>
        </w:tc>
        <w:tc>
          <w:tcPr>
            <w:tcW w:w="1276" w:type="dxa"/>
            <w:vMerge/>
            <w:shd w:val="clear" w:color="auto" w:fill="auto"/>
          </w:tcPr>
          <w:p w14:paraId="0298B288" w14:textId="77777777" w:rsidR="00790A0D" w:rsidRPr="00DD47DF" w:rsidRDefault="00790A0D" w:rsidP="006D2F5F">
            <w:pPr>
              <w:pStyle w:val="Tabulka"/>
              <w:jc w:val="left"/>
              <w:rPr>
                <w:rFonts w:cs="Calibri"/>
              </w:rPr>
            </w:pPr>
          </w:p>
        </w:tc>
        <w:tc>
          <w:tcPr>
            <w:tcW w:w="1843" w:type="dxa"/>
            <w:shd w:val="clear" w:color="auto" w:fill="auto"/>
          </w:tcPr>
          <w:p w14:paraId="3705BBE3" w14:textId="77777777" w:rsidR="00790A0D" w:rsidRPr="00DD47DF" w:rsidRDefault="00790A0D" w:rsidP="006D2F5F">
            <w:pPr>
              <w:pStyle w:val="Tabulka"/>
              <w:jc w:val="left"/>
              <w:rPr>
                <w:rFonts w:cs="Calibri"/>
              </w:rPr>
            </w:pPr>
            <w:r w:rsidRPr="00DD47DF">
              <w:rPr>
                <w:rFonts w:cs="Calibri"/>
              </w:rPr>
              <w:t>Opatření za účelem sledování provádění článku 9 UNCRPD ve vztahu k fondům ESI v rámci přípravy a provádění programů.</w:t>
            </w:r>
          </w:p>
        </w:tc>
        <w:tc>
          <w:tcPr>
            <w:tcW w:w="1134" w:type="dxa"/>
            <w:shd w:val="clear" w:color="auto" w:fill="auto"/>
          </w:tcPr>
          <w:p w14:paraId="7205BAF2"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0E1D1B2" w14:textId="77777777" w:rsidR="00790A0D" w:rsidRPr="00DD47DF" w:rsidRDefault="00580034" w:rsidP="006D2F5F">
            <w:pPr>
              <w:pStyle w:val="Tabulka"/>
              <w:jc w:val="left"/>
              <w:rPr>
                <w:rFonts w:cs="Calibri"/>
              </w:rPr>
            </w:pPr>
            <w:hyperlink r:id="rId67" w:history="1">
              <w:r w:rsidR="00790A0D" w:rsidRPr="00DD47DF">
                <w:rPr>
                  <w:rStyle w:val="Hypertextovodkaz"/>
                  <w:rFonts w:cs="Calibri"/>
                </w:rPr>
                <w:t>http://www.vlada.cz/cz/ppov/vvzpo/dokumenty/narodni-plan-vytvareni-rovnych-prilezitosti-pro-osoby-se-zdravotnim-postizenim-na-obdobi-2010---2014-70026/</w:t>
              </w:r>
            </w:hyperlink>
          </w:p>
        </w:tc>
        <w:tc>
          <w:tcPr>
            <w:tcW w:w="4394" w:type="dxa"/>
            <w:shd w:val="clear" w:color="auto" w:fill="auto"/>
          </w:tcPr>
          <w:p w14:paraId="52367633" w14:textId="77777777" w:rsidR="00AE7B95" w:rsidRPr="00DD47DF" w:rsidRDefault="00AE7B95" w:rsidP="006D2F5F">
            <w:pPr>
              <w:pStyle w:val="Tabulka"/>
              <w:jc w:val="left"/>
              <w:rPr>
                <w:rFonts w:cs="Calibri"/>
              </w:rPr>
            </w:pPr>
            <w:r w:rsidRPr="00DD47DF">
              <w:rPr>
                <w:rFonts w:cs="Calibri"/>
              </w:rPr>
              <w:t>Gestor PP:  Plnění ANO</w:t>
            </w:r>
          </w:p>
          <w:p w14:paraId="0E6168E2" w14:textId="77777777" w:rsidR="006D55D4" w:rsidRPr="00DD47DF" w:rsidRDefault="00790A0D" w:rsidP="006D55D4">
            <w:pPr>
              <w:pStyle w:val="DAVA"/>
              <w:spacing w:before="80" w:after="80"/>
              <w:rPr>
                <w:rFonts w:ascii="Times New Roman" w:hAnsi="Times New Roman"/>
                <w:sz w:val="22"/>
                <w:szCs w:val="22"/>
                <w:lang w:eastAsia="cs-CZ"/>
              </w:rPr>
            </w:pPr>
            <w:r w:rsidRPr="00DD47DF">
              <w:rPr>
                <w:rFonts w:ascii="Times New Roman" w:hAnsi="Times New Roman"/>
                <w:sz w:val="22"/>
                <w:szCs w:val="22"/>
              </w:rPr>
              <w:t>Národní plán obsahuje opatření k vyrovnávání příležitostí pro osoby se zdravotním postižením. Plnění těchto opatření je každý rok hodnoceno. N</w:t>
            </w:r>
            <w:r w:rsidR="00AE7B95" w:rsidRPr="00DD47DF">
              <w:rPr>
                <w:rFonts w:ascii="Times New Roman" w:hAnsi="Times New Roman"/>
                <w:sz w:val="22"/>
                <w:szCs w:val="22"/>
              </w:rPr>
              <w:t>P</w:t>
            </w:r>
            <w:r w:rsidRPr="00DD47DF">
              <w:rPr>
                <w:rFonts w:ascii="Times New Roman" w:hAnsi="Times New Roman"/>
                <w:sz w:val="22"/>
                <w:szCs w:val="22"/>
              </w:rPr>
              <w:t xml:space="preserve"> je koncipován dle jednotlivých článků CRPD a v kapitole č. 4 se přímo věnuje Přístupnosti staveb, dopravy a přístupu k informacím.</w:t>
            </w:r>
            <w:r w:rsidR="00AE7B95" w:rsidRPr="00DD47DF" w:rsidDel="00AE7B95">
              <w:rPr>
                <w:rFonts w:ascii="Times New Roman" w:hAnsi="Times New Roman"/>
                <w:sz w:val="22"/>
                <w:szCs w:val="22"/>
              </w:rPr>
              <w:t xml:space="preserve"> </w:t>
            </w:r>
            <w:r w:rsidRPr="00DD47DF">
              <w:rPr>
                <w:rFonts w:ascii="Times New Roman" w:hAnsi="Times New Roman"/>
                <w:sz w:val="22"/>
                <w:szCs w:val="22"/>
              </w:rPr>
              <w:t xml:space="preserve">Požadavky na přístupnost veřejných budov, </w:t>
            </w:r>
            <w:r w:rsidR="00AE7B95" w:rsidRPr="00DD47DF">
              <w:rPr>
                <w:rFonts w:ascii="Times New Roman" w:hAnsi="Times New Roman"/>
                <w:sz w:val="22"/>
                <w:szCs w:val="22"/>
              </w:rPr>
              <w:t>poměr vo</w:t>
            </w:r>
            <w:r w:rsidR="006D55D4" w:rsidRPr="00DD47DF">
              <w:rPr>
                <w:rFonts w:ascii="Times New Roman" w:hAnsi="Times New Roman"/>
                <w:sz w:val="22"/>
                <w:szCs w:val="22"/>
              </w:rPr>
              <w:t>zi</w:t>
            </w:r>
            <w:r w:rsidR="00AE7B95" w:rsidRPr="00DD47DF">
              <w:rPr>
                <w:rFonts w:ascii="Times New Roman" w:hAnsi="Times New Roman"/>
                <w:sz w:val="22"/>
                <w:szCs w:val="22"/>
              </w:rPr>
              <w:t xml:space="preserve">del ve veřejné dopravě </w:t>
            </w:r>
            <w:r w:rsidR="006D55D4" w:rsidRPr="00DD47DF">
              <w:rPr>
                <w:rFonts w:ascii="Times New Roman" w:hAnsi="Times New Roman"/>
                <w:sz w:val="22"/>
                <w:szCs w:val="22"/>
              </w:rPr>
              <w:t>pro</w:t>
            </w:r>
            <w:r w:rsidR="006D55D4" w:rsidRPr="00DD47DF">
              <w:rPr>
                <w:rFonts w:cs="Calibri"/>
                <w:sz w:val="22"/>
                <w:szCs w:val="22"/>
              </w:rPr>
              <w:t xml:space="preserve"> </w:t>
            </w:r>
            <w:r w:rsidR="00AE7B95" w:rsidRPr="00DD47DF">
              <w:rPr>
                <w:rFonts w:ascii="Times New Roman" w:hAnsi="Times New Roman"/>
                <w:sz w:val="22"/>
                <w:szCs w:val="22"/>
                <w:lang w:eastAsia="cs-CZ"/>
              </w:rPr>
              <w:t>přepravu osob s omezenou schopností pohybu a orientace jsou vymezeny v zákoně č. 183/2006 Sb., vyhlášce č. 398/2009, nařízení vlády č. 63/2011)</w:t>
            </w:r>
            <w:r w:rsidR="00D709F2" w:rsidRPr="00DD47DF">
              <w:rPr>
                <w:rFonts w:ascii="Times New Roman" w:hAnsi="Times New Roman"/>
                <w:sz w:val="22"/>
                <w:szCs w:val="22"/>
                <w:lang w:eastAsia="cs-CZ"/>
              </w:rPr>
              <w:t>.</w:t>
            </w:r>
            <w:r w:rsidR="006D55D4" w:rsidRPr="00DD47DF">
              <w:rPr>
                <w:sz w:val="22"/>
                <w:szCs w:val="22"/>
              </w:rPr>
              <w:t xml:space="preserve"> </w:t>
            </w:r>
            <w:r w:rsidR="006D55D4" w:rsidRPr="00DD47DF">
              <w:rPr>
                <w:rFonts w:ascii="Times New Roman" w:hAnsi="Times New Roman"/>
                <w:sz w:val="22"/>
                <w:szCs w:val="22"/>
                <w:lang w:eastAsia="cs-CZ"/>
              </w:rPr>
              <w:t xml:space="preserve">Na základě </w:t>
            </w:r>
            <w:r w:rsidR="006D55D4" w:rsidRPr="00DD47DF">
              <w:rPr>
                <w:rFonts w:ascii="Times New Roman" w:hAnsi="Times New Roman"/>
                <w:sz w:val="22"/>
                <w:szCs w:val="22"/>
                <w:lang w:eastAsia="cs-CZ"/>
              </w:rPr>
              <w:lastRenderedPageBreak/>
              <w:t>antidiskriminačního zákona č. 198/2009 Sb.,</w:t>
            </w:r>
            <w:r w:rsidR="00CC3FCD" w:rsidRPr="00DD47DF">
              <w:rPr>
                <w:rFonts w:ascii="Times New Roman" w:hAnsi="Times New Roman"/>
                <w:sz w:val="22"/>
                <w:szCs w:val="22"/>
                <w:lang w:eastAsia="cs-CZ"/>
              </w:rPr>
              <w:t xml:space="preserve"> </w:t>
            </w:r>
            <w:r w:rsidR="006D55D4" w:rsidRPr="00DD47DF">
              <w:rPr>
                <w:rFonts w:ascii="Times New Roman" w:hAnsi="Times New Roman"/>
                <w:sz w:val="22"/>
                <w:szCs w:val="22"/>
                <w:lang w:eastAsia="cs-CZ"/>
              </w:rPr>
              <w:t xml:space="preserve">jsou všichni poskytovatelé služeb určených veřejnosti povinni přijmout přiměřená opatření pro osoby se zdravotním postižením. </w:t>
            </w:r>
          </w:p>
          <w:p w14:paraId="4A015E39" w14:textId="77777777" w:rsidR="00790A0D" w:rsidRPr="00DD47DF" w:rsidRDefault="006D55D4" w:rsidP="006D55D4">
            <w:pPr>
              <w:pStyle w:val="Tabulka"/>
              <w:jc w:val="left"/>
              <w:rPr>
                <w:rFonts w:cs="Calibri"/>
              </w:rPr>
            </w:pPr>
            <w:r w:rsidRPr="00DD47DF">
              <w:t>Opatření, aby se s informacemi souvisejícími s výkonem veřejné správy uveřejňovanými způsobem umožňujícím dálkový přístup mohly rozsahu seznámit i osoby se zdravotním postižením, upravuje zákon  č. 365/2000 Sb. a vyhláška č. 64/2008 Sb.</w:t>
            </w:r>
            <w:r w:rsidR="00790A0D" w:rsidRPr="00DD47DF">
              <w:rPr>
                <w:rFonts w:cs="Calibri"/>
              </w:rPr>
              <w:t xml:space="preserve"> Specifické naplňování na národní úrovni </w:t>
            </w:r>
            <w:r w:rsidR="000D5493" w:rsidRPr="00DD47DF">
              <w:rPr>
                <w:rFonts w:cs="Calibri"/>
              </w:rPr>
              <w:t>viz Příloha II.</w:t>
            </w:r>
          </w:p>
        </w:tc>
      </w:tr>
      <w:tr w:rsidR="00790A0D" w:rsidRPr="00DD47DF" w14:paraId="11FB81FF" w14:textId="77777777" w:rsidTr="006D2F5F">
        <w:tc>
          <w:tcPr>
            <w:tcW w:w="1752" w:type="dxa"/>
            <w:vMerge w:val="restart"/>
            <w:shd w:val="clear" w:color="auto" w:fill="auto"/>
          </w:tcPr>
          <w:p w14:paraId="5E7FCB4C" w14:textId="77777777" w:rsidR="00790A0D" w:rsidRPr="00DD47DF" w:rsidRDefault="00790A0D" w:rsidP="006D2F5F">
            <w:pPr>
              <w:pStyle w:val="Tabulka"/>
              <w:jc w:val="left"/>
              <w:rPr>
                <w:rFonts w:cs="Calibri"/>
                <w:b/>
              </w:rPr>
            </w:pPr>
            <w:r w:rsidRPr="00DD47DF">
              <w:rPr>
                <w:rFonts w:cs="Calibri"/>
                <w:b/>
              </w:rPr>
              <w:lastRenderedPageBreak/>
              <w:t>Existence opatření pro účinné uplatňování právních předpisů Unie o veřejných zakázkách v oblasti fondů ESI.</w:t>
            </w:r>
          </w:p>
          <w:p w14:paraId="67A7080F" w14:textId="77777777" w:rsidR="00790A0D" w:rsidRPr="00DD47DF" w:rsidRDefault="00790A0D" w:rsidP="006D2F5F">
            <w:pPr>
              <w:pStyle w:val="Tabulka"/>
              <w:jc w:val="left"/>
              <w:rPr>
                <w:rFonts w:cs="Calibri"/>
                <w:b/>
              </w:rPr>
            </w:pPr>
          </w:p>
        </w:tc>
        <w:tc>
          <w:tcPr>
            <w:tcW w:w="1701" w:type="dxa"/>
            <w:vMerge w:val="restart"/>
            <w:shd w:val="clear" w:color="auto" w:fill="auto"/>
          </w:tcPr>
          <w:p w14:paraId="0DED2568" w14:textId="77777777" w:rsidR="00790A0D" w:rsidRPr="00DD47DF" w:rsidRDefault="00790A0D" w:rsidP="006D2F5F">
            <w:pPr>
              <w:pStyle w:val="Tabulka"/>
              <w:jc w:val="left"/>
              <w:rPr>
                <w:rFonts w:cs="Calibri"/>
              </w:rPr>
            </w:pPr>
            <w:r w:rsidRPr="00DD47DF">
              <w:rPr>
                <w:rFonts w:cs="Calibri"/>
              </w:rPr>
              <w:t>Všechny prioritní osy OP PIK</w:t>
            </w:r>
          </w:p>
        </w:tc>
        <w:tc>
          <w:tcPr>
            <w:tcW w:w="1276" w:type="dxa"/>
            <w:vMerge w:val="restart"/>
            <w:shd w:val="clear" w:color="auto" w:fill="auto"/>
          </w:tcPr>
          <w:p w14:paraId="5DC0C738" w14:textId="77777777" w:rsidR="00790A0D" w:rsidRPr="00DD47DF" w:rsidRDefault="002D4CC1" w:rsidP="006D2F5F">
            <w:pPr>
              <w:pStyle w:val="Tabulka"/>
              <w:jc w:val="left"/>
              <w:rPr>
                <w:rFonts w:cs="Calibri"/>
              </w:rPr>
            </w:pPr>
            <w:r>
              <w:rPr>
                <w:rFonts w:cs="Calibri"/>
              </w:rPr>
              <w:t>Částečně</w:t>
            </w:r>
          </w:p>
          <w:p w14:paraId="47A79146" w14:textId="77777777" w:rsidR="00790A0D" w:rsidRPr="00DD47DF" w:rsidRDefault="00790A0D" w:rsidP="006D2F5F">
            <w:pPr>
              <w:pStyle w:val="Tabulka"/>
              <w:jc w:val="left"/>
              <w:rPr>
                <w:rFonts w:cs="Calibri"/>
              </w:rPr>
            </w:pPr>
          </w:p>
        </w:tc>
        <w:tc>
          <w:tcPr>
            <w:tcW w:w="1843" w:type="dxa"/>
            <w:shd w:val="clear" w:color="auto" w:fill="auto"/>
          </w:tcPr>
          <w:p w14:paraId="027D13C8" w14:textId="77777777" w:rsidR="00790A0D" w:rsidRPr="00DD47DF" w:rsidRDefault="00790A0D" w:rsidP="006D2F5F">
            <w:pPr>
              <w:pStyle w:val="Tabulka"/>
              <w:jc w:val="left"/>
              <w:rPr>
                <w:rFonts w:cs="Calibri"/>
              </w:rPr>
            </w:pPr>
            <w:r w:rsidRPr="00DD47DF">
              <w:rPr>
                <w:rFonts w:cs="Calibri"/>
              </w:rPr>
              <w:t>Opatření pro účinné uplatňování předpisů Unie o veřejných zakázkách prostřednictvím odpovídajících mechanismů.</w:t>
            </w:r>
          </w:p>
        </w:tc>
        <w:tc>
          <w:tcPr>
            <w:tcW w:w="1134" w:type="dxa"/>
            <w:shd w:val="clear" w:color="auto" w:fill="auto"/>
          </w:tcPr>
          <w:p w14:paraId="136CA1F9" w14:textId="77777777" w:rsidR="00790A0D" w:rsidRPr="00DD47DF" w:rsidRDefault="00A0467F" w:rsidP="006D2F5F">
            <w:pPr>
              <w:pStyle w:val="Tabulka"/>
              <w:jc w:val="left"/>
              <w:rPr>
                <w:rFonts w:cs="Calibri"/>
              </w:rPr>
            </w:pPr>
            <w:r w:rsidRPr="00DD47DF">
              <w:rPr>
                <w:rFonts w:cs="Calibri"/>
              </w:rPr>
              <w:t>ne</w:t>
            </w:r>
          </w:p>
        </w:tc>
        <w:tc>
          <w:tcPr>
            <w:tcW w:w="2126" w:type="dxa"/>
            <w:shd w:val="clear" w:color="auto" w:fill="auto"/>
          </w:tcPr>
          <w:p w14:paraId="498E776B" w14:textId="77777777" w:rsidR="00790A0D" w:rsidRPr="00DD47DF" w:rsidRDefault="00580034" w:rsidP="006D2F5F">
            <w:pPr>
              <w:pStyle w:val="Tabulka"/>
              <w:jc w:val="left"/>
              <w:rPr>
                <w:rFonts w:cs="Calibri"/>
              </w:rPr>
            </w:pPr>
            <w:hyperlink r:id="rId68" w:history="1">
              <w:r w:rsidR="00790A0D" w:rsidRPr="00DD47DF">
                <w:rPr>
                  <w:rStyle w:val="Hypertextovodkaz"/>
                  <w:rFonts w:cs="Calibri"/>
                </w:rPr>
                <w:t>http://www.portal-vz.cz/cs/Jak-na-zadavani-verejnych-zakazek/Legislativa-a-Judikatura/Legislativa/Narodni-legislativa-aktualni-a-uplne-zneni-z-(1)</w:t>
              </w:r>
            </w:hyperlink>
          </w:p>
          <w:p w14:paraId="798829EC" w14:textId="77777777" w:rsidR="00790A0D" w:rsidRPr="00DD47DF" w:rsidRDefault="00790A0D" w:rsidP="006D2F5F">
            <w:pPr>
              <w:pStyle w:val="Tabulka"/>
              <w:jc w:val="left"/>
              <w:rPr>
                <w:rFonts w:cs="Calibri"/>
              </w:rPr>
            </w:pPr>
          </w:p>
          <w:p w14:paraId="77BD2BB5" w14:textId="77777777" w:rsidR="00790A0D" w:rsidRPr="00DD47DF" w:rsidRDefault="00580034" w:rsidP="006D2F5F">
            <w:pPr>
              <w:pStyle w:val="Tabulka"/>
              <w:jc w:val="left"/>
              <w:rPr>
                <w:rFonts w:cs="Calibri"/>
              </w:rPr>
            </w:pPr>
            <w:hyperlink r:id="rId69" w:history="1">
              <w:r w:rsidR="00790A0D" w:rsidRPr="00DD47DF">
                <w:rPr>
                  <w:rStyle w:val="Hypertextovodkaz"/>
                  <w:rFonts w:cs="Calibri"/>
                </w:rPr>
                <w:t>http://www.portal-vz.cz/cs/Jak-na-zadavani-verejnych-zakazek/Metodiky-stanoviska</w:t>
              </w:r>
            </w:hyperlink>
          </w:p>
          <w:p w14:paraId="2F42AB07" w14:textId="77777777" w:rsidR="00790A0D" w:rsidRPr="00DD47DF" w:rsidRDefault="00790A0D" w:rsidP="006D2F5F">
            <w:pPr>
              <w:pStyle w:val="Tabulka"/>
              <w:jc w:val="left"/>
              <w:rPr>
                <w:rFonts w:cs="Calibri"/>
              </w:rPr>
            </w:pPr>
          </w:p>
          <w:p w14:paraId="2BA7F127" w14:textId="77777777" w:rsidR="00790A0D" w:rsidRPr="00DD47DF" w:rsidRDefault="00580034" w:rsidP="006D2F5F">
            <w:pPr>
              <w:pStyle w:val="Tabulka"/>
              <w:jc w:val="left"/>
              <w:rPr>
                <w:rStyle w:val="Hypertextovodkaz"/>
                <w:rFonts w:cs="Calibri"/>
              </w:rPr>
            </w:pPr>
            <w:hyperlink r:id="rId70" w:history="1">
              <w:r w:rsidR="00790A0D" w:rsidRPr="00DD47DF">
                <w:rPr>
                  <w:rStyle w:val="Hypertextovodkaz"/>
                  <w:rFonts w:cs="Calibri"/>
                </w:rPr>
                <w:t>http://www.strukturalni-fondy.cz/cs/Fondy-EU/Narodni-organ-pro-koordinaci/Dokument</w:t>
              </w:r>
              <w:r w:rsidR="00790A0D" w:rsidRPr="00DD47DF">
                <w:rPr>
                  <w:rStyle w:val="Hypertextovodkaz"/>
                  <w:rFonts w:cs="Calibri"/>
                </w:rPr>
                <w:lastRenderedPageBreak/>
                <w:t>y</w:t>
              </w:r>
            </w:hyperlink>
          </w:p>
          <w:p w14:paraId="64DB3531" w14:textId="77777777" w:rsidR="00790A0D" w:rsidRPr="00DD47DF" w:rsidRDefault="00580034" w:rsidP="006D2F5F">
            <w:pPr>
              <w:pStyle w:val="Tabulka"/>
              <w:jc w:val="left"/>
            </w:pPr>
            <w:hyperlink r:id="rId71" w:history="1">
              <w:r w:rsidR="00790A0D" w:rsidRPr="00DD47DF">
                <w:rPr>
                  <w:rStyle w:val="Hypertextovodkaz"/>
                </w:rPr>
                <w:t>http://www.portal-vz.cz/cs/Jak-na-zadavani-verejnych-zakazek/Metodiky-stanoviska</w:t>
              </w:r>
            </w:hyperlink>
          </w:p>
          <w:p w14:paraId="48947257" w14:textId="77777777" w:rsidR="00790A0D" w:rsidRPr="00DD47DF" w:rsidRDefault="00580034" w:rsidP="006D2F5F">
            <w:pPr>
              <w:pStyle w:val="Tabulka"/>
              <w:jc w:val="left"/>
            </w:pPr>
            <w:hyperlink r:id="rId72" w:history="1">
              <w:r w:rsidR="00790A0D" w:rsidRPr="00DD47DF">
                <w:rPr>
                  <w:rStyle w:val="Hypertextovodkaz"/>
                </w:rPr>
                <w:t>http://www.portal-vz.cz/cs/Jak-na-zadavani-verejnych-zakazek/Metodiky-stanoviska/Stanoviska/Stanoviska-expertni-skupiny-MMR-k-ZVZ</w:t>
              </w:r>
            </w:hyperlink>
          </w:p>
          <w:p w14:paraId="01F34FC5" w14:textId="77777777" w:rsidR="00790A0D" w:rsidRPr="00DD47DF" w:rsidRDefault="00580034" w:rsidP="006D2F5F">
            <w:pPr>
              <w:pStyle w:val="Tabulka"/>
              <w:jc w:val="left"/>
            </w:pPr>
            <w:hyperlink r:id="rId73" w:history="1">
              <w:r w:rsidR="00790A0D" w:rsidRPr="00DD47DF">
                <w:rPr>
                  <w:rStyle w:val="Hypertextovodkaz"/>
                </w:rPr>
                <w:t>http://www.portal-vz.cz/cs/Aktuality</w:t>
              </w:r>
            </w:hyperlink>
          </w:p>
          <w:p w14:paraId="6E47FC13" w14:textId="77777777" w:rsidR="00790A0D" w:rsidRPr="00DD47DF" w:rsidRDefault="00580034" w:rsidP="006D2F5F">
            <w:pPr>
              <w:pStyle w:val="Tabulka"/>
              <w:jc w:val="left"/>
              <w:rPr>
                <w:rFonts w:cs="Calibri"/>
              </w:rPr>
            </w:pPr>
            <w:hyperlink r:id="rId74" w:history="1">
              <w:r w:rsidR="00790A0D" w:rsidRPr="00DD47DF">
                <w:rPr>
                  <w:rStyle w:val="Hypertextovodkaz"/>
                </w:rPr>
                <w:t>http://mmr.cz/cs/Ministerstvo/Ministerstvo/Pro-media/Tiskove-zpravy/2014/Zakon-o-verejnych-zakazkach-pripravuje-siroke-kole</w:t>
              </w:r>
            </w:hyperlink>
          </w:p>
        </w:tc>
        <w:tc>
          <w:tcPr>
            <w:tcW w:w="4394" w:type="dxa"/>
            <w:shd w:val="clear" w:color="auto" w:fill="auto"/>
          </w:tcPr>
          <w:p w14:paraId="5A9E57FE" w14:textId="77777777" w:rsidR="00A75044" w:rsidRPr="00DD47DF" w:rsidRDefault="00A75044" w:rsidP="006D2F5F">
            <w:pPr>
              <w:pStyle w:val="Tabulka"/>
              <w:jc w:val="left"/>
              <w:rPr>
                <w:rFonts w:cs="Calibri"/>
              </w:rPr>
            </w:pPr>
            <w:r w:rsidRPr="00DD47DF">
              <w:rPr>
                <w:rFonts w:cs="Calibri"/>
              </w:rPr>
              <w:lastRenderedPageBreak/>
              <w:t xml:space="preserve">Gestor PP: plnění </w:t>
            </w:r>
            <w:r w:rsidR="000529F1" w:rsidRPr="00DD47DF">
              <w:rPr>
                <w:rFonts w:cs="Calibri"/>
              </w:rPr>
              <w:t>ČÁSTEČNĚ</w:t>
            </w:r>
          </w:p>
          <w:p w14:paraId="07A29C32" w14:textId="77777777" w:rsidR="007D179F" w:rsidRPr="00DD47DF" w:rsidRDefault="00A75044" w:rsidP="007D179F">
            <w:pPr>
              <w:pStyle w:val="DAVA"/>
              <w:spacing w:before="80" w:after="80"/>
              <w:rPr>
                <w:rFonts w:ascii="Times New Roman" w:hAnsi="Times New Roman"/>
                <w:sz w:val="22"/>
                <w:szCs w:val="22"/>
              </w:rPr>
            </w:pPr>
            <w:r w:rsidRPr="00DD47DF">
              <w:rPr>
                <w:rFonts w:ascii="Times New Roman" w:hAnsi="Times New Roman"/>
                <w:sz w:val="22"/>
                <w:szCs w:val="22"/>
              </w:rPr>
              <w:t>Přijata a uveřejněna legisl. i nelegisl. opatření (zákon č. 137/2006 Sb., č. 139/2006 Sb., novela zákona</w:t>
            </w:r>
            <w:r w:rsidRPr="00DD47DF">
              <w:rPr>
                <w:sz w:val="22"/>
                <w:szCs w:val="22"/>
              </w:rPr>
              <w:t xml:space="preserve">, </w:t>
            </w:r>
            <w:r w:rsidRPr="00DD47DF">
              <w:rPr>
                <w:rFonts w:ascii="Times New Roman" w:hAnsi="Times New Roman"/>
                <w:sz w:val="22"/>
                <w:szCs w:val="22"/>
              </w:rPr>
              <w:t>právní předpisy k zákonu o VZ (vyhl. č. 2302012 Sb., 231/2012 Sb., 232/2012 Sb., 133/2012 Sb.).zákonné opatření senátu č. 341/2013 Sb.</w:t>
            </w:r>
            <w:r w:rsidR="007D179F" w:rsidRPr="00DD47DF">
              <w:rPr>
                <w:sz w:val="22"/>
                <w:szCs w:val="22"/>
              </w:rPr>
              <w:t xml:space="preserve"> </w:t>
            </w:r>
            <w:r w:rsidR="007D179F" w:rsidRPr="00DD47DF">
              <w:rPr>
                <w:rFonts w:ascii="Times New Roman" w:hAnsi="Times New Roman"/>
                <w:sz w:val="22"/>
                <w:szCs w:val="22"/>
              </w:rPr>
              <w:t xml:space="preserve">MP pro oblast zadávání zakázek pro progr. období 2014-2020 (UV ČR č. 44 z 15.1.12014). </w:t>
            </w:r>
          </w:p>
          <w:p w14:paraId="044ED361" w14:textId="77777777" w:rsidR="00A75044" w:rsidRPr="00DD47DF" w:rsidRDefault="007D179F" w:rsidP="007D179F">
            <w:pPr>
              <w:pStyle w:val="DAVA"/>
              <w:spacing w:before="80" w:after="80"/>
              <w:rPr>
                <w:rFonts w:ascii="Times New Roman" w:hAnsi="Times New Roman"/>
                <w:sz w:val="22"/>
                <w:szCs w:val="22"/>
              </w:rPr>
            </w:pPr>
            <w:r w:rsidRPr="00DD47DF">
              <w:rPr>
                <w:rFonts w:ascii="Times New Roman" w:hAnsi="Times New Roman"/>
                <w:sz w:val="22"/>
                <w:szCs w:val="22"/>
              </w:rPr>
              <w:t>Byly ustanoveny PS VZ a PS ÚOHS.</w:t>
            </w:r>
          </w:p>
          <w:p w14:paraId="5F0FDFF7" w14:textId="77777777" w:rsidR="00A75044" w:rsidRPr="00DD47DF" w:rsidRDefault="00A75044" w:rsidP="006D2F5F">
            <w:pPr>
              <w:pStyle w:val="Tabulka"/>
              <w:jc w:val="left"/>
              <w:rPr>
                <w:rFonts w:cs="Calibri"/>
              </w:rPr>
            </w:pPr>
            <w:r w:rsidRPr="00DD47DF">
              <w:rPr>
                <w:rFonts w:cs="Calibri"/>
              </w:rPr>
              <w:t>ŘO: plnění ANO</w:t>
            </w:r>
          </w:p>
          <w:p w14:paraId="7F0FFB9D" w14:textId="77777777" w:rsidR="00790A0D" w:rsidRPr="00DD47DF" w:rsidRDefault="00790A0D" w:rsidP="006D2F5F">
            <w:pPr>
              <w:pStyle w:val="Tabulka"/>
              <w:jc w:val="left"/>
              <w:rPr>
                <w:rFonts w:cs="Calibri"/>
              </w:rPr>
            </w:pPr>
            <w:r w:rsidRPr="00DD47DF">
              <w:rPr>
                <w:rFonts w:cs="Calibri"/>
              </w:rPr>
              <w:t>V OP PIK bude zadávání veřejných zakázek upraveno platnými právními předpisy (zákon č. 137/2006 Sb., o veřejných zakázkách), resp. závaznými pokyny pro zadávání veřejných zakázek pro zakázky, které nespadají pod režim zákona - M</w:t>
            </w:r>
            <w:r w:rsidR="007D179F" w:rsidRPr="00DD47DF">
              <w:rPr>
                <w:rFonts w:cs="Calibri"/>
              </w:rPr>
              <w:t xml:space="preserve">P </w:t>
            </w:r>
            <w:r w:rsidRPr="00DD47DF">
              <w:rPr>
                <w:rFonts w:cs="Calibri"/>
              </w:rPr>
              <w:t xml:space="preserve">pro oblast zadávání zakázek pro programové období 2014-2020. Metodické pokyny zpracované na národní úrovni (MMR) budou rozpracovány do pokynů pro příjemce </w:t>
            </w:r>
            <w:r w:rsidRPr="00DD47DF">
              <w:rPr>
                <w:rFonts w:cs="Calibri"/>
              </w:rPr>
              <w:lastRenderedPageBreak/>
              <w:t xml:space="preserve">v OP PIK. ŘO OP PIK počítá s prováděním 2-stupňové kontroly zadávání veřej. zakázek (1. stupeň na úrovni </w:t>
            </w:r>
            <w:r w:rsidR="007D179F" w:rsidRPr="00DD47DF">
              <w:rPr>
                <w:rFonts w:cs="Calibri"/>
              </w:rPr>
              <w:t>ZS</w:t>
            </w:r>
            <w:r w:rsidRPr="00DD47DF">
              <w:rPr>
                <w:rFonts w:cs="Calibri"/>
              </w:rPr>
              <w:t>, 2. stupeň na úrovní Ř</w:t>
            </w:r>
            <w:r w:rsidR="007D179F" w:rsidRPr="00DD47DF">
              <w:rPr>
                <w:rFonts w:cs="Calibri"/>
              </w:rPr>
              <w:t>O</w:t>
            </w:r>
            <w:r w:rsidRPr="00DD47DF">
              <w:rPr>
                <w:rFonts w:cs="Calibri"/>
              </w:rPr>
              <w:t>).</w:t>
            </w:r>
          </w:p>
          <w:p w14:paraId="2334C407" w14:textId="77777777" w:rsidR="00F72210" w:rsidRPr="00DD47DF" w:rsidRDefault="00F72210" w:rsidP="006D2F5F">
            <w:pPr>
              <w:pStyle w:val="Tabulka"/>
              <w:jc w:val="left"/>
              <w:rPr>
                <w:rFonts w:cs="Calibri"/>
              </w:rPr>
            </w:pPr>
            <w:r w:rsidRPr="00DD47DF">
              <w:rPr>
                <w:rFonts w:cs="Calibri"/>
              </w:rPr>
              <w:t>Viz též Příloha II.</w:t>
            </w:r>
          </w:p>
          <w:p w14:paraId="3A50FC1D" w14:textId="77777777" w:rsidR="000D5493" w:rsidRPr="00DD47DF" w:rsidRDefault="00790A0D" w:rsidP="000D5493">
            <w:pPr>
              <w:pStyle w:val="Tabulka"/>
              <w:jc w:val="left"/>
              <w:rPr>
                <w:rFonts w:cs="Calibri"/>
              </w:rPr>
            </w:pPr>
            <w:r w:rsidRPr="00DD47DF">
              <w:rPr>
                <w:rFonts w:cs="Calibri"/>
              </w:rPr>
              <w:t>Specifické naplňování na národní úrovni</w:t>
            </w:r>
            <w:r w:rsidR="000D5493" w:rsidRPr="00DD47DF">
              <w:rPr>
                <w:rFonts w:cs="Calibri"/>
              </w:rPr>
              <w:t xml:space="preserve"> viz Příloha II. </w:t>
            </w:r>
          </w:p>
          <w:p w14:paraId="4FE4A785" w14:textId="77777777" w:rsidR="00790A0D" w:rsidRPr="00DD47DF" w:rsidRDefault="00790A0D" w:rsidP="006D2F5F">
            <w:pPr>
              <w:pStyle w:val="Tabulka"/>
              <w:jc w:val="left"/>
              <w:rPr>
                <w:rFonts w:cs="Calibri"/>
              </w:rPr>
            </w:pPr>
          </w:p>
        </w:tc>
      </w:tr>
      <w:tr w:rsidR="00790A0D" w:rsidRPr="00DD47DF" w14:paraId="7DD8D044" w14:textId="77777777" w:rsidTr="006D2F5F">
        <w:tc>
          <w:tcPr>
            <w:tcW w:w="1752" w:type="dxa"/>
            <w:vMerge/>
            <w:shd w:val="clear" w:color="auto" w:fill="auto"/>
          </w:tcPr>
          <w:p w14:paraId="78B6BD98" w14:textId="77777777" w:rsidR="00790A0D" w:rsidRPr="00DD47DF" w:rsidRDefault="00790A0D" w:rsidP="006D2F5F">
            <w:pPr>
              <w:pStyle w:val="Tabulka"/>
              <w:jc w:val="left"/>
              <w:rPr>
                <w:rFonts w:cs="Calibri"/>
                <w:b/>
              </w:rPr>
            </w:pPr>
          </w:p>
        </w:tc>
        <w:tc>
          <w:tcPr>
            <w:tcW w:w="1701" w:type="dxa"/>
            <w:vMerge/>
            <w:shd w:val="clear" w:color="auto" w:fill="auto"/>
          </w:tcPr>
          <w:p w14:paraId="159465A2" w14:textId="77777777" w:rsidR="00790A0D" w:rsidRPr="00DD47DF" w:rsidRDefault="00790A0D" w:rsidP="006D2F5F">
            <w:pPr>
              <w:pStyle w:val="Tabulka"/>
              <w:jc w:val="left"/>
              <w:rPr>
                <w:rFonts w:cs="Calibri"/>
              </w:rPr>
            </w:pPr>
          </w:p>
        </w:tc>
        <w:tc>
          <w:tcPr>
            <w:tcW w:w="1276" w:type="dxa"/>
            <w:vMerge/>
            <w:shd w:val="clear" w:color="auto" w:fill="auto"/>
          </w:tcPr>
          <w:p w14:paraId="790BC39A" w14:textId="77777777" w:rsidR="00790A0D" w:rsidRPr="00DD47DF" w:rsidRDefault="00790A0D" w:rsidP="006D2F5F">
            <w:pPr>
              <w:pStyle w:val="Tabulka"/>
              <w:jc w:val="left"/>
              <w:rPr>
                <w:rFonts w:cs="Calibri"/>
              </w:rPr>
            </w:pPr>
          </w:p>
        </w:tc>
        <w:tc>
          <w:tcPr>
            <w:tcW w:w="1843" w:type="dxa"/>
            <w:shd w:val="clear" w:color="auto" w:fill="auto"/>
          </w:tcPr>
          <w:p w14:paraId="535BDD49" w14:textId="77777777" w:rsidR="00790A0D" w:rsidRPr="00DD47DF" w:rsidRDefault="00790A0D" w:rsidP="006D2F5F">
            <w:pPr>
              <w:pStyle w:val="Tabulka"/>
              <w:jc w:val="left"/>
              <w:rPr>
                <w:rFonts w:cs="Calibri"/>
              </w:rPr>
            </w:pPr>
            <w:r w:rsidRPr="00DD47DF">
              <w:rPr>
                <w:rFonts w:cs="Calibri"/>
              </w:rPr>
              <w:t>Opatření, jež zajišťují transparentní postupy zadávání veřejných zakázek.</w:t>
            </w:r>
          </w:p>
        </w:tc>
        <w:tc>
          <w:tcPr>
            <w:tcW w:w="1134" w:type="dxa"/>
            <w:shd w:val="clear" w:color="auto" w:fill="auto"/>
          </w:tcPr>
          <w:p w14:paraId="06451A8E"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241875AE" w14:textId="77777777" w:rsidR="00790A0D" w:rsidRPr="00DD47DF" w:rsidRDefault="00580034" w:rsidP="006D2F5F">
            <w:pPr>
              <w:pStyle w:val="Tabulka"/>
              <w:jc w:val="left"/>
            </w:pPr>
            <w:hyperlink r:id="rId75" w:history="1">
              <w:r w:rsidR="00790A0D" w:rsidRPr="00DD47DF">
                <w:rPr>
                  <w:rStyle w:val="Hypertextovodkaz"/>
                </w:rPr>
                <w:t>http://www.portal-vz.cz/cs/Jak-na-zadavani-verejnych-zakazek/Legislativa-a-Judikatura/Legislativa/Narodni-legislativa-aktualni-a-uplne-zneni-z-(1)</w:t>
              </w:r>
            </w:hyperlink>
          </w:p>
          <w:p w14:paraId="5967619C" w14:textId="77777777" w:rsidR="00790A0D" w:rsidRPr="00DD47DF" w:rsidRDefault="00580034" w:rsidP="006D2F5F">
            <w:pPr>
              <w:pStyle w:val="Tabulka"/>
              <w:jc w:val="left"/>
            </w:pPr>
            <w:hyperlink r:id="rId76" w:history="1">
              <w:r w:rsidR="00790A0D" w:rsidRPr="00DD47DF">
                <w:rPr>
                  <w:rStyle w:val="Hypertextovodkaz"/>
                </w:rPr>
                <w:t>http://www.portal-vz.cz/cs/Jak-na-</w:t>
              </w:r>
              <w:r w:rsidR="00790A0D" w:rsidRPr="00DD47DF">
                <w:rPr>
                  <w:rStyle w:val="Hypertextovodkaz"/>
                </w:rPr>
                <w:lastRenderedPageBreak/>
                <w:t>zadavani-verejnych-zakazek/Metodiky-stanoviska/Metodicke-pokyny</w:t>
              </w:r>
            </w:hyperlink>
          </w:p>
          <w:p w14:paraId="6E188FDC" w14:textId="77777777" w:rsidR="00790A0D" w:rsidRPr="00DD47DF" w:rsidRDefault="00580034" w:rsidP="006D2F5F">
            <w:pPr>
              <w:pStyle w:val="Tabulka"/>
              <w:jc w:val="left"/>
              <w:rPr>
                <w:rStyle w:val="Hypertextovodkaz"/>
              </w:rPr>
            </w:pPr>
            <w:hyperlink r:id="rId77" w:history="1">
              <w:r w:rsidR="00790A0D" w:rsidRPr="00DD47DF">
                <w:rPr>
                  <w:rStyle w:val="Hypertextovodkaz"/>
                </w:rPr>
                <w:t>http://www.vestnikverejnychzakazek.cz/</w:t>
              </w:r>
            </w:hyperlink>
          </w:p>
          <w:p w14:paraId="3F53E43B" w14:textId="77777777" w:rsidR="00790A0D" w:rsidRPr="00DD47DF" w:rsidRDefault="00790A0D" w:rsidP="006D2F5F">
            <w:pPr>
              <w:pStyle w:val="Tabulka"/>
              <w:jc w:val="left"/>
              <w:rPr>
                <w:rStyle w:val="Hypertextovodkaz"/>
              </w:rPr>
            </w:pPr>
          </w:p>
          <w:p w14:paraId="10678846" w14:textId="77777777" w:rsidR="00790A0D" w:rsidRPr="00DD47DF" w:rsidRDefault="00580034" w:rsidP="006D2F5F">
            <w:pPr>
              <w:pStyle w:val="Tabulka"/>
              <w:jc w:val="left"/>
            </w:pPr>
            <w:hyperlink r:id="rId78" w:history="1">
              <w:r w:rsidR="00790A0D" w:rsidRPr="00DD47DF">
                <w:rPr>
                  <w:rStyle w:val="Hypertextovodkaz"/>
                </w:rPr>
                <w:t>http://www.portal-vz.cz/cs/Aktuality/Informace-k-postupu-pri-uverejnovani-v-souvislosti</w:t>
              </w:r>
            </w:hyperlink>
          </w:p>
        </w:tc>
        <w:tc>
          <w:tcPr>
            <w:tcW w:w="4394" w:type="dxa"/>
            <w:shd w:val="clear" w:color="auto" w:fill="auto"/>
          </w:tcPr>
          <w:p w14:paraId="6EE39AED" w14:textId="77777777" w:rsidR="00CE2604" w:rsidRPr="00DD47DF" w:rsidRDefault="00CE2604" w:rsidP="006D2F5F">
            <w:pPr>
              <w:pStyle w:val="Tabulka"/>
              <w:jc w:val="left"/>
              <w:rPr>
                <w:rFonts w:cs="Calibri"/>
              </w:rPr>
            </w:pPr>
            <w:r w:rsidRPr="00DD47DF">
              <w:rPr>
                <w:rFonts w:cs="Calibri"/>
              </w:rPr>
              <w:lastRenderedPageBreak/>
              <w:t>Gestor PP:</w:t>
            </w:r>
            <w:r w:rsidR="00D709F2" w:rsidRPr="00DD47DF">
              <w:rPr>
                <w:rFonts w:cs="Calibri"/>
              </w:rPr>
              <w:t xml:space="preserve"> </w:t>
            </w:r>
            <w:r w:rsidRPr="00DD47DF">
              <w:rPr>
                <w:rFonts w:cs="Calibri"/>
              </w:rPr>
              <w:t>Plnění ANO</w:t>
            </w:r>
          </w:p>
          <w:p w14:paraId="2CBB6A76" w14:textId="77777777" w:rsidR="00CE2604" w:rsidRPr="00DD47DF" w:rsidRDefault="00CE2604" w:rsidP="006D2F5F">
            <w:pPr>
              <w:pStyle w:val="Tabulka"/>
              <w:jc w:val="left"/>
              <w:rPr>
                <w:rFonts w:cs="Calibri"/>
              </w:rPr>
            </w:pPr>
            <w:r w:rsidRPr="00DD47DF">
              <w:t>Přijato, uveřejněno: zákon č. 55/2012 Sb. metodika zadávání veřejných zakázek; metodické stanovisko k příloze vyhlášky č. 9/2011 Sb.;</w:t>
            </w:r>
            <w:r w:rsidR="00FC7C71" w:rsidRPr="00DD47DF">
              <w:t xml:space="preserve"> </w:t>
            </w:r>
            <w:r w:rsidRPr="00DD47DF">
              <w:t xml:space="preserve">metodika k vyhlášce 133/2012 Sb., technická novela zákona č. 137/2006 Sb., o veřejných zakázkách, Metodika k vyhlášce o uveřejňování vyhlášení pro účely zákona o veřejných zakázkách a náležitostech profilu zadavatele; </w:t>
            </w:r>
            <w:r w:rsidRPr="00DD47DF">
              <w:rPr>
                <w:bCs/>
              </w:rPr>
              <w:t>věstník veřejných zakázek</w:t>
            </w:r>
            <w:r w:rsidR="00D709F2" w:rsidRPr="00DD47DF">
              <w:rPr>
                <w:bCs/>
              </w:rPr>
              <w:t>.</w:t>
            </w:r>
          </w:p>
          <w:p w14:paraId="2CF00E28" w14:textId="77777777" w:rsidR="00A147B1" w:rsidRPr="00DD47DF" w:rsidRDefault="00CE2604" w:rsidP="006D2F5F">
            <w:pPr>
              <w:pStyle w:val="Tabulka"/>
              <w:jc w:val="left"/>
              <w:rPr>
                <w:rFonts w:cs="Calibri"/>
              </w:rPr>
            </w:pPr>
            <w:r w:rsidRPr="00DD47DF">
              <w:rPr>
                <w:rFonts w:cs="Calibri"/>
              </w:rPr>
              <w:lastRenderedPageBreak/>
              <w:t xml:space="preserve">ŘO: plnění </w:t>
            </w:r>
            <w:r w:rsidR="00A147B1" w:rsidRPr="00DD47DF">
              <w:rPr>
                <w:rFonts w:cs="Calibri"/>
              </w:rPr>
              <w:t>ANO</w:t>
            </w:r>
          </w:p>
          <w:p w14:paraId="105BCD7B" w14:textId="77777777" w:rsidR="00790A0D" w:rsidRPr="00DD47DF" w:rsidRDefault="00790A0D" w:rsidP="002B0D4F">
            <w:pPr>
              <w:pStyle w:val="Tabulka"/>
              <w:jc w:val="left"/>
            </w:pPr>
            <w:r w:rsidRPr="00DD47DF">
              <w:rPr>
                <w:rFonts w:cs="Calibri"/>
              </w:rPr>
              <w:t xml:space="preserve">Postupy zadávání veřejných zakázek v OP PIK jsou upraveny platnou legislativou a schválenými metodickými dokumenty a rozpracovány v řídící dokumentaci OP PIK a </w:t>
            </w:r>
            <w:r w:rsidR="00BB3F8F" w:rsidRPr="00DD47DF">
              <w:rPr>
                <w:rFonts w:cs="Calibri"/>
              </w:rPr>
              <w:t xml:space="preserve">Příručce </w:t>
            </w:r>
            <w:r w:rsidRPr="00DD47DF">
              <w:rPr>
                <w:rFonts w:cs="Calibri"/>
              </w:rPr>
              <w:t xml:space="preserve">pro žadatele. </w:t>
            </w:r>
            <w:r w:rsidRPr="00DD47DF">
              <w:t xml:space="preserve">V OP PIK bude prováděna kontrola zadávacího řízení před vydáním rozhodnutí o poskytnutí dotace ve 2 fázích. </w:t>
            </w:r>
            <w:r w:rsidR="004443C7" w:rsidRPr="00DD47DF">
              <w:t xml:space="preserve">ŘO OP PIK bude i nadále využívat </w:t>
            </w:r>
            <w:r w:rsidR="00C57316" w:rsidRPr="00DD47DF">
              <w:t>nástroj Arachne.</w:t>
            </w:r>
          </w:p>
          <w:p w14:paraId="2CE69CF6" w14:textId="77777777" w:rsidR="00790A0D" w:rsidRPr="00DD47DF" w:rsidRDefault="00790A0D" w:rsidP="006D2F5F">
            <w:pPr>
              <w:pStyle w:val="Tabulka"/>
              <w:jc w:val="left"/>
              <w:rPr>
                <w:rFonts w:cs="Calibri"/>
              </w:rPr>
            </w:pPr>
            <w:r w:rsidRPr="00DD47DF">
              <w:rPr>
                <w:rFonts w:cs="Calibri"/>
              </w:rPr>
              <w:t>ŘO bude pořádat školení pro pracovníky implementační struktury i žadatele vč. doporučení jak předcházet chybám.</w:t>
            </w:r>
          </w:p>
          <w:p w14:paraId="26204277" w14:textId="77777777" w:rsidR="00790A0D" w:rsidRPr="00DD47DF" w:rsidRDefault="00790A0D" w:rsidP="006D2F5F">
            <w:pPr>
              <w:pStyle w:val="Tabulka"/>
              <w:jc w:val="left"/>
              <w:rPr>
                <w:rFonts w:cs="Calibri"/>
              </w:rPr>
            </w:pPr>
            <w:r w:rsidRPr="00DD47DF">
              <w:rPr>
                <w:rFonts w:cs="Calibri"/>
              </w:rPr>
              <w:t>Viz Příloha č. II.</w:t>
            </w:r>
          </w:p>
          <w:p w14:paraId="3EA29271" w14:textId="77777777" w:rsidR="00790A0D" w:rsidRPr="00DD47DF" w:rsidRDefault="00790A0D" w:rsidP="006D2F5F">
            <w:pPr>
              <w:pStyle w:val="Tabulka"/>
              <w:jc w:val="left"/>
              <w:rPr>
                <w:rFonts w:cs="Calibri"/>
              </w:rPr>
            </w:pPr>
            <w:r w:rsidRPr="00DD47DF">
              <w:rPr>
                <w:rFonts w:cs="Calibri"/>
              </w:rPr>
              <w:t xml:space="preserve">Specifické naplňování na národní úrovni </w:t>
            </w:r>
            <w:r w:rsidR="00CE2604" w:rsidRPr="00DD47DF">
              <w:rPr>
                <w:rFonts w:cs="Calibri"/>
              </w:rPr>
              <w:t xml:space="preserve"> -</w:t>
            </w:r>
            <w:r w:rsidR="000D5493" w:rsidRPr="00DD47DF">
              <w:rPr>
                <w:rFonts w:cs="Calibri"/>
              </w:rPr>
              <w:t>viz Příloha II.</w:t>
            </w:r>
          </w:p>
        </w:tc>
      </w:tr>
      <w:tr w:rsidR="00790A0D" w:rsidRPr="00DD47DF" w14:paraId="5D4C0E7E" w14:textId="77777777" w:rsidTr="006D2F5F">
        <w:tc>
          <w:tcPr>
            <w:tcW w:w="1752" w:type="dxa"/>
            <w:vMerge/>
            <w:shd w:val="clear" w:color="auto" w:fill="auto"/>
          </w:tcPr>
          <w:p w14:paraId="01BAAB08" w14:textId="77777777" w:rsidR="00790A0D" w:rsidRPr="00DD47DF" w:rsidRDefault="00790A0D" w:rsidP="006D2F5F">
            <w:pPr>
              <w:pStyle w:val="Tabulka"/>
              <w:jc w:val="left"/>
              <w:rPr>
                <w:rFonts w:cs="Calibri"/>
                <w:b/>
              </w:rPr>
            </w:pPr>
          </w:p>
        </w:tc>
        <w:tc>
          <w:tcPr>
            <w:tcW w:w="1701" w:type="dxa"/>
            <w:vMerge/>
            <w:shd w:val="clear" w:color="auto" w:fill="auto"/>
          </w:tcPr>
          <w:p w14:paraId="713FFBCA" w14:textId="77777777" w:rsidR="00790A0D" w:rsidRPr="00DD47DF" w:rsidRDefault="00790A0D" w:rsidP="006D2F5F">
            <w:pPr>
              <w:pStyle w:val="Tabulka"/>
              <w:jc w:val="left"/>
              <w:rPr>
                <w:rFonts w:cs="Calibri"/>
              </w:rPr>
            </w:pPr>
          </w:p>
        </w:tc>
        <w:tc>
          <w:tcPr>
            <w:tcW w:w="1276" w:type="dxa"/>
            <w:vMerge/>
            <w:shd w:val="clear" w:color="auto" w:fill="auto"/>
          </w:tcPr>
          <w:p w14:paraId="3EAB62D4" w14:textId="77777777" w:rsidR="00790A0D" w:rsidRPr="00DD47DF" w:rsidRDefault="00790A0D" w:rsidP="006D2F5F">
            <w:pPr>
              <w:pStyle w:val="Tabulka"/>
              <w:jc w:val="left"/>
              <w:rPr>
                <w:rFonts w:cs="Calibri"/>
              </w:rPr>
            </w:pPr>
          </w:p>
        </w:tc>
        <w:tc>
          <w:tcPr>
            <w:tcW w:w="1843" w:type="dxa"/>
            <w:shd w:val="clear" w:color="auto" w:fill="auto"/>
          </w:tcPr>
          <w:p w14:paraId="4FFB45E4" w14:textId="77777777" w:rsidR="00790A0D" w:rsidRPr="00DD47DF" w:rsidRDefault="00790A0D" w:rsidP="006D2F5F">
            <w:pPr>
              <w:pStyle w:val="Tabulka"/>
              <w:jc w:val="left"/>
              <w:rPr>
                <w:rFonts w:cs="Calibri"/>
              </w:rPr>
            </w:pPr>
            <w:r w:rsidRPr="00DD47DF">
              <w:rPr>
                <w:rFonts w:cs="Calibri"/>
              </w:rPr>
              <w:t>Opatření pro odbornou přípravu a šíření informací pro zaměstnance podílející se na provádění fondů ESI.</w:t>
            </w:r>
          </w:p>
        </w:tc>
        <w:tc>
          <w:tcPr>
            <w:tcW w:w="1134" w:type="dxa"/>
            <w:shd w:val="clear" w:color="auto" w:fill="auto"/>
          </w:tcPr>
          <w:p w14:paraId="75B524BA" w14:textId="77777777" w:rsidR="00790A0D" w:rsidRPr="00DD47DF" w:rsidRDefault="001C1D41" w:rsidP="006D2F5F">
            <w:pPr>
              <w:pStyle w:val="Tabulka"/>
              <w:jc w:val="left"/>
              <w:rPr>
                <w:rFonts w:cs="Calibri"/>
              </w:rPr>
            </w:pPr>
            <w:r w:rsidRPr="00DD47DF">
              <w:rPr>
                <w:rFonts w:cs="Calibri"/>
              </w:rPr>
              <w:t>NE</w:t>
            </w:r>
          </w:p>
        </w:tc>
        <w:tc>
          <w:tcPr>
            <w:tcW w:w="2126" w:type="dxa"/>
            <w:shd w:val="clear" w:color="auto" w:fill="auto"/>
          </w:tcPr>
          <w:p w14:paraId="414ED8CC" w14:textId="77777777" w:rsidR="00790A0D" w:rsidRPr="00DD47DF" w:rsidRDefault="00580034" w:rsidP="006D2F5F">
            <w:pPr>
              <w:pStyle w:val="Tabulka"/>
              <w:jc w:val="left"/>
              <w:rPr>
                <w:rStyle w:val="Hypertextovodkaz"/>
              </w:rPr>
            </w:pPr>
            <w:hyperlink r:id="rId79" w:history="1">
              <w:r w:rsidR="00790A0D" w:rsidRPr="00DD47DF">
                <w:rPr>
                  <w:rStyle w:val="Hypertextovodkaz"/>
                </w:rPr>
                <w:t>http://www.portal-vz.cz/cs/Spoluprace-a-vymena-informaci/Info-forum/Otazky-a-odpovedi</w:t>
              </w:r>
            </w:hyperlink>
          </w:p>
          <w:p w14:paraId="08DFF33D" w14:textId="77777777" w:rsidR="00790A0D" w:rsidRPr="00DD47DF" w:rsidRDefault="00790A0D" w:rsidP="006D2F5F">
            <w:pPr>
              <w:pStyle w:val="Tabulka"/>
              <w:jc w:val="left"/>
              <w:rPr>
                <w:rStyle w:val="Hypertextovodkaz"/>
              </w:rPr>
            </w:pPr>
          </w:p>
          <w:p w14:paraId="12831892" w14:textId="77777777" w:rsidR="00790A0D" w:rsidRPr="00DD47DF" w:rsidRDefault="00580034" w:rsidP="006D2F5F">
            <w:pPr>
              <w:pStyle w:val="Default"/>
              <w:rPr>
                <w:rFonts w:ascii="Times New Roman" w:hAnsi="Times New Roman" w:cs="Times New Roman"/>
                <w:sz w:val="22"/>
                <w:szCs w:val="22"/>
              </w:rPr>
            </w:pPr>
            <w:hyperlink r:id="rId80" w:history="1">
              <w:r w:rsidR="00790A0D" w:rsidRPr="00DD47DF">
                <w:rPr>
                  <w:rStyle w:val="Hypertextovodkaz"/>
                  <w:rFonts w:ascii="Times New Roman" w:hAnsi="Times New Roman" w:cs="Times New Roman"/>
                  <w:sz w:val="22"/>
                  <w:szCs w:val="22"/>
                </w:rPr>
                <w:t xml:space="preserve">http://www.mmr.cz/cs/Verejne-zakazky/Verejne-zakazky-a-PPP/Informace-Udalosti/Konference-Pripravovane-zmeny-v-oblasti-verejneho </w:t>
              </w:r>
            </w:hyperlink>
          </w:p>
          <w:p w14:paraId="4A524F5D" w14:textId="77777777" w:rsidR="00790A0D" w:rsidRPr="00DD47DF" w:rsidRDefault="00790A0D" w:rsidP="006D2F5F">
            <w:pPr>
              <w:pStyle w:val="Tabulka"/>
              <w:jc w:val="left"/>
              <w:rPr>
                <w:rStyle w:val="Hypertextovodkaz"/>
              </w:rPr>
            </w:pPr>
          </w:p>
          <w:p w14:paraId="52BB70B6" w14:textId="77777777" w:rsidR="00790A0D" w:rsidRPr="00DD47DF" w:rsidRDefault="00790A0D" w:rsidP="006D2F5F">
            <w:pPr>
              <w:pStyle w:val="Tabulka"/>
              <w:jc w:val="left"/>
            </w:pPr>
          </w:p>
          <w:p w14:paraId="7BDFCC5B" w14:textId="77777777" w:rsidR="00790A0D" w:rsidRPr="00DD47DF" w:rsidRDefault="00580034" w:rsidP="006D2F5F">
            <w:pPr>
              <w:pStyle w:val="Tabulka"/>
              <w:jc w:val="left"/>
            </w:pPr>
            <w:hyperlink r:id="rId81" w:history="1">
              <w:r w:rsidR="00790A0D" w:rsidRPr="00DD47DF">
                <w:rPr>
                  <w:rStyle w:val="Hypertextovodkaz"/>
                </w:rPr>
                <w:t>http://www.strukturalni-fondy.cz/cs/Fondy-EU/2014-2020/Metodicke-pokyny/Metodika-rozvoje-lidskych-zdroju</w:t>
              </w:r>
            </w:hyperlink>
          </w:p>
        </w:tc>
        <w:tc>
          <w:tcPr>
            <w:tcW w:w="4394" w:type="dxa"/>
            <w:shd w:val="clear" w:color="auto" w:fill="auto"/>
          </w:tcPr>
          <w:p w14:paraId="53AFC1E2" w14:textId="77777777" w:rsidR="001C1D41" w:rsidRPr="00DD47DF" w:rsidRDefault="001C1D41" w:rsidP="006D2F5F">
            <w:pPr>
              <w:pStyle w:val="Tabulka"/>
              <w:jc w:val="left"/>
              <w:rPr>
                <w:rFonts w:cs="Calibri"/>
              </w:rPr>
            </w:pPr>
            <w:r w:rsidRPr="00DD47DF">
              <w:rPr>
                <w:rFonts w:cs="Calibri"/>
              </w:rPr>
              <w:lastRenderedPageBreak/>
              <w:t xml:space="preserve">Gestor PP: Plnění </w:t>
            </w:r>
            <w:r w:rsidR="000529F1" w:rsidRPr="00DD47DF">
              <w:rPr>
                <w:rFonts w:cs="Calibri"/>
              </w:rPr>
              <w:t>ČÁSTEČNĚ</w:t>
            </w:r>
          </w:p>
          <w:p w14:paraId="18ADDAA3" w14:textId="77777777" w:rsidR="00790A0D" w:rsidRPr="00DD47DF" w:rsidRDefault="001C1D41" w:rsidP="006D2F5F">
            <w:pPr>
              <w:pStyle w:val="Tabulka"/>
              <w:jc w:val="left"/>
              <w:rPr>
                <w:rFonts w:cs="Calibri"/>
              </w:rPr>
            </w:pPr>
            <w:r w:rsidRPr="00DD47DF">
              <w:rPr>
                <w:rFonts w:cs="Calibri"/>
              </w:rPr>
              <w:t xml:space="preserve">PS VZ. </w:t>
            </w:r>
            <w:r w:rsidRPr="00DD47DF">
              <w:rPr>
                <w:color w:val="000000"/>
              </w:rPr>
              <w:t>Vzdělávací semináře pro příjemce podpory a pro subjekty implementačních struktur programů. Poskytován výklad ZVZ a metodických pokynů platných pro zadávání zakázek.</w:t>
            </w:r>
            <w:r w:rsidRPr="00DD47DF">
              <w:rPr>
                <w:rFonts w:cs="Calibri"/>
              </w:rPr>
              <w:t xml:space="preserve"> </w:t>
            </w:r>
            <w:r w:rsidR="00790A0D" w:rsidRPr="00DD47DF">
              <w:rPr>
                <w:rFonts w:cs="Calibri"/>
              </w:rPr>
              <w:t>MMR-NOK zajišťuje na horizontální úrovni proškolení zaměstnanců implementujících čerpání příspěvků z fondů EU v rámci Systému vzdělávání, MMR (OPVZK) zajišťuje obsahovou náplň vzdělávání a lektorské zajištění.</w:t>
            </w:r>
          </w:p>
          <w:p w14:paraId="60A96964" w14:textId="77777777" w:rsidR="001C1D41" w:rsidRPr="00DD47DF" w:rsidRDefault="001C1D41" w:rsidP="006D2F5F">
            <w:pPr>
              <w:pStyle w:val="Tabulka"/>
              <w:jc w:val="left"/>
              <w:rPr>
                <w:rFonts w:cs="Calibri"/>
              </w:rPr>
            </w:pPr>
            <w:r w:rsidRPr="00DD47DF">
              <w:rPr>
                <w:rFonts w:cs="Calibri"/>
              </w:rPr>
              <w:t>ŘO: Plnění ANO</w:t>
            </w:r>
          </w:p>
          <w:p w14:paraId="5E3D1AC9" w14:textId="77777777" w:rsidR="00790A0D" w:rsidRPr="00DD47DF" w:rsidRDefault="00790A0D" w:rsidP="006D2F5F">
            <w:pPr>
              <w:pStyle w:val="Tabulka"/>
              <w:jc w:val="left"/>
              <w:rPr>
                <w:rFonts w:cs="Calibri"/>
              </w:rPr>
            </w:pPr>
            <w:r w:rsidRPr="00DD47DF">
              <w:rPr>
                <w:rFonts w:cs="Calibri"/>
              </w:rPr>
              <w:t xml:space="preserve">MPO jako Řídící orgán OP PIK průběžně proškoluje zaměstnance v závislosti na aktuální potřebě. Důraz je kladen především na </w:t>
            </w:r>
            <w:r w:rsidRPr="00DD47DF">
              <w:rPr>
                <w:rFonts w:cs="Calibri"/>
              </w:rPr>
              <w:lastRenderedPageBreak/>
              <w:t xml:space="preserve">proškolení zaměstnanců v oblasti nových právních předpisů a jejich aplikace do praxe. Zaměstnanci </w:t>
            </w:r>
            <w:r w:rsidR="00334342" w:rsidRPr="00DD47DF">
              <w:rPr>
                <w:rFonts w:cs="Calibri"/>
              </w:rPr>
              <w:t xml:space="preserve">implementující </w:t>
            </w:r>
            <w:r w:rsidRPr="00DD47DF">
              <w:rPr>
                <w:rFonts w:cs="Calibri"/>
              </w:rPr>
              <w:t>OP PIK jsou zapojeni do Systému vzdělávání.</w:t>
            </w:r>
          </w:p>
          <w:p w14:paraId="69397BB7" w14:textId="77777777" w:rsidR="00790A0D" w:rsidRPr="00DD47DF" w:rsidRDefault="004304A0" w:rsidP="000D5493">
            <w:pPr>
              <w:pStyle w:val="Tabulka"/>
              <w:jc w:val="left"/>
              <w:rPr>
                <w:rFonts w:cs="Calibri"/>
              </w:rPr>
            </w:pPr>
            <w:r w:rsidRPr="00DD47DF">
              <w:rPr>
                <w:rFonts w:cs="Calibri"/>
              </w:rPr>
              <w:t>Viz též Příloha II.</w:t>
            </w:r>
          </w:p>
        </w:tc>
      </w:tr>
      <w:tr w:rsidR="00790A0D" w:rsidRPr="00DD47DF" w14:paraId="696AD32D" w14:textId="77777777" w:rsidTr="006D2F5F">
        <w:tc>
          <w:tcPr>
            <w:tcW w:w="1752" w:type="dxa"/>
            <w:vMerge/>
            <w:shd w:val="clear" w:color="auto" w:fill="auto"/>
          </w:tcPr>
          <w:p w14:paraId="49D4F102" w14:textId="77777777" w:rsidR="00790A0D" w:rsidRPr="00DD47DF" w:rsidRDefault="00790A0D" w:rsidP="006D2F5F">
            <w:pPr>
              <w:pStyle w:val="Tabulka"/>
              <w:jc w:val="left"/>
              <w:rPr>
                <w:rFonts w:cs="Calibri"/>
                <w:b/>
              </w:rPr>
            </w:pPr>
          </w:p>
        </w:tc>
        <w:tc>
          <w:tcPr>
            <w:tcW w:w="1701" w:type="dxa"/>
            <w:vMerge/>
            <w:shd w:val="clear" w:color="auto" w:fill="auto"/>
          </w:tcPr>
          <w:p w14:paraId="092EAF86" w14:textId="77777777" w:rsidR="00790A0D" w:rsidRPr="00DD47DF" w:rsidRDefault="00790A0D" w:rsidP="006D2F5F">
            <w:pPr>
              <w:pStyle w:val="Tabulka"/>
              <w:jc w:val="left"/>
              <w:rPr>
                <w:rFonts w:cs="Calibri"/>
              </w:rPr>
            </w:pPr>
          </w:p>
        </w:tc>
        <w:tc>
          <w:tcPr>
            <w:tcW w:w="1276" w:type="dxa"/>
            <w:vMerge/>
            <w:shd w:val="clear" w:color="auto" w:fill="auto"/>
          </w:tcPr>
          <w:p w14:paraId="5F105A54" w14:textId="77777777" w:rsidR="00790A0D" w:rsidRPr="00DD47DF" w:rsidRDefault="00790A0D" w:rsidP="006D2F5F">
            <w:pPr>
              <w:pStyle w:val="Tabulka"/>
              <w:jc w:val="left"/>
              <w:rPr>
                <w:rFonts w:cs="Calibri"/>
              </w:rPr>
            </w:pPr>
          </w:p>
        </w:tc>
        <w:tc>
          <w:tcPr>
            <w:tcW w:w="1843" w:type="dxa"/>
            <w:shd w:val="clear" w:color="auto" w:fill="auto"/>
          </w:tcPr>
          <w:p w14:paraId="116640A1" w14:textId="77777777" w:rsidR="00790A0D" w:rsidRPr="00DD47DF" w:rsidRDefault="00790A0D" w:rsidP="006D2F5F">
            <w:pPr>
              <w:pStyle w:val="Tabulka"/>
              <w:jc w:val="left"/>
              <w:rPr>
                <w:rFonts w:cs="Calibri"/>
              </w:rPr>
            </w:pPr>
            <w:r w:rsidRPr="00DD47DF">
              <w:rPr>
                <w:rFonts w:cs="Calibri"/>
              </w:rPr>
              <w:t xml:space="preserve">Opatření k posílení správní kapacity pro provádění a uplatňování předpisů Unie o veřejných zakázkách </w:t>
            </w:r>
          </w:p>
        </w:tc>
        <w:tc>
          <w:tcPr>
            <w:tcW w:w="1134" w:type="dxa"/>
            <w:shd w:val="clear" w:color="auto" w:fill="auto"/>
          </w:tcPr>
          <w:p w14:paraId="1ACA1A7C" w14:textId="77777777" w:rsidR="00790A0D" w:rsidRPr="00DD47DF" w:rsidRDefault="00A0467F" w:rsidP="00A0467F">
            <w:pPr>
              <w:pStyle w:val="Tabulka"/>
              <w:jc w:val="left"/>
              <w:rPr>
                <w:rFonts w:cs="Calibri"/>
              </w:rPr>
            </w:pPr>
            <w:r w:rsidRPr="00DD47DF">
              <w:rPr>
                <w:rFonts w:cs="Calibri"/>
              </w:rPr>
              <w:t>ne</w:t>
            </w:r>
          </w:p>
        </w:tc>
        <w:tc>
          <w:tcPr>
            <w:tcW w:w="2126" w:type="dxa"/>
            <w:shd w:val="clear" w:color="auto" w:fill="auto"/>
          </w:tcPr>
          <w:p w14:paraId="5666D126" w14:textId="77777777" w:rsidR="00790A0D" w:rsidRPr="00DD47DF" w:rsidRDefault="00580034" w:rsidP="006D2F5F">
            <w:pPr>
              <w:pStyle w:val="Tabulka"/>
              <w:jc w:val="left"/>
              <w:rPr>
                <w:rFonts w:cs="Calibri"/>
              </w:rPr>
            </w:pPr>
            <w:hyperlink r:id="rId82" w:history="1">
              <w:r w:rsidR="00790A0D" w:rsidRPr="00DD47DF">
                <w:rPr>
                  <w:rStyle w:val="Hypertextovodkaz"/>
                  <w:rFonts w:cs="Calibri"/>
                </w:rPr>
                <w:t>http://www.strukturalni-fondy.cz/getmedia/6e797383-75f7-4dcb-b10b-9c4301670366/Metodicky-pokyn-k-rozvoji-lidskych-zdroju-v-programovem-obdobi-2014-2020-a-v-programovem-obdobi-2007-2013.pdf</w:t>
              </w:r>
            </w:hyperlink>
          </w:p>
        </w:tc>
        <w:tc>
          <w:tcPr>
            <w:tcW w:w="4394" w:type="dxa"/>
            <w:shd w:val="clear" w:color="auto" w:fill="auto"/>
          </w:tcPr>
          <w:p w14:paraId="4172914C" w14:textId="77777777" w:rsidR="00E84661" w:rsidRPr="00DD47DF" w:rsidRDefault="00E84661" w:rsidP="006D2F5F">
            <w:pPr>
              <w:pStyle w:val="Tabulka"/>
              <w:jc w:val="left"/>
              <w:rPr>
                <w:rFonts w:cs="Calibri"/>
              </w:rPr>
            </w:pPr>
            <w:r w:rsidRPr="00DD47DF">
              <w:rPr>
                <w:rFonts w:cs="Calibri"/>
              </w:rPr>
              <w:t>Gestor PP:</w:t>
            </w:r>
            <w:r w:rsidR="000529F1" w:rsidRPr="00DD47DF">
              <w:rPr>
                <w:rFonts w:cs="Calibri"/>
              </w:rPr>
              <w:t xml:space="preserve"> </w:t>
            </w:r>
            <w:r w:rsidRPr="00DD47DF">
              <w:rPr>
                <w:rFonts w:cs="Calibri"/>
              </w:rPr>
              <w:t>Plnění</w:t>
            </w:r>
            <w:r w:rsidR="000529F1" w:rsidRPr="00DD47DF">
              <w:rPr>
                <w:rFonts w:cs="Calibri"/>
              </w:rPr>
              <w:t xml:space="preserve"> ČÁSTEČNĚ</w:t>
            </w:r>
            <w:r w:rsidRPr="00DD47DF">
              <w:rPr>
                <w:rFonts w:cs="Calibri"/>
              </w:rPr>
              <w:t xml:space="preserve"> </w:t>
            </w:r>
          </w:p>
          <w:p w14:paraId="633CD910" w14:textId="77777777" w:rsidR="00CB1905" w:rsidRPr="00DD47DF" w:rsidRDefault="00E84661" w:rsidP="00CB1905">
            <w:pPr>
              <w:pStyle w:val="DAVA"/>
              <w:rPr>
                <w:rFonts w:ascii="Times New Roman" w:hAnsi="Times New Roman"/>
                <w:sz w:val="22"/>
                <w:szCs w:val="22"/>
              </w:rPr>
            </w:pPr>
            <w:r w:rsidRPr="00DD47DF">
              <w:rPr>
                <w:rFonts w:ascii="Times New Roman" w:hAnsi="Times New Roman"/>
                <w:sz w:val="22"/>
                <w:szCs w:val="22"/>
              </w:rPr>
              <w:t>Nové povinnosti stanovené zákonem o veřejných zakázkách a větší počet veřejných zakázek zadávaných podle zákona o veřejných zakázkách si vyžádaly doplnění pracovníků do útvaru OPVZK na MMR (gestor</w:t>
            </w:r>
            <w:r w:rsidR="0045099F" w:rsidRPr="00DD47DF">
              <w:rPr>
                <w:rFonts w:ascii="Times New Roman" w:hAnsi="Times New Roman"/>
                <w:sz w:val="22"/>
                <w:szCs w:val="22"/>
              </w:rPr>
              <w:t xml:space="preserve"> zákona o veřejných zakázkách).</w:t>
            </w:r>
            <w:r w:rsidR="00CB1905" w:rsidRPr="00DD47DF">
              <w:rPr>
                <w:rFonts w:cs="Arial"/>
                <w:sz w:val="18"/>
                <w:szCs w:val="18"/>
              </w:rPr>
              <w:t xml:space="preserve"> </w:t>
            </w:r>
            <w:r w:rsidR="00CB1905" w:rsidRPr="00DD47DF">
              <w:rPr>
                <w:rFonts w:ascii="Times New Roman" w:hAnsi="Times New Roman"/>
                <w:sz w:val="22"/>
                <w:szCs w:val="22"/>
              </w:rPr>
              <w:t xml:space="preserve">MMR-NOK z analýz potřeb administrativní kapacity jednotlivých ŘO zpracoval Souhrnnou závěrečnou zprávu. </w:t>
            </w:r>
          </w:p>
          <w:p w14:paraId="30602D74" w14:textId="77777777" w:rsidR="00E84661" w:rsidRPr="00DD47DF" w:rsidRDefault="00E84661" w:rsidP="0045099F">
            <w:pPr>
              <w:pStyle w:val="DAVA"/>
              <w:spacing w:before="80" w:after="80"/>
              <w:rPr>
                <w:rFonts w:ascii="Times New Roman" w:hAnsi="Times New Roman"/>
                <w:sz w:val="22"/>
                <w:szCs w:val="22"/>
              </w:rPr>
            </w:pPr>
          </w:p>
          <w:p w14:paraId="74BC9188" w14:textId="77777777" w:rsidR="007550DD" w:rsidRPr="00DD47DF" w:rsidRDefault="007550DD" w:rsidP="006D2F5F">
            <w:pPr>
              <w:pStyle w:val="Tabulka"/>
              <w:jc w:val="left"/>
              <w:rPr>
                <w:rFonts w:cs="Calibri"/>
              </w:rPr>
            </w:pPr>
            <w:r w:rsidRPr="00DD47DF">
              <w:rPr>
                <w:rFonts w:cs="Calibri"/>
              </w:rPr>
              <w:t xml:space="preserve">ŘO: plnění </w:t>
            </w:r>
            <w:r w:rsidR="002379E9">
              <w:rPr>
                <w:rFonts w:cs="Calibri"/>
              </w:rPr>
              <w:t>ČÁSTEČNĚ</w:t>
            </w:r>
          </w:p>
          <w:p w14:paraId="0127F8CF" w14:textId="77777777" w:rsidR="00790A0D" w:rsidRPr="00DD47DF" w:rsidRDefault="00790A0D" w:rsidP="006D2F5F">
            <w:pPr>
              <w:pStyle w:val="Tabulka"/>
              <w:jc w:val="left"/>
              <w:rPr>
                <w:rFonts w:cs="Calibri"/>
              </w:rPr>
            </w:pPr>
            <w:r w:rsidRPr="00DD47DF">
              <w:rPr>
                <w:rFonts w:cs="Calibri"/>
              </w:rPr>
              <w:t xml:space="preserve">V rámci OP PIK je správní kapacita zajištěna, průběžné doplnění administrativní kapacity bude řešeno dle potřeb. V souvislosti se vzrůstající náročností agendy týkající se zadávání veřejných zakázek </w:t>
            </w:r>
            <w:r w:rsidR="00E362C2" w:rsidRPr="00DD47DF">
              <w:rPr>
                <w:rFonts w:cs="Calibri"/>
              </w:rPr>
              <w:t xml:space="preserve">existuje v rámci organizační struktury ŘO oddělení </w:t>
            </w:r>
            <w:r w:rsidRPr="00DD47DF">
              <w:rPr>
                <w:rFonts w:cs="Calibri"/>
              </w:rPr>
              <w:t>kontroly výběrových řízení</w:t>
            </w:r>
            <w:r w:rsidR="00E362C2" w:rsidRPr="00DD47DF">
              <w:rPr>
                <w:rFonts w:cs="Calibri"/>
              </w:rPr>
              <w:t xml:space="preserve"> s kapacitou 8 zaměstnanců</w:t>
            </w:r>
            <w:r w:rsidRPr="00DD47DF">
              <w:rPr>
                <w:rFonts w:cs="Calibri"/>
              </w:rPr>
              <w:t>. V případě potřeby bude v budoucnosti posílen o další zaměstnance.</w:t>
            </w:r>
          </w:p>
          <w:p w14:paraId="7580CDF9" w14:textId="77777777" w:rsidR="00790A0D" w:rsidRPr="00DD47DF" w:rsidRDefault="007550DD" w:rsidP="006D2F5F">
            <w:pPr>
              <w:pStyle w:val="Tabulka"/>
              <w:jc w:val="left"/>
              <w:rPr>
                <w:rFonts w:cs="Calibri"/>
              </w:rPr>
            </w:pPr>
            <w:r w:rsidRPr="00DD47DF">
              <w:rPr>
                <w:rFonts w:cs="Calibri"/>
              </w:rPr>
              <w:t>Viz též Příloha II.</w:t>
            </w:r>
          </w:p>
        </w:tc>
      </w:tr>
      <w:tr w:rsidR="00790A0D" w:rsidRPr="00DD47DF" w14:paraId="2462FF2D" w14:textId="77777777" w:rsidTr="006D2F5F">
        <w:tc>
          <w:tcPr>
            <w:tcW w:w="1752" w:type="dxa"/>
            <w:vMerge w:val="restart"/>
            <w:shd w:val="clear" w:color="auto" w:fill="auto"/>
          </w:tcPr>
          <w:p w14:paraId="4234452E" w14:textId="77777777" w:rsidR="00790A0D" w:rsidRPr="00DD47DF" w:rsidRDefault="00790A0D" w:rsidP="006D2F5F">
            <w:pPr>
              <w:pStyle w:val="Tabulka"/>
              <w:jc w:val="left"/>
              <w:rPr>
                <w:rFonts w:cs="Calibri"/>
                <w:b/>
              </w:rPr>
            </w:pPr>
            <w:r w:rsidRPr="00DD47DF">
              <w:rPr>
                <w:rFonts w:cs="Calibri"/>
                <w:b/>
              </w:rPr>
              <w:lastRenderedPageBreak/>
              <w:t>Existence opatření pro účinné uplatňování právních předpisů Unie o veřejné podpoře v oblasti fondů ESI</w:t>
            </w:r>
          </w:p>
        </w:tc>
        <w:tc>
          <w:tcPr>
            <w:tcW w:w="1701" w:type="dxa"/>
            <w:vMerge w:val="restart"/>
            <w:shd w:val="clear" w:color="auto" w:fill="auto"/>
          </w:tcPr>
          <w:p w14:paraId="6A4EDBC3" w14:textId="77777777" w:rsidR="00790A0D" w:rsidRPr="00DD47DF" w:rsidRDefault="00790A0D" w:rsidP="006D2F5F">
            <w:pPr>
              <w:pStyle w:val="Tabulka"/>
              <w:jc w:val="left"/>
              <w:rPr>
                <w:rFonts w:cs="Calibri"/>
              </w:rPr>
            </w:pPr>
            <w:r w:rsidRPr="00DD47DF">
              <w:rPr>
                <w:rFonts w:cs="Calibri"/>
              </w:rPr>
              <w:t>PO1 - Rozvoj výzkumu a vývoje pro inovace</w:t>
            </w:r>
          </w:p>
          <w:p w14:paraId="6E51B0D0" w14:textId="77777777" w:rsidR="00790A0D" w:rsidRPr="00DD47DF" w:rsidRDefault="00790A0D" w:rsidP="006D2F5F">
            <w:pPr>
              <w:pStyle w:val="Tabulka"/>
              <w:jc w:val="left"/>
              <w:rPr>
                <w:rFonts w:cs="Calibri"/>
              </w:rPr>
            </w:pPr>
            <w:r w:rsidRPr="00DD47DF">
              <w:rPr>
                <w:rFonts w:cs="Calibri"/>
              </w:rPr>
              <w:t>PO2 - Rozvoj podnikání a konkurenceschopnosti malých a středních podniků</w:t>
            </w:r>
          </w:p>
          <w:p w14:paraId="4EF907C2" w14:textId="77777777" w:rsidR="00790A0D" w:rsidRPr="00DD47DF" w:rsidRDefault="00790A0D" w:rsidP="006D2F5F">
            <w:pPr>
              <w:pStyle w:val="Tabulka"/>
              <w:jc w:val="left"/>
              <w:rPr>
                <w:rFonts w:cs="Calibri"/>
              </w:rPr>
            </w:pPr>
            <w:r w:rsidRPr="00DD47DF">
              <w:rPr>
                <w:rFonts w:cs="Calibri"/>
              </w:rPr>
              <w:t>PO3 - Účinné nakládání energií, rozvoj energetické infrastruktury a obnovitelných zdrojů energie, podpora zavádění nových technologií v oblasti nakládání energií a druhotných surovin</w:t>
            </w:r>
          </w:p>
          <w:p w14:paraId="42AB8268" w14:textId="77777777" w:rsidR="00790A0D" w:rsidRPr="00DD47DF" w:rsidRDefault="00790A0D" w:rsidP="006D2F5F">
            <w:pPr>
              <w:pStyle w:val="Tabulka"/>
              <w:jc w:val="left"/>
              <w:rPr>
                <w:rFonts w:cs="Calibri"/>
              </w:rPr>
            </w:pPr>
            <w:r w:rsidRPr="00DD47DF">
              <w:rPr>
                <w:rFonts w:cs="Calibri"/>
              </w:rPr>
              <w:t>PO4 - Rozvoj vysokorychlostních přístupových sítí k internetu a informačních a komunikačních technologií</w:t>
            </w:r>
          </w:p>
          <w:p w14:paraId="48B69CF5" w14:textId="77777777" w:rsidR="00790A0D" w:rsidRPr="00DD47DF" w:rsidRDefault="00790A0D" w:rsidP="006D2F5F">
            <w:pPr>
              <w:pStyle w:val="Tabulka"/>
              <w:jc w:val="left"/>
              <w:rPr>
                <w:rFonts w:cs="Calibri"/>
              </w:rPr>
            </w:pPr>
          </w:p>
        </w:tc>
        <w:tc>
          <w:tcPr>
            <w:tcW w:w="1276" w:type="dxa"/>
            <w:vMerge w:val="restart"/>
            <w:shd w:val="clear" w:color="auto" w:fill="auto"/>
          </w:tcPr>
          <w:p w14:paraId="20B0404B" w14:textId="77777777" w:rsidR="00790A0D" w:rsidRPr="00DD47DF" w:rsidRDefault="00790A0D" w:rsidP="006D2F5F">
            <w:pPr>
              <w:pStyle w:val="Tabulka"/>
              <w:jc w:val="left"/>
              <w:rPr>
                <w:rFonts w:cs="Calibri"/>
              </w:rPr>
            </w:pPr>
            <w:r w:rsidRPr="00DD47DF">
              <w:rPr>
                <w:rFonts w:cs="Calibri"/>
              </w:rPr>
              <w:lastRenderedPageBreak/>
              <w:t>Částečně – plnění probíhá průběžně v závislosti na schvalování předpisů EK</w:t>
            </w:r>
          </w:p>
        </w:tc>
        <w:tc>
          <w:tcPr>
            <w:tcW w:w="1843" w:type="dxa"/>
            <w:shd w:val="clear" w:color="auto" w:fill="auto"/>
          </w:tcPr>
          <w:p w14:paraId="249F3632" w14:textId="77777777" w:rsidR="00790A0D" w:rsidRPr="00DD47DF" w:rsidRDefault="00790A0D" w:rsidP="006D2F5F">
            <w:pPr>
              <w:pStyle w:val="Tabulka"/>
              <w:jc w:val="left"/>
              <w:rPr>
                <w:rFonts w:cs="Calibri"/>
              </w:rPr>
            </w:pPr>
            <w:r w:rsidRPr="00DD47DF">
              <w:rPr>
                <w:rFonts w:cs="Calibri"/>
              </w:rPr>
              <w:t>Opatření pro účinné uplatňování pravidel Unie o státních podporách</w:t>
            </w:r>
          </w:p>
        </w:tc>
        <w:tc>
          <w:tcPr>
            <w:tcW w:w="1134" w:type="dxa"/>
            <w:shd w:val="clear" w:color="auto" w:fill="auto"/>
          </w:tcPr>
          <w:p w14:paraId="0AEED171" w14:textId="77777777" w:rsidR="00790A0D" w:rsidRPr="00DD47DF" w:rsidRDefault="00A0467F" w:rsidP="006D2F5F">
            <w:pPr>
              <w:pStyle w:val="Tabulka"/>
              <w:jc w:val="left"/>
              <w:rPr>
                <w:rFonts w:cs="Calibri"/>
              </w:rPr>
            </w:pPr>
            <w:r w:rsidRPr="00DD47DF">
              <w:rPr>
                <w:rFonts w:cs="Calibri"/>
              </w:rPr>
              <w:t>ne</w:t>
            </w:r>
          </w:p>
        </w:tc>
        <w:tc>
          <w:tcPr>
            <w:tcW w:w="2126" w:type="dxa"/>
            <w:shd w:val="clear" w:color="auto" w:fill="auto"/>
          </w:tcPr>
          <w:p w14:paraId="06E59526" w14:textId="77777777" w:rsidR="00790A0D" w:rsidRPr="00DD47DF" w:rsidRDefault="00790A0D" w:rsidP="006D2F5F">
            <w:pPr>
              <w:pStyle w:val="Tabulka"/>
              <w:jc w:val="left"/>
              <w:rPr>
                <w:rFonts w:cs="Calibri"/>
              </w:rPr>
            </w:pPr>
            <w:r w:rsidRPr="00DD47DF">
              <w:rPr>
                <w:rFonts w:cs="Calibri"/>
              </w:rPr>
              <w:t xml:space="preserve">Zákon č. 215/2004 Sb., </w:t>
            </w:r>
            <w:hyperlink r:id="rId83" w:history="1">
              <w:r w:rsidRPr="00DD47DF">
                <w:rPr>
                  <w:rStyle w:val="Hypertextovodkaz"/>
                  <w:rFonts w:cs="Calibri"/>
                </w:rPr>
                <w:t>http://www.uohs.cz/cs/legislativa/verejna-podpora.html</w:t>
              </w:r>
            </w:hyperlink>
          </w:p>
          <w:p w14:paraId="30979604" w14:textId="77777777" w:rsidR="00790A0D" w:rsidRPr="00DD47DF" w:rsidRDefault="00790A0D" w:rsidP="006D2F5F">
            <w:pPr>
              <w:pStyle w:val="Tabulka"/>
              <w:jc w:val="left"/>
              <w:rPr>
                <w:rFonts w:cs="Calibri"/>
              </w:rPr>
            </w:pPr>
          </w:p>
          <w:p w14:paraId="4262EEAB" w14:textId="77777777" w:rsidR="00790A0D" w:rsidRPr="00DD47DF" w:rsidRDefault="00790A0D" w:rsidP="006D2F5F">
            <w:pPr>
              <w:pStyle w:val="Tabulka"/>
              <w:jc w:val="left"/>
              <w:rPr>
                <w:rFonts w:cs="Calibri"/>
              </w:rPr>
            </w:pPr>
            <w:r w:rsidRPr="00DD47DF">
              <w:rPr>
                <w:rFonts w:cs="Calibri"/>
              </w:rPr>
              <w:t xml:space="preserve">Metodika finančních toků a kontroly </w:t>
            </w:r>
            <w:hyperlink r:id="rId84" w:history="1">
              <w:r w:rsidRPr="00DD47DF">
                <w:rPr>
                  <w:rStyle w:val="Hypertextovodkaz"/>
                  <w:rFonts w:cs="Calibri"/>
                </w:rPr>
                <w:t>http://www.mfcr.cz/cs/legislativa/metodiky/2014/metodika-financnich-toku-a-kontroly-prog-17121</w:t>
              </w:r>
            </w:hyperlink>
          </w:p>
          <w:p w14:paraId="686B0071" w14:textId="77777777" w:rsidR="00790A0D" w:rsidRPr="00DD47DF" w:rsidRDefault="00790A0D" w:rsidP="006D2F5F">
            <w:pPr>
              <w:pStyle w:val="Tabulka"/>
              <w:jc w:val="left"/>
              <w:rPr>
                <w:rFonts w:cs="Calibri"/>
              </w:rPr>
            </w:pPr>
          </w:p>
          <w:p w14:paraId="6BFCE596" w14:textId="77777777" w:rsidR="00790A0D" w:rsidRPr="00DD47DF" w:rsidRDefault="00790A0D" w:rsidP="006D2F5F">
            <w:pPr>
              <w:pStyle w:val="Tabulka"/>
              <w:jc w:val="left"/>
              <w:rPr>
                <w:rFonts w:cs="Calibri"/>
              </w:rPr>
            </w:pPr>
            <w:r w:rsidRPr="00DD47DF">
              <w:rPr>
                <w:rFonts w:cs="Calibri"/>
              </w:rPr>
              <w:t xml:space="preserve">Manuál služeb obecného hospodářského zájmu </w:t>
            </w:r>
            <w:hyperlink r:id="rId85" w:history="1">
              <w:r w:rsidRPr="00DD47DF">
                <w:rPr>
                  <w:rStyle w:val="Hypertextovodkaz"/>
                  <w:rFonts w:cs="Calibri"/>
                </w:rPr>
                <w:t>http://www.uohs.cz/cs/verejna-podpora/manualy-metodiky-a-dalsi-dokumenty.html</w:t>
              </w:r>
            </w:hyperlink>
            <w:r w:rsidRPr="00DD47DF">
              <w:rPr>
                <w:rFonts w:cs="Calibri"/>
              </w:rPr>
              <w:t>)</w:t>
            </w:r>
          </w:p>
          <w:p w14:paraId="600092F7" w14:textId="77777777" w:rsidR="00790A0D" w:rsidRPr="00DD47DF" w:rsidRDefault="00790A0D" w:rsidP="006D2F5F">
            <w:pPr>
              <w:pStyle w:val="Tabulka"/>
              <w:jc w:val="left"/>
              <w:rPr>
                <w:rFonts w:cs="Calibri"/>
              </w:rPr>
            </w:pPr>
            <w:r w:rsidRPr="00DD47DF">
              <w:rPr>
                <w:rFonts w:cs="Calibri"/>
              </w:rPr>
              <w:t>Centrální registr podpor malého rozsahu</w:t>
            </w:r>
          </w:p>
          <w:p w14:paraId="11130817" w14:textId="77777777" w:rsidR="00790A0D" w:rsidRPr="00DD47DF" w:rsidRDefault="00580034" w:rsidP="006D2F5F">
            <w:pPr>
              <w:pStyle w:val="Tabulka"/>
              <w:jc w:val="left"/>
              <w:rPr>
                <w:rFonts w:cs="Calibri"/>
              </w:rPr>
            </w:pPr>
            <w:hyperlink r:id="rId86" w:history="1">
              <w:r w:rsidR="00790A0D" w:rsidRPr="00DD47DF">
                <w:rPr>
                  <w:rStyle w:val="Hypertextovodkaz"/>
                  <w:rFonts w:cs="Calibri"/>
                </w:rPr>
                <w:t>http://eagri.cz/public/web/mze/farmar/registr-podpor-de-minimis/</w:t>
              </w:r>
            </w:hyperlink>
          </w:p>
        </w:tc>
        <w:tc>
          <w:tcPr>
            <w:tcW w:w="4394" w:type="dxa"/>
            <w:shd w:val="clear" w:color="auto" w:fill="auto"/>
          </w:tcPr>
          <w:p w14:paraId="222A2596" w14:textId="77777777" w:rsidR="0010102C" w:rsidRPr="00DD47DF" w:rsidRDefault="0010102C" w:rsidP="006D2F5F">
            <w:pPr>
              <w:pStyle w:val="Tabulka"/>
              <w:jc w:val="left"/>
              <w:rPr>
                <w:rFonts w:cs="Calibri"/>
              </w:rPr>
            </w:pPr>
            <w:r w:rsidRPr="00DD47DF">
              <w:rPr>
                <w:rFonts w:cs="Calibri"/>
              </w:rPr>
              <w:t xml:space="preserve">Gestor PP: Plnění </w:t>
            </w:r>
            <w:r w:rsidR="000529F1" w:rsidRPr="00DD47DF">
              <w:rPr>
                <w:rFonts w:cs="Calibri"/>
              </w:rPr>
              <w:t>ČÁSTEČNĚ</w:t>
            </w:r>
          </w:p>
          <w:p w14:paraId="45F0AD0E" w14:textId="77777777" w:rsidR="0010102C" w:rsidRPr="00DD47DF" w:rsidRDefault="0010102C" w:rsidP="0010102C">
            <w:pPr>
              <w:spacing w:before="80" w:after="80"/>
              <w:rPr>
                <w:sz w:val="22"/>
                <w:szCs w:val="22"/>
                <w:u w:val="single"/>
              </w:rPr>
            </w:pPr>
            <w:r w:rsidRPr="00DD47DF">
              <w:rPr>
                <w:sz w:val="22"/>
                <w:szCs w:val="22"/>
              </w:rPr>
              <w:t>Poskytovatel podpory podléhající pravidlům VP, spolupracuje s centrálním koordinačním orgánem (ÚOHS, MZe). Koord. orgány nastavují s poskytovateli programy v souladu s právními předpisy v oblasti VP (zákon č. 215/2004 Sb.) Na úrovni fondů je gestorem MMR.</w:t>
            </w:r>
          </w:p>
          <w:p w14:paraId="3D2BC974" w14:textId="77777777" w:rsidR="0010102C" w:rsidRPr="00DD47DF" w:rsidRDefault="0010102C" w:rsidP="0010102C">
            <w:pPr>
              <w:pStyle w:val="DAVA"/>
              <w:rPr>
                <w:rFonts w:ascii="Times New Roman" w:hAnsi="Times New Roman"/>
                <w:sz w:val="22"/>
                <w:szCs w:val="22"/>
              </w:rPr>
            </w:pPr>
            <w:r w:rsidRPr="00DD47DF">
              <w:rPr>
                <w:rFonts w:ascii="Times New Roman" w:hAnsi="Times New Roman"/>
                <w:sz w:val="22"/>
                <w:szCs w:val="22"/>
              </w:rPr>
              <w:t>Zákon č. 218/2000 Sb., zákon č. 250/2000 Sb., zákon č. 320/2001 Sb.</w:t>
            </w:r>
          </w:p>
          <w:p w14:paraId="53DC3909" w14:textId="77777777" w:rsidR="001D4563" w:rsidRPr="00DD47DF" w:rsidRDefault="001D4563" w:rsidP="0010102C">
            <w:pPr>
              <w:pStyle w:val="DAVA"/>
              <w:rPr>
                <w:rFonts w:ascii="Times New Roman" w:hAnsi="Times New Roman"/>
                <w:sz w:val="22"/>
                <w:szCs w:val="22"/>
              </w:rPr>
            </w:pPr>
            <w:r w:rsidRPr="00DD47DF">
              <w:rPr>
                <w:rFonts w:ascii="Times New Roman" w:hAnsi="Times New Roman"/>
                <w:sz w:val="22"/>
                <w:szCs w:val="22"/>
              </w:rPr>
              <w:t>Byla zajištěna nezbytná funkčnost MS 2014+ v oblasti VP a přenos dat mezi ním a centrálním registrem de minimis.</w:t>
            </w:r>
          </w:p>
          <w:p w14:paraId="4284FC90" w14:textId="77777777" w:rsidR="0010102C" w:rsidRPr="00DD47DF" w:rsidRDefault="00113F8F" w:rsidP="006D2F5F">
            <w:pPr>
              <w:pStyle w:val="Tabulka"/>
              <w:jc w:val="left"/>
            </w:pPr>
            <w:r>
              <w:t xml:space="preserve">Tento </w:t>
            </w:r>
            <w:r w:rsidR="0010102C" w:rsidRPr="00DD47DF">
              <w:t>uveden do souladu s požadavky legislativy EU.</w:t>
            </w:r>
            <w:r w:rsidR="0045099F" w:rsidRPr="00DD47DF">
              <w:t xml:space="preserve"> </w:t>
            </w:r>
            <w:r w:rsidR="0010102C" w:rsidRPr="00DD47DF">
              <w:t xml:space="preserve">Údaje o poskytnutých VP z ESI  fondů </w:t>
            </w:r>
            <w:r w:rsidR="001D4563" w:rsidRPr="00DD47DF">
              <w:t xml:space="preserve">jsou </w:t>
            </w:r>
            <w:r w:rsidR="0010102C" w:rsidRPr="00DD47DF">
              <w:t xml:space="preserve">obsaženy </w:t>
            </w:r>
            <w:r w:rsidR="00741565" w:rsidRPr="00DD47DF">
              <w:t>v monitorovacím systému MS2014+</w:t>
            </w:r>
            <w:r w:rsidR="0010102C" w:rsidRPr="00DD47DF">
              <w:t xml:space="preserve"> a budou k dispozici na centrální webové stránce.</w:t>
            </w:r>
          </w:p>
          <w:p w14:paraId="02DA088B" w14:textId="77777777" w:rsidR="003E7776" w:rsidRPr="00DD47DF" w:rsidRDefault="003E7776" w:rsidP="006D2F5F">
            <w:pPr>
              <w:pStyle w:val="Tabulka"/>
              <w:jc w:val="left"/>
              <w:rPr>
                <w:rFonts w:cs="Calibri"/>
              </w:rPr>
            </w:pPr>
            <w:r w:rsidRPr="00DD47DF">
              <w:t>ŘO: Plnění částečně</w:t>
            </w:r>
          </w:p>
          <w:p w14:paraId="01866303" w14:textId="77777777" w:rsidR="00790A0D" w:rsidRPr="00DD47DF" w:rsidRDefault="00790A0D" w:rsidP="006D2F5F">
            <w:pPr>
              <w:pStyle w:val="Tabulka"/>
              <w:jc w:val="left"/>
              <w:rPr>
                <w:rFonts w:cs="Calibri"/>
              </w:rPr>
            </w:pPr>
            <w:r w:rsidRPr="00DD47DF">
              <w:rPr>
                <w:rFonts w:cs="Calibri"/>
              </w:rPr>
              <w:t>ŘO OPPIK</w:t>
            </w:r>
            <w:r w:rsidR="003E7776" w:rsidRPr="00DD47DF">
              <w:rPr>
                <w:rFonts w:cs="Calibri"/>
              </w:rPr>
              <w:t xml:space="preserve"> vydává </w:t>
            </w:r>
            <w:r w:rsidRPr="00DD47DF">
              <w:rPr>
                <w:rFonts w:cs="Calibri"/>
              </w:rPr>
              <w:t xml:space="preserve"> interní metodický manuál, ve kterém upravuje postupy pro </w:t>
            </w:r>
            <w:r w:rsidR="00546E46" w:rsidRPr="00DD47DF">
              <w:rPr>
                <w:rFonts w:cs="Calibri"/>
              </w:rPr>
              <w:t>VP</w:t>
            </w:r>
            <w:r w:rsidRPr="00DD47DF">
              <w:rPr>
                <w:rFonts w:cs="Calibri"/>
              </w:rPr>
              <w:t xml:space="preserve"> a zapracovává pravidla </w:t>
            </w:r>
            <w:r w:rsidR="00546E46" w:rsidRPr="00DD47DF">
              <w:rPr>
                <w:rFonts w:cs="Calibri"/>
              </w:rPr>
              <w:t>VP</w:t>
            </w:r>
            <w:r w:rsidRPr="00DD47DF">
              <w:rPr>
                <w:rFonts w:cs="Calibri"/>
              </w:rPr>
              <w:t xml:space="preserve"> do dokumentace výzev včetně pravidel pro podpory malého rozsahu.</w:t>
            </w:r>
            <w:r w:rsidR="005237DD" w:rsidRPr="00DD47DF">
              <w:rPr>
                <w:rFonts w:cs="Calibri"/>
              </w:rPr>
              <w:t xml:space="preserve"> </w:t>
            </w:r>
          </w:p>
          <w:p w14:paraId="1B912B82" w14:textId="77777777" w:rsidR="00790A0D" w:rsidRPr="00DD47DF" w:rsidRDefault="00790A0D" w:rsidP="006D2F5F">
            <w:pPr>
              <w:pStyle w:val="Tabulka"/>
              <w:jc w:val="left"/>
              <w:rPr>
                <w:rFonts w:cs="Calibri"/>
              </w:rPr>
            </w:pPr>
            <w:r w:rsidRPr="00DD47DF">
              <w:rPr>
                <w:rFonts w:cs="Calibri"/>
              </w:rPr>
              <w:t>Navracení podpory, dodržování Deggendorf a kontrolní postupy: upraveno v interním metodickém manuálu. Kumulace VP: upraveno v dokumentaci k výzvám.</w:t>
            </w:r>
          </w:p>
          <w:p w14:paraId="2B3ED44B" w14:textId="77777777" w:rsidR="00790A0D" w:rsidRPr="00DD47DF" w:rsidRDefault="00A0467F" w:rsidP="006E0058">
            <w:pPr>
              <w:pStyle w:val="Tabulka"/>
              <w:jc w:val="left"/>
              <w:rPr>
                <w:rFonts w:cs="Calibri"/>
              </w:rPr>
            </w:pPr>
            <w:r w:rsidRPr="00DD47DF">
              <w:rPr>
                <w:rFonts w:cs="Calibri"/>
              </w:rPr>
              <w:t>V</w:t>
            </w:r>
            <w:r w:rsidR="00790A0D" w:rsidRPr="00DD47DF">
              <w:rPr>
                <w:rFonts w:cs="Calibri"/>
              </w:rPr>
              <w:t xml:space="preserve">iz </w:t>
            </w:r>
            <w:r w:rsidRPr="00DD47DF">
              <w:rPr>
                <w:rFonts w:cs="Calibri"/>
              </w:rPr>
              <w:t xml:space="preserve">též </w:t>
            </w:r>
            <w:r w:rsidR="00790A0D" w:rsidRPr="00DD47DF">
              <w:rPr>
                <w:rFonts w:cs="Calibri"/>
              </w:rPr>
              <w:t>Příloha II.</w:t>
            </w:r>
          </w:p>
        </w:tc>
      </w:tr>
      <w:tr w:rsidR="00790A0D" w:rsidRPr="00DD47DF" w14:paraId="035B39CC" w14:textId="77777777" w:rsidTr="006D2F5F">
        <w:tc>
          <w:tcPr>
            <w:tcW w:w="1752" w:type="dxa"/>
            <w:vMerge/>
            <w:shd w:val="clear" w:color="auto" w:fill="auto"/>
          </w:tcPr>
          <w:p w14:paraId="04E42CD8" w14:textId="77777777" w:rsidR="00790A0D" w:rsidRPr="00DD47DF" w:rsidRDefault="00790A0D" w:rsidP="006D2F5F">
            <w:pPr>
              <w:pStyle w:val="Tabulka"/>
              <w:jc w:val="left"/>
              <w:rPr>
                <w:rFonts w:cs="Calibri"/>
                <w:b/>
              </w:rPr>
            </w:pPr>
          </w:p>
        </w:tc>
        <w:tc>
          <w:tcPr>
            <w:tcW w:w="1701" w:type="dxa"/>
            <w:vMerge/>
            <w:shd w:val="clear" w:color="auto" w:fill="auto"/>
          </w:tcPr>
          <w:p w14:paraId="4098FAE0" w14:textId="77777777" w:rsidR="00790A0D" w:rsidRPr="00DD47DF" w:rsidRDefault="00790A0D" w:rsidP="006D2F5F">
            <w:pPr>
              <w:pStyle w:val="Tabulka"/>
              <w:jc w:val="left"/>
              <w:rPr>
                <w:rFonts w:cs="Calibri"/>
              </w:rPr>
            </w:pPr>
          </w:p>
        </w:tc>
        <w:tc>
          <w:tcPr>
            <w:tcW w:w="1276" w:type="dxa"/>
            <w:vMerge/>
            <w:shd w:val="clear" w:color="auto" w:fill="auto"/>
          </w:tcPr>
          <w:p w14:paraId="47DD3F80" w14:textId="77777777" w:rsidR="00790A0D" w:rsidRPr="00DD47DF" w:rsidRDefault="00790A0D" w:rsidP="006D2F5F">
            <w:pPr>
              <w:pStyle w:val="Tabulka"/>
              <w:jc w:val="left"/>
              <w:rPr>
                <w:rFonts w:cs="Calibri"/>
              </w:rPr>
            </w:pPr>
          </w:p>
        </w:tc>
        <w:tc>
          <w:tcPr>
            <w:tcW w:w="1843" w:type="dxa"/>
            <w:shd w:val="clear" w:color="auto" w:fill="auto"/>
          </w:tcPr>
          <w:p w14:paraId="0DD9E4AC" w14:textId="77777777" w:rsidR="00790A0D" w:rsidRPr="00DD47DF" w:rsidRDefault="00790A0D" w:rsidP="006D2F5F">
            <w:pPr>
              <w:pStyle w:val="Tabulka"/>
              <w:jc w:val="left"/>
              <w:rPr>
                <w:rFonts w:cs="Calibri"/>
              </w:rPr>
            </w:pPr>
            <w:r w:rsidRPr="00DD47DF">
              <w:rPr>
                <w:rFonts w:cs="Calibri"/>
              </w:rPr>
              <w:t>Opatření pro odbornou přípravu a šíření informací pro zaměstnance podílející se na provádění fondů ESI</w:t>
            </w:r>
          </w:p>
        </w:tc>
        <w:tc>
          <w:tcPr>
            <w:tcW w:w="1134" w:type="dxa"/>
            <w:shd w:val="clear" w:color="auto" w:fill="auto"/>
          </w:tcPr>
          <w:p w14:paraId="7B2665C9"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0B1BBEEB" w14:textId="77777777" w:rsidR="00790A0D" w:rsidRPr="00DD47DF" w:rsidRDefault="00580034" w:rsidP="006D2F5F">
            <w:pPr>
              <w:pStyle w:val="Tabulka"/>
              <w:jc w:val="left"/>
              <w:rPr>
                <w:rStyle w:val="Hypertextovodkaz"/>
                <w:rFonts w:cs="Calibri"/>
              </w:rPr>
            </w:pPr>
            <w:hyperlink r:id="rId87" w:history="1">
              <w:r w:rsidR="00790A0D" w:rsidRPr="00DD47DF">
                <w:rPr>
                  <w:rStyle w:val="Hypertextovodkaz"/>
                  <w:rFonts w:cs="Calibri"/>
                </w:rPr>
                <w:t>www.uohs.cz/cs/verejna-podpora/akuality-z-verejne-podpory.html</w:t>
              </w:r>
            </w:hyperlink>
          </w:p>
          <w:p w14:paraId="4277EA41" w14:textId="77777777" w:rsidR="00790A0D" w:rsidRPr="00DD47DF" w:rsidRDefault="00580034" w:rsidP="006D2F5F">
            <w:pPr>
              <w:pStyle w:val="Tabulka"/>
              <w:jc w:val="left"/>
              <w:rPr>
                <w:rStyle w:val="Hypertextovodkaz"/>
                <w:rFonts w:cs="Calibri"/>
              </w:rPr>
            </w:pPr>
            <w:hyperlink r:id="rId88" w:history="1">
              <w:r w:rsidR="00790A0D" w:rsidRPr="00DD47DF">
                <w:rPr>
                  <w:rStyle w:val="Hypertextovodkaz"/>
                  <w:rFonts w:cs="Calibri"/>
                </w:rPr>
                <w:t>http://www.vzdelavaninsrr.cz/</w:t>
              </w:r>
            </w:hyperlink>
          </w:p>
          <w:p w14:paraId="0D6291E3" w14:textId="77777777" w:rsidR="00790A0D" w:rsidRPr="00DD47DF" w:rsidRDefault="00790A0D" w:rsidP="006D2F5F">
            <w:pPr>
              <w:pStyle w:val="Tabulka"/>
              <w:jc w:val="left"/>
              <w:rPr>
                <w:rFonts w:cs="Calibri"/>
              </w:rPr>
            </w:pPr>
          </w:p>
          <w:p w14:paraId="198375E1" w14:textId="77777777" w:rsidR="00790A0D" w:rsidRPr="00DD47DF" w:rsidRDefault="00580034" w:rsidP="006D2F5F">
            <w:pPr>
              <w:pStyle w:val="Tabulka"/>
              <w:jc w:val="left"/>
              <w:rPr>
                <w:rStyle w:val="Hypertextovodkaz"/>
                <w:rFonts w:cs="Calibri"/>
              </w:rPr>
            </w:pPr>
            <w:hyperlink r:id="rId89" w:history="1">
              <w:r w:rsidR="00790A0D" w:rsidRPr="00DD47DF">
                <w:rPr>
                  <w:rStyle w:val="Hypertextovodkaz"/>
                  <w:rFonts w:cs="Calibri"/>
                </w:rPr>
                <w:t>www.strukturalni-fondy.cz</w:t>
              </w:r>
            </w:hyperlink>
          </w:p>
          <w:p w14:paraId="634DE5FE" w14:textId="77777777" w:rsidR="00790A0D" w:rsidRPr="00DD47DF" w:rsidRDefault="00790A0D" w:rsidP="006D2F5F">
            <w:pPr>
              <w:pStyle w:val="Tabulka"/>
              <w:jc w:val="left"/>
              <w:rPr>
                <w:rFonts w:cs="Calibri"/>
              </w:rPr>
            </w:pPr>
          </w:p>
          <w:p w14:paraId="3E7D3663" w14:textId="77777777" w:rsidR="00790A0D" w:rsidRPr="00DD47DF" w:rsidRDefault="00580034" w:rsidP="006D2F5F">
            <w:pPr>
              <w:pStyle w:val="Tabulka"/>
              <w:jc w:val="left"/>
              <w:rPr>
                <w:rFonts w:cs="Calibri"/>
              </w:rPr>
            </w:pPr>
            <w:hyperlink r:id="rId90" w:history="1">
              <w:r w:rsidR="00790A0D" w:rsidRPr="00DD47DF">
                <w:rPr>
                  <w:rStyle w:val="Hypertextovodkaz"/>
                </w:rPr>
                <w:t>http://www.strukturalni-fondy.cz/cs/Fondy-EU/2014-2020/Metodicke-pokyny/Metodika-rozvoje-lidskych-zdroju</w:t>
              </w:r>
            </w:hyperlink>
          </w:p>
        </w:tc>
        <w:tc>
          <w:tcPr>
            <w:tcW w:w="4394" w:type="dxa"/>
            <w:shd w:val="clear" w:color="auto" w:fill="auto"/>
          </w:tcPr>
          <w:p w14:paraId="649C4A21" w14:textId="77777777" w:rsidR="00146977" w:rsidRPr="00DD47DF" w:rsidRDefault="00146977" w:rsidP="006D2F5F">
            <w:pPr>
              <w:pStyle w:val="Tabulka"/>
              <w:jc w:val="left"/>
              <w:rPr>
                <w:rFonts w:cs="Calibri"/>
              </w:rPr>
            </w:pPr>
            <w:r w:rsidRPr="00DD47DF">
              <w:rPr>
                <w:rFonts w:cs="Calibri"/>
              </w:rPr>
              <w:t>Gestor PP: Plnění ANO</w:t>
            </w:r>
          </w:p>
          <w:p w14:paraId="5AD4CFD8" w14:textId="77777777" w:rsidR="00146977" w:rsidRPr="00DD47DF" w:rsidRDefault="00146977" w:rsidP="00146977">
            <w:pPr>
              <w:pStyle w:val="DAVA"/>
              <w:rPr>
                <w:rFonts w:ascii="Times New Roman" w:hAnsi="Times New Roman"/>
                <w:sz w:val="22"/>
                <w:szCs w:val="22"/>
              </w:rPr>
            </w:pPr>
            <w:r w:rsidRPr="00DD47DF">
              <w:rPr>
                <w:rFonts w:ascii="Times New Roman" w:hAnsi="Times New Roman"/>
                <w:sz w:val="22"/>
                <w:szCs w:val="22"/>
              </w:rPr>
              <w:t>ÚOHS školí průběžně poskytovatele VP</w:t>
            </w:r>
            <w:r w:rsidRPr="00DD47DF">
              <w:rPr>
                <w:sz w:val="22"/>
                <w:szCs w:val="22"/>
              </w:rPr>
              <w:t xml:space="preserve">. </w:t>
            </w:r>
            <w:r w:rsidRPr="00DD47DF">
              <w:rPr>
                <w:rFonts w:ascii="Times New Roman" w:hAnsi="Times New Roman"/>
                <w:sz w:val="22"/>
                <w:szCs w:val="22"/>
              </w:rPr>
              <w:t>MMR-NOK (ve spol.</w:t>
            </w:r>
            <w:r w:rsidR="0045099F" w:rsidRPr="00DD47DF">
              <w:rPr>
                <w:rFonts w:ascii="Times New Roman" w:hAnsi="Times New Roman"/>
                <w:sz w:val="22"/>
                <w:szCs w:val="22"/>
              </w:rPr>
              <w:t xml:space="preserve"> </w:t>
            </w:r>
            <w:r w:rsidRPr="00DD47DF">
              <w:rPr>
                <w:rFonts w:ascii="Times New Roman" w:hAnsi="Times New Roman"/>
                <w:sz w:val="22"/>
                <w:szCs w:val="22"/>
              </w:rPr>
              <w:t>s Ú</w:t>
            </w:r>
            <w:r w:rsidR="00A11F27" w:rsidRPr="00DD47DF">
              <w:rPr>
                <w:rFonts w:ascii="Times New Roman" w:hAnsi="Times New Roman"/>
                <w:sz w:val="22"/>
                <w:szCs w:val="22"/>
              </w:rPr>
              <w:t>OHS) vydává metodické dokumenty</w:t>
            </w:r>
            <w:r w:rsidRPr="00DD47DF">
              <w:rPr>
                <w:rFonts w:ascii="Times New Roman" w:hAnsi="Times New Roman"/>
                <w:sz w:val="22"/>
                <w:szCs w:val="22"/>
              </w:rPr>
              <w:t>. ÚOHS rovněž zabezpečuje, aby byly všechny informace zaslané EK postoupeny poskytovatelům.</w:t>
            </w:r>
          </w:p>
          <w:p w14:paraId="313674FA" w14:textId="77777777" w:rsidR="00146977" w:rsidRPr="00DD47DF" w:rsidRDefault="00146977" w:rsidP="00146977">
            <w:pPr>
              <w:pStyle w:val="Tabulka"/>
              <w:jc w:val="left"/>
            </w:pPr>
            <w:r w:rsidRPr="00DD47DF">
              <w:t xml:space="preserve">Ustanovena PS VP. Aktuální informace k VP  dostupné na: </w:t>
            </w:r>
            <w:hyperlink r:id="rId91" w:history="1">
              <w:r w:rsidRPr="00DD47DF">
                <w:rPr>
                  <w:rStyle w:val="Hypertextovodkaz"/>
                </w:rPr>
                <w:t>www.uohs.cz/cs/verejna-podpora.html</w:t>
              </w:r>
            </w:hyperlink>
            <w:r w:rsidRPr="00DD47DF">
              <w:t>. Pro oblast ESI fondů:</w:t>
            </w:r>
            <w:hyperlink r:id="rId92" w:history="1">
              <w:r w:rsidRPr="00DD47DF">
                <w:rPr>
                  <w:rStyle w:val="Hypertextovodkaz"/>
                </w:rPr>
                <w:t>www.strukturalni-fondy.cz</w:t>
              </w:r>
            </w:hyperlink>
            <w:r w:rsidRPr="00DD47DF">
              <w:t>.</w:t>
            </w:r>
          </w:p>
          <w:p w14:paraId="113256B1" w14:textId="77777777" w:rsidR="00146977" w:rsidRPr="00DD47DF" w:rsidRDefault="00146977" w:rsidP="00146977">
            <w:pPr>
              <w:pStyle w:val="Tabulka"/>
              <w:jc w:val="left"/>
              <w:rPr>
                <w:rFonts w:cs="Calibri"/>
              </w:rPr>
            </w:pPr>
            <w:r w:rsidRPr="00DD47DF">
              <w:t>ŘO: Plnění ANO</w:t>
            </w:r>
          </w:p>
          <w:p w14:paraId="53347CCC" w14:textId="77777777" w:rsidR="00790A0D" w:rsidRPr="00DD47DF" w:rsidRDefault="00790A0D" w:rsidP="006D2F5F">
            <w:pPr>
              <w:pStyle w:val="Tabulka"/>
              <w:jc w:val="left"/>
              <w:rPr>
                <w:rFonts w:cs="Calibri"/>
              </w:rPr>
            </w:pPr>
            <w:r w:rsidRPr="00DD47DF">
              <w:rPr>
                <w:rFonts w:cs="Calibri"/>
              </w:rPr>
              <w:t>Zaměstnanci odpovědní za oblast veřejné podpory v OP PIK jsou zapojeni do Systému vzdělávání a již nyní se účastní různých školení</w:t>
            </w:r>
            <w:r w:rsidR="0047764E" w:rsidRPr="00DD47DF">
              <w:rPr>
                <w:rFonts w:cs="Calibri"/>
              </w:rPr>
              <w:t>.</w:t>
            </w:r>
            <w:r w:rsidRPr="00DD47DF">
              <w:rPr>
                <w:rFonts w:cs="Calibri"/>
              </w:rPr>
              <w:t xml:space="preserve"> Probíhá aktivní konzultace s ÚOHS a zároveň je zajištěna účast na pracovní skupině MMR k veřejné podpoře za účasti ÚOHS. V rámci přípravy OP PIK se problematika veřejné podpory diskutuje na příslušných</w:t>
            </w:r>
            <w:r w:rsidR="000C6CF5" w:rsidRPr="00DD47DF">
              <w:rPr>
                <w:rFonts w:cs="Calibri"/>
              </w:rPr>
              <w:t xml:space="preserve"> školeních a</w:t>
            </w:r>
            <w:r w:rsidRPr="00DD47DF">
              <w:rPr>
                <w:rFonts w:cs="Calibri"/>
              </w:rPr>
              <w:t xml:space="preserve"> pracovních skupinách, které tvoří obsah OP. Tyto skupiny slouží k šíření a sdílení informací o veřejné podpoře uvnitř ŘO OP PIK.</w:t>
            </w:r>
          </w:p>
          <w:p w14:paraId="1FA4764D" w14:textId="77777777" w:rsidR="00790A0D" w:rsidRPr="00DD47DF" w:rsidRDefault="00790A0D" w:rsidP="0008678F">
            <w:pPr>
              <w:pStyle w:val="Tabulka"/>
              <w:jc w:val="left"/>
              <w:rPr>
                <w:rFonts w:cs="Calibri"/>
              </w:rPr>
            </w:pPr>
            <w:r w:rsidRPr="00DD47DF">
              <w:rPr>
                <w:rFonts w:cs="Calibri"/>
              </w:rPr>
              <w:t xml:space="preserve">Specifické naplňování na národní úrovni </w:t>
            </w:r>
            <w:r w:rsidR="00A0467F" w:rsidRPr="00DD47DF">
              <w:rPr>
                <w:rFonts w:cs="Calibri"/>
              </w:rPr>
              <w:t>-  viz Příloha II</w:t>
            </w:r>
            <w:r w:rsidRPr="00DD47DF">
              <w:rPr>
                <w:rFonts w:cs="Calibri"/>
              </w:rPr>
              <w:t>.</w:t>
            </w:r>
          </w:p>
        </w:tc>
      </w:tr>
      <w:tr w:rsidR="00790A0D" w:rsidRPr="00DD47DF" w14:paraId="50163E0E" w14:textId="77777777" w:rsidTr="006D2F5F">
        <w:tc>
          <w:tcPr>
            <w:tcW w:w="1752" w:type="dxa"/>
            <w:vMerge/>
            <w:shd w:val="clear" w:color="auto" w:fill="auto"/>
          </w:tcPr>
          <w:p w14:paraId="5DC50812" w14:textId="77777777" w:rsidR="00790A0D" w:rsidRPr="00DD47DF" w:rsidRDefault="00790A0D" w:rsidP="006D2F5F">
            <w:pPr>
              <w:pStyle w:val="Tabulka"/>
              <w:jc w:val="left"/>
              <w:rPr>
                <w:rFonts w:cs="Calibri"/>
                <w:b/>
              </w:rPr>
            </w:pPr>
          </w:p>
        </w:tc>
        <w:tc>
          <w:tcPr>
            <w:tcW w:w="1701" w:type="dxa"/>
            <w:vMerge/>
            <w:shd w:val="clear" w:color="auto" w:fill="auto"/>
          </w:tcPr>
          <w:p w14:paraId="6AD386E2" w14:textId="77777777" w:rsidR="00790A0D" w:rsidRPr="00DD47DF" w:rsidRDefault="00790A0D" w:rsidP="006D2F5F">
            <w:pPr>
              <w:pStyle w:val="Tabulka"/>
              <w:jc w:val="left"/>
              <w:rPr>
                <w:rFonts w:cs="Calibri"/>
              </w:rPr>
            </w:pPr>
          </w:p>
        </w:tc>
        <w:tc>
          <w:tcPr>
            <w:tcW w:w="1276" w:type="dxa"/>
            <w:vMerge/>
            <w:shd w:val="clear" w:color="auto" w:fill="auto"/>
          </w:tcPr>
          <w:p w14:paraId="4FEA7EF7" w14:textId="77777777" w:rsidR="00790A0D" w:rsidRPr="00DD47DF" w:rsidRDefault="00790A0D" w:rsidP="006D2F5F">
            <w:pPr>
              <w:pStyle w:val="Tabulka"/>
              <w:jc w:val="left"/>
              <w:rPr>
                <w:rFonts w:cs="Calibri"/>
              </w:rPr>
            </w:pPr>
          </w:p>
        </w:tc>
        <w:tc>
          <w:tcPr>
            <w:tcW w:w="1843" w:type="dxa"/>
            <w:shd w:val="clear" w:color="auto" w:fill="auto"/>
          </w:tcPr>
          <w:p w14:paraId="7215B51A" w14:textId="77777777" w:rsidR="00790A0D" w:rsidRPr="00DD47DF" w:rsidRDefault="00790A0D" w:rsidP="006D2F5F">
            <w:pPr>
              <w:pStyle w:val="Tabulka"/>
              <w:jc w:val="left"/>
              <w:rPr>
                <w:rFonts w:cs="Calibri"/>
              </w:rPr>
            </w:pPr>
            <w:r w:rsidRPr="00DD47DF">
              <w:rPr>
                <w:rFonts w:cs="Calibri"/>
              </w:rPr>
              <w:t xml:space="preserve">Opatření k zajištění správní kapacity pro provádění a uplatňování právních předpisů Unie o státních </w:t>
            </w:r>
            <w:r w:rsidRPr="00DD47DF">
              <w:rPr>
                <w:rFonts w:cs="Calibri"/>
              </w:rPr>
              <w:lastRenderedPageBreak/>
              <w:t>podporách</w:t>
            </w:r>
          </w:p>
        </w:tc>
        <w:tc>
          <w:tcPr>
            <w:tcW w:w="1134" w:type="dxa"/>
            <w:shd w:val="clear" w:color="auto" w:fill="auto"/>
          </w:tcPr>
          <w:p w14:paraId="45D18B73" w14:textId="77777777" w:rsidR="00790A0D" w:rsidRPr="00DD47DF" w:rsidRDefault="00A0467F" w:rsidP="006D2F5F">
            <w:pPr>
              <w:pStyle w:val="Tabulka"/>
              <w:jc w:val="left"/>
              <w:rPr>
                <w:rFonts w:cs="Calibri"/>
              </w:rPr>
            </w:pPr>
            <w:r w:rsidRPr="00DD47DF">
              <w:rPr>
                <w:rFonts w:cs="Calibri"/>
              </w:rPr>
              <w:lastRenderedPageBreak/>
              <w:t>ne</w:t>
            </w:r>
          </w:p>
        </w:tc>
        <w:tc>
          <w:tcPr>
            <w:tcW w:w="2126" w:type="dxa"/>
            <w:shd w:val="clear" w:color="auto" w:fill="auto"/>
          </w:tcPr>
          <w:p w14:paraId="12DF8EED" w14:textId="77777777" w:rsidR="00790A0D" w:rsidRPr="00DD47DF" w:rsidRDefault="00580034" w:rsidP="006D2F5F">
            <w:pPr>
              <w:pStyle w:val="Tabulka"/>
              <w:jc w:val="left"/>
            </w:pPr>
            <w:hyperlink r:id="rId93" w:history="1">
              <w:r w:rsidR="00790A0D" w:rsidRPr="00DD47DF">
                <w:rPr>
                  <w:rStyle w:val="Hypertextovodkaz"/>
                </w:rPr>
                <w:t>www.compet.cz</w:t>
              </w:r>
            </w:hyperlink>
          </w:p>
          <w:p w14:paraId="257ACCE7" w14:textId="77777777" w:rsidR="00790A0D" w:rsidRPr="00DD47DF" w:rsidRDefault="00580034" w:rsidP="006D2F5F">
            <w:pPr>
              <w:pStyle w:val="Tabulka"/>
              <w:jc w:val="left"/>
            </w:pPr>
            <w:hyperlink r:id="rId94" w:history="1">
              <w:r w:rsidR="00790A0D" w:rsidRPr="00DD47DF">
                <w:rPr>
                  <w:rStyle w:val="Hypertextovodkaz"/>
                </w:rPr>
                <w:t>www.mze.cz</w:t>
              </w:r>
            </w:hyperlink>
          </w:p>
          <w:p w14:paraId="7313733C" w14:textId="77777777" w:rsidR="00790A0D" w:rsidRPr="00DD47DF" w:rsidRDefault="00580034" w:rsidP="006D2F5F">
            <w:pPr>
              <w:pStyle w:val="Tabulka"/>
              <w:jc w:val="left"/>
              <w:rPr>
                <w:rFonts w:cs="Calibri"/>
              </w:rPr>
            </w:pPr>
            <w:hyperlink r:id="rId95" w:history="1">
              <w:r w:rsidR="00790A0D" w:rsidRPr="00DD47DF">
                <w:rPr>
                  <w:rStyle w:val="Hypertextovodkaz"/>
                </w:rPr>
                <w:t>www.strukturalni-fondy.cz</w:t>
              </w:r>
            </w:hyperlink>
          </w:p>
          <w:p w14:paraId="4C38C347" w14:textId="77777777" w:rsidR="00790A0D" w:rsidRPr="00DD47DF" w:rsidRDefault="00790A0D" w:rsidP="006D2F5F">
            <w:pPr>
              <w:pStyle w:val="Tabulka"/>
              <w:jc w:val="left"/>
              <w:rPr>
                <w:rFonts w:cs="Calibri"/>
              </w:rPr>
            </w:pPr>
          </w:p>
          <w:p w14:paraId="38A845A6" w14:textId="77777777" w:rsidR="00790A0D" w:rsidRPr="00DD47DF" w:rsidRDefault="00790A0D" w:rsidP="006D2F5F">
            <w:pPr>
              <w:pStyle w:val="Tabulka"/>
              <w:jc w:val="left"/>
              <w:rPr>
                <w:rFonts w:cs="Calibri"/>
              </w:rPr>
            </w:pPr>
          </w:p>
          <w:p w14:paraId="2A84B664" w14:textId="77777777" w:rsidR="00790A0D" w:rsidRPr="00DD47DF" w:rsidRDefault="00790A0D" w:rsidP="006D2F5F">
            <w:pPr>
              <w:pStyle w:val="Tabulka"/>
              <w:jc w:val="left"/>
              <w:rPr>
                <w:rFonts w:cs="Calibri"/>
              </w:rPr>
            </w:pPr>
          </w:p>
        </w:tc>
        <w:tc>
          <w:tcPr>
            <w:tcW w:w="4394" w:type="dxa"/>
            <w:shd w:val="clear" w:color="auto" w:fill="auto"/>
          </w:tcPr>
          <w:p w14:paraId="4055DFF0" w14:textId="77777777" w:rsidR="00D725AE" w:rsidRPr="00DD47DF" w:rsidRDefault="00D725AE" w:rsidP="006D2F5F">
            <w:pPr>
              <w:pStyle w:val="Tabulka"/>
              <w:jc w:val="left"/>
              <w:rPr>
                <w:rFonts w:cs="Calibri"/>
              </w:rPr>
            </w:pPr>
            <w:r w:rsidRPr="00DD47DF">
              <w:rPr>
                <w:rFonts w:cs="Calibri"/>
              </w:rPr>
              <w:lastRenderedPageBreak/>
              <w:t xml:space="preserve">Gestor PP: Plnění </w:t>
            </w:r>
            <w:r w:rsidR="000529F1" w:rsidRPr="00DD47DF">
              <w:rPr>
                <w:rFonts w:cs="Calibri"/>
              </w:rPr>
              <w:t>ČÁSTEČNĚ</w:t>
            </w:r>
          </w:p>
          <w:p w14:paraId="397CCA36" w14:textId="77777777" w:rsidR="001D4563" w:rsidRPr="00DD47DF" w:rsidRDefault="00D725AE" w:rsidP="00D725AE">
            <w:pPr>
              <w:pStyle w:val="DAVA"/>
              <w:rPr>
                <w:sz w:val="22"/>
                <w:szCs w:val="22"/>
              </w:rPr>
            </w:pPr>
            <w:r w:rsidRPr="00DD47DF">
              <w:rPr>
                <w:rFonts w:ascii="Times New Roman" w:hAnsi="Times New Roman"/>
                <w:sz w:val="22"/>
                <w:szCs w:val="22"/>
              </w:rPr>
              <w:t>Centrálním koord. orgánem pro VP je ÚOHS</w:t>
            </w:r>
            <w:r w:rsidR="001D4563" w:rsidRPr="00DD47DF">
              <w:rPr>
                <w:rFonts w:ascii="Times New Roman" w:hAnsi="Times New Roman"/>
                <w:sz w:val="22"/>
                <w:szCs w:val="22"/>
              </w:rPr>
              <w:t>/</w:t>
            </w:r>
            <w:r w:rsidRPr="00DD47DF">
              <w:rPr>
                <w:rFonts w:ascii="Times New Roman" w:hAnsi="Times New Roman"/>
                <w:sz w:val="22"/>
                <w:szCs w:val="22"/>
              </w:rPr>
              <w:t>, MZe (zákon č. 215/2004 Sb.). Koord. a poradním orgánem pro řídící orgány v oblasti VP ESI je MMR-NOK</w:t>
            </w:r>
            <w:r w:rsidRPr="00DD47DF">
              <w:rPr>
                <w:sz w:val="22"/>
                <w:szCs w:val="22"/>
              </w:rPr>
              <w:t>.</w:t>
            </w:r>
          </w:p>
          <w:p w14:paraId="03665329" w14:textId="77777777" w:rsidR="00D725AE" w:rsidRPr="00DD47DF" w:rsidRDefault="001D4563" w:rsidP="00D725AE">
            <w:pPr>
              <w:pStyle w:val="DAVA"/>
              <w:rPr>
                <w:rFonts w:ascii="Times New Roman" w:hAnsi="Times New Roman"/>
                <w:sz w:val="22"/>
                <w:szCs w:val="22"/>
              </w:rPr>
            </w:pPr>
            <w:r w:rsidRPr="00DD47DF">
              <w:rPr>
                <w:rFonts w:ascii="Times New Roman" w:hAnsi="Times New Roman"/>
                <w:sz w:val="22"/>
                <w:szCs w:val="22"/>
              </w:rPr>
              <w:t xml:space="preserve">Vydáno Metodické doporučení pro </w:t>
            </w:r>
            <w:r w:rsidRPr="00DD47DF">
              <w:rPr>
                <w:rFonts w:ascii="Times New Roman" w:hAnsi="Times New Roman"/>
                <w:sz w:val="22"/>
                <w:szCs w:val="22"/>
              </w:rPr>
              <w:lastRenderedPageBreak/>
              <w:t xml:space="preserve">implementaci finančních nástrojů </w:t>
            </w:r>
            <w:r w:rsidR="00113F8F">
              <w:rPr>
                <w:rFonts w:ascii="Times New Roman" w:hAnsi="Times New Roman"/>
                <w:sz w:val="22"/>
                <w:szCs w:val="22"/>
              </w:rPr>
              <w:t>v programovém období 2014-2020.</w:t>
            </w:r>
          </w:p>
          <w:p w14:paraId="079101B2" w14:textId="77777777" w:rsidR="00D725AE" w:rsidRPr="00DD47DF" w:rsidRDefault="00D725AE" w:rsidP="00D725AE">
            <w:pPr>
              <w:pStyle w:val="Tabulka"/>
              <w:jc w:val="left"/>
            </w:pPr>
            <w:r w:rsidRPr="00DD47DF">
              <w:t>MMR-NOK (ve spol. s ÚOHS) vydává metodické dokumenty k VP.</w:t>
            </w:r>
          </w:p>
          <w:p w14:paraId="60FACD2C" w14:textId="77777777" w:rsidR="00D725AE" w:rsidRPr="00DD47DF" w:rsidRDefault="00D725AE" w:rsidP="006D2F5F">
            <w:pPr>
              <w:pStyle w:val="Tabulka"/>
              <w:jc w:val="left"/>
            </w:pPr>
            <w:r w:rsidRPr="00DD47DF">
              <w:t xml:space="preserve">ŘO: plnění </w:t>
            </w:r>
            <w:r w:rsidR="00706AA1">
              <w:t>ČÁSTEČNĚ</w:t>
            </w:r>
          </w:p>
          <w:p w14:paraId="109E0414" w14:textId="77777777" w:rsidR="006C26E7" w:rsidRPr="00DD47DF" w:rsidRDefault="00D725AE" w:rsidP="006D2F5F">
            <w:pPr>
              <w:pStyle w:val="Tabulka"/>
              <w:jc w:val="left"/>
              <w:rPr>
                <w:rFonts w:cs="Calibri"/>
              </w:rPr>
            </w:pPr>
            <w:r w:rsidRPr="00DD47DF">
              <w:rPr>
                <w:rFonts w:cs="Calibri"/>
              </w:rPr>
              <w:t>V</w:t>
            </w:r>
            <w:r w:rsidR="00790A0D" w:rsidRPr="00DD47DF">
              <w:rPr>
                <w:rFonts w:cs="Calibri"/>
              </w:rPr>
              <w:t xml:space="preserve"> rámci ŘO OP PIK v současné době správní kapacita zajištěna</w:t>
            </w:r>
            <w:r w:rsidR="00723FE7" w:rsidRPr="00DD47DF">
              <w:rPr>
                <w:rFonts w:cs="Calibri"/>
              </w:rPr>
              <w:t xml:space="preserve">, agendu zajišťují 2 pracovníci ŘO  a 1 pracovník </w:t>
            </w:r>
            <w:r w:rsidR="00A11F27" w:rsidRPr="00DD47DF">
              <w:rPr>
                <w:rFonts w:cs="Calibri"/>
              </w:rPr>
              <w:t xml:space="preserve">zprostředkujícího subjektu. </w:t>
            </w:r>
            <w:r w:rsidR="00790A0D" w:rsidRPr="00DD47DF">
              <w:rPr>
                <w:rFonts w:cs="Calibri"/>
              </w:rPr>
              <w:t xml:space="preserve">Agenda je v gesci oddělení </w:t>
            </w:r>
            <w:r w:rsidR="00291940">
              <w:rPr>
                <w:rFonts w:cs="Calibri"/>
              </w:rPr>
              <w:t>OP</w:t>
            </w:r>
            <w:r w:rsidR="00790A0D" w:rsidRPr="00DD47DF">
              <w:rPr>
                <w:rFonts w:cs="Calibri"/>
              </w:rPr>
              <w:t xml:space="preserve">, veřejné podpory a evaluace. Oblast je zajišťována stabilním týmem kvalifikovaných zaměstnanců. </w:t>
            </w:r>
            <w:r w:rsidRPr="00DD47DF">
              <w:rPr>
                <w:rFonts w:cs="Calibri"/>
              </w:rPr>
              <w:t>Tito p</w:t>
            </w:r>
            <w:r w:rsidR="00790A0D" w:rsidRPr="00DD47DF">
              <w:rPr>
                <w:rFonts w:cs="Calibri"/>
              </w:rPr>
              <w:t xml:space="preserve">racovníci metodicky řídí pracovníky </w:t>
            </w:r>
            <w:r w:rsidR="00723FE7" w:rsidRPr="00DD47DF">
              <w:rPr>
                <w:rFonts w:cs="Calibri"/>
              </w:rPr>
              <w:t>ZS</w:t>
            </w:r>
            <w:r w:rsidR="00790A0D" w:rsidRPr="00DD47DF">
              <w:rPr>
                <w:rFonts w:cs="Calibri"/>
              </w:rPr>
              <w:t>,</w:t>
            </w:r>
          </w:p>
          <w:p w14:paraId="190F26BE" w14:textId="77777777" w:rsidR="00790A0D" w:rsidRPr="00DD47DF" w:rsidRDefault="00790A0D" w:rsidP="006D2F5F">
            <w:pPr>
              <w:pStyle w:val="Tabulka"/>
              <w:jc w:val="left"/>
              <w:rPr>
                <w:rFonts w:cs="Calibri"/>
              </w:rPr>
            </w:pPr>
            <w:r w:rsidRPr="00DD47DF">
              <w:rPr>
                <w:rFonts w:cs="Calibri"/>
              </w:rPr>
              <w:t xml:space="preserve">kteří jsou pověření agendou </w:t>
            </w:r>
            <w:r w:rsidR="00723FE7" w:rsidRPr="00DD47DF">
              <w:rPr>
                <w:rFonts w:cs="Calibri"/>
              </w:rPr>
              <w:t>VP</w:t>
            </w:r>
            <w:r w:rsidRPr="00DD47DF">
              <w:rPr>
                <w:rFonts w:cs="Calibri"/>
              </w:rPr>
              <w:t xml:space="preserve"> a poskytují v případě potřeby ad hoc konzultace pracovníkům </w:t>
            </w:r>
            <w:r w:rsidR="00723FE7" w:rsidRPr="00DD47DF">
              <w:rPr>
                <w:rFonts w:cs="Calibri"/>
              </w:rPr>
              <w:t>IS</w:t>
            </w:r>
            <w:r w:rsidRPr="00DD47DF">
              <w:rPr>
                <w:rFonts w:cs="Calibri"/>
              </w:rPr>
              <w:t xml:space="preserve">. Stejný mechanismus bude aplikován i v případě OP PIK. </w:t>
            </w:r>
            <w:r w:rsidR="00431068" w:rsidRPr="00DD47DF">
              <w:rPr>
                <w:rFonts w:cs="Calibri"/>
              </w:rPr>
              <w:t>Na základě řízení lidských zdrojů a plánování administrativní kapacity může být případně kapacita pro zajištění uplatňování předpisů pro veřejnou podporu posílena.</w:t>
            </w:r>
          </w:p>
          <w:p w14:paraId="754E18B1" w14:textId="77777777" w:rsidR="00F1796E" w:rsidRPr="00DD47DF" w:rsidRDefault="00736B68" w:rsidP="00736B68">
            <w:pPr>
              <w:pStyle w:val="Tabulka"/>
              <w:jc w:val="left"/>
              <w:rPr>
                <w:rFonts w:cs="Calibri"/>
              </w:rPr>
            </w:pPr>
            <w:r w:rsidRPr="00DD47DF">
              <w:rPr>
                <w:rFonts w:cs="Calibri"/>
              </w:rPr>
              <w:t>V</w:t>
            </w:r>
            <w:r w:rsidR="00F1796E" w:rsidRPr="00DD47DF">
              <w:rPr>
                <w:rFonts w:cs="Calibri"/>
              </w:rPr>
              <w:t>iz Příloha II.</w:t>
            </w:r>
          </w:p>
        </w:tc>
      </w:tr>
      <w:tr w:rsidR="00790A0D" w:rsidRPr="00DD47DF" w14:paraId="52959726" w14:textId="77777777" w:rsidTr="006D2F5F">
        <w:tc>
          <w:tcPr>
            <w:tcW w:w="1752" w:type="dxa"/>
            <w:vMerge w:val="restart"/>
            <w:shd w:val="clear" w:color="auto" w:fill="auto"/>
          </w:tcPr>
          <w:p w14:paraId="00576D64" w14:textId="77777777" w:rsidR="00790A0D" w:rsidRPr="00DD47DF" w:rsidRDefault="00790A0D" w:rsidP="006D2F5F">
            <w:pPr>
              <w:pStyle w:val="Tabulka"/>
              <w:jc w:val="left"/>
              <w:rPr>
                <w:rFonts w:cs="Calibri"/>
                <w:b/>
              </w:rPr>
            </w:pPr>
            <w:r w:rsidRPr="00DD47DF">
              <w:rPr>
                <w:rFonts w:cs="Calibri"/>
                <w:b/>
              </w:rPr>
              <w:lastRenderedPageBreak/>
              <w:t xml:space="preserve">Existence opatření pro účinné uplatňování právních předpisů Unie </w:t>
            </w:r>
            <w:r w:rsidRPr="00DD47DF">
              <w:rPr>
                <w:rFonts w:cs="Calibri"/>
                <w:b/>
              </w:rPr>
              <w:lastRenderedPageBreak/>
              <w:t xml:space="preserve">pro oblast životního prostředí týkajících se EIA a SEA. </w:t>
            </w:r>
          </w:p>
          <w:p w14:paraId="350C41B0" w14:textId="77777777" w:rsidR="00790A0D" w:rsidRPr="00DD47DF" w:rsidRDefault="00790A0D" w:rsidP="006D2F5F">
            <w:pPr>
              <w:pStyle w:val="Tabulka"/>
              <w:jc w:val="left"/>
              <w:rPr>
                <w:rFonts w:cs="Calibri"/>
                <w:b/>
              </w:rPr>
            </w:pPr>
          </w:p>
          <w:p w14:paraId="3240C4CC" w14:textId="77777777" w:rsidR="00790A0D" w:rsidRPr="00DD47DF" w:rsidRDefault="00790A0D" w:rsidP="006D2F5F">
            <w:pPr>
              <w:pStyle w:val="Tabulka"/>
              <w:jc w:val="left"/>
              <w:rPr>
                <w:rFonts w:cs="Calibri"/>
                <w:b/>
              </w:rPr>
            </w:pPr>
          </w:p>
          <w:p w14:paraId="79CA8F63" w14:textId="77777777" w:rsidR="00790A0D" w:rsidRPr="00DD47DF" w:rsidRDefault="00790A0D" w:rsidP="006D2F5F">
            <w:pPr>
              <w:pStyle w:val="Tabulka"/>
              <w:jc w:val="left"/>
              <w:rPr>
                <w:rFonts w:cs="Calibri"/>
                <w:b/>
              </w:rPr>
            </w:pPr>
          </w:p>
          <w:p w14:paraId="6AEBBB87" w14:textId="77777777" w:rsidR="00790A0D" w:rsidRPr="00DD47DF" w:rsidRDefault="00790A0D" w:rsidP="006D2F5F">
            <w:pPr>
              <w:pStyle w:val="Tabulka"/>
              <w:jc w:val="left"/>
              <w:rPr>
                <w:rFonts w:cs="Calibri"/>
                <w:b/>
              </w:rPr>
            </w:pPr>
          </w:p>
          <w:p w14:paraId="70861FE7" w14:textId="77777777" w:rsidR="00790A0D" w:rsidRPr="00DD47DF" w:rsidRDefault="00790A0D" w:rsidP="006D2F5F">
            <w:pPr>
              <w:pStyle w:val="Tabulka"/>
              <w:jc w:val="left"/>
              <w:rPr>
                <w:rFonts w:cs="Calibri"/>
                <w:b/>
              </w:rPr>
            </w:pPr>
          </w:p>
          <w:p w14:paraId="6482D67B" w14:textId="77777777" w:rsidR="00790A0D" w:rsidRPr="00DD47DF" w:rsidRDefault="00790A0D" w:rsidP="006D2F5F">
            <w:pPr>
              <w:pStyle w:val="Tabulka"/>
              <w:jc w:val="left"/>
              <w:rPr>
                <w:rFonts w:cs="Calibri"/>
                <w:b/>
              </w:rPr>
            </w:pPr>
          </w:p>
          <w:p w14:paraId="0A6B0660" w14:textId="77777777" w:rsidR="00790A0D" w:rsidRPr="00DD47DF" w:rsidRDefault="00790A0D" w:rsidP="006D2F5F">
            <w:pPr>
              <w:pStyle w:val="Tabulka"/>
              <w:jc w:val="left"/>
              <w:rPr>
                <w:rFonts w:cs="Calibri"/>
                <w:b/>
              </w:rPr>
            </w:pPr>
          </w:p>
          <w:p w14:paraId="46E0549C" w14:textId="77777777" w:rsidR="00790A0D" w:rsidRPr="00DD47DF" w:rsidRDefault="00790A0D" w:rsidP="006D2F5F">
            <w:pPr>
              <w:pStyle w:val="Tabulka"/>
              <w:jc w:val="left"/>
              <w:rPr>
                <w:rFonts w:cs="Calibri"/>
                <w:b/>
              </w:rPr>
            </w:pPr>
          </w:p>
          <w:p w14:paraId="271AC64E" w14:textId="77777777" w:rsidR="00790A0D" w:rsidRPr="00DD47DF" w:rsidRDefault="00790A0D" w:rsidP="006D2F5F">
            <w:pPr>
              <w:pStyle w:val="Tabulka"/>
              <w:jc w:val="left"/>
              <w:rPr>
                <w:rFonts w:cs="Calibri"/>
                <w:b/>
              </w:rPr>
            </w:pPr>
          </w:p>
          <w:p w14:paraId="49366BD0" w14:textId="77777777" w:rsidR="00790A0D" w:rsidRPr="00DD47DF" w:rsidRDefault="00790A0D" w:rsidP="006D2F5F">
            <w:pPr>
              <w:pStyle w:val="Tabulka"/>
              <w:jc w:val="left"/>
              <w:rPr>
                <w:rFonts w:cs="Calibri"/>
                <w:b/>
              </w:rPr>
            </w:pPr>
          </w:p>
          <w:p w14:paraId="47D2DD5C" w14:textId="77777777" w:rsidR="00790A0D" w:rsidRPr="00DD47DF" w:rsidRDefault="00790A0D" w:rsidP="006D2F5F">
            <w:pPr>
              <w:pStyle w:val="Tabulka"/>
              <w:jc w:val="left"/>
              <w:rPr>
                <w:rFonts w:cs="Calibri"/>
                <w:b/>
              </w:rPr>
            </w:pPr>
          </w:p>
          <w:p w14:paraId="7F82E13E" w14:textId="77777777" w:rsidR="00790A0D" w:rsidRPr="00DD47DF" w:rsidRDefault="00790A0D" w:rsidP="006D2F5F">
            <w:pPr>
              <w:pStyle w:val="Tabulka"/>
              <w:jc w:val="left"/>
              <w:rPr>
                <w:rFonts w:cs="Calibri"/>
                <w:b/>
              </w:rPr>
            </w:pPr>
          </w:p>
        </w:tc>
        <w:tc>
          <w:tcPr>
            <w:tcW w:w="1701" w:type="dxa"/>
            <w:vMerge w:val="restart"/>
            <w:shd w:val="clear" w:color="auto" w:fill="auto"/>
          </w:tcPr>
          <w:p w14:paraId="5B080B05" w14:textId="77777777" w:rsidR="00790A0D" w:rsidRPr="00DD47DF" w:rsidRDefault="00790A0D" w:rsidP="006D2F5F">
            <w:pPr>
              <w:pStyle w:val="Tabulka"/>
              <w:jc w:val="left"/>
              <w:rPr>
                <w:rFonts w:cs="Calibri"/>
              </w:rPr>
            </w:pPr>
            <w:r w:rsidRPr="00DD47DF">
              <w:rPr>
                <w:rFonts w:cs="Calibri"/>
              </w:rPr>
              <w:lastRenderedPageBreak/>
              <w:t xml:space="preserve">PO3 - Účinné nakládání energií, rozvoj energetické infrastruktury a obnovitelných </w:t>
            </w:r>
            <w:r w:rsidRPr="00DD47DF">
              <w:rPr>
                <w:rFonts w:cs="Calibri"/>
              </w:rPr>
              <w:lastRenderedPageBreak/>
              <w:t>zdrojů energie, podpora zavádění nových technologií v oblasti nakládání energií a druhotných surovin</w:t>
            </w:r>
          </w:p>
          <w:p w14:paraId="5E9BB6A0" w14:textId="77777777" w:rsidR="00790A0D" w:rsidRPr="00DD47DF" w:rsidRDefault="00790A0D" w:rsidP="006D2F5F">
            <w:pPr>
              <w:pStyle w:val="Tabulka"/>
              <w:jc w:val="left"/>
              <w:rPr>
                <w:rFonts w:cs="Calibri"/>
              </w:rPr>
            </w:pPr>
          </w:p>
          <w:p w14:paraId="16BA02FA" w14:textId="77777777" w:rsidR="00790A0D" w:rsidRPr="00DD47DF" w:rsidRDefault="00790A0D" w:rsidP="006D2F5F">
            <w:pPr>
              <w:pStyle w:val="Tabulka"/>
              <w:jc w:val="left"/>
              <w:rPr>
                <w:rFonts w:cs="Calibri"/>
              </w:rPr>
            </w:pPr>
            <w:r w:rsidRPr="00DD47DF">
              <w:rPr>
                <w:rFonts w:cs="Calibri"/>
              </w:rPr>
              <w:t xml:space="preserve">a částečně: </w:t>
            </w:r>
          </w:p>
          <w:p w14:paraId="7910E50B" w14:textId="77777777" w:rsidR="00790A0D" w:rsidRPr="00DD47DF" w:rsidRDefault="00790A0D" w:rsidP="006D2F5F">
            <w:pPr>
              <w:pStyle w:val="Tabulka"/>
              <w:jc w:val="left"/>
              <w:rPr>
                <w:rFonts w:cs="Calibri"/>
              </w:rPr>
            </w:pPr>
            <w:r w:rsidRPr="00DD47DF">
              <w:rPr>
                <w:rFonts w:cs="Calibri"/>
              </w:rPr>
              <w:t>PO1 - Rozvoj výzkumu a vývoje pro inovace</w:t>
            </w:r>
          </w:p>
          <w:p w14:paraId="182FC7FE" w14:textId="77777777" w:rsidR="00790A0D" w:rsidRPr="00DD47DF" w:rsidRDefault="00790A0D" w:rsidP="006D2F5F">
            <w:pPr>
              <w:pStyle w:val="Tabulka"/>
              <w:jc w:val="left"/>
              <w:rPr>
                <w:rFonts w:cs="Calibri"/>
              </w:rPr>
            </w:pPr>
            <w:r w:rsidRPr="00DD47DF">
              <w:rPr>
                <w:rFonts w:cs="Calibri"/>
              </w:rPr>
              <w:t>PO2 - Rozvoj podnikání a konkurenceschopnosti malých a středních podniků</w:t>
            </w:r>
          </w:p>
          <w:p w14:paraId="7C180B73" w14:textId="77777777" w:rsidR="00790A0D" w:rsidRPr="00DD47DF" w:rsidRDefault="00790A0D" w:rsidP="006D2F5F">
            <w:pPr>
              <w:pStyle w:val="Tabulka"/>
              <w:jc w:val="left"/>
              <w:rPr>
                <w:rFonts w:cs="Calibri"/>
              </w:rPr>
            </w:pPr>
            <w:r w:rsidRPr="00DD47DF">
              <w:rPr>
                <w:rFonts w:cs="Calibri"/>
              </w:rPr>
              <w:t>PO4 - Rozvoj vysokorychlostních přístupových sítí k internetu a informačních a komunikačních technologií</w:t>
            </w:r>
          </w:p>
        </w:tc>
        <w:tc>
          <w:tcPr>
            <w:tcW w:w="1276" w:type="dxa"/>
            <w:vMerge w:val="restart"/>
            <w:shd w:val="clear" w:color="auto" w:fill="auto"/>
          </w:tcPr>
          <w:p w14:paraId="417C331D" w14:textId="77777777" w:rsidR="00790A0D" w:rsidRPr="00DD47DF" w:rsidRDefault="000634EB" w:rsidP="006D2F5F">
            <w:pPr>
              <w:pStyle w:val="Tabulka"/>
              <w:jc w:val="left"/>
              <w:rPr>
                <w:rFonts w:cs="Calibri"/>
              </w:rPr>
            </w:pPr>
            <w:r w:rsidRPr="00DD47DF">
              <w:rPr>
                <w:rFonts w:cs="Calibri"/>
              </w:rPr>
              <w:lastRenderedPageBreak/>
              <w:t>Ano</w:t>
            </w:r>
          </w:p>
          <w:p w14:paraId="54C1AE95" w14:textId="77777777" w:rsidR="00790A0D" w:rsidRPr="00DD47DF" w:rsidRDefault="00790A0D" w:rsidP="006D2F5F">
            <w:pPr>
              <w:pStyle w:val="Tabulka"/>
              <w:jc w:val="left"/>
              <w:rPr>
                <w:rFonts w:cs="Calibri"/>
              </w:rPr>
            </w:pPr>
          </w:p>
          <w:p w14:paraId="25537C2C" w14:textId="77777777" w:rsidR="00790A0D" w:rsidRPr="00DD47DF" w:rsidRDefault="00790A0D" w:rsidP="006D2F5F">
            <w:pPr>
              <w:pStyle w:val="Tabulka"/>
              <w:jc w:val="left"/>
              <w:rPr>
                <w:rFonts w:cs="Calibri"/>
              </w:rPr>
            </w:pPr>
          </w:p>
          <w:p w14:paraId="0ECF68FF" w14:textId="77777777" w:rsidR="00790A0D" w:rsidRPr="00DD47DF" w:rsidRDefault="00790A0D" w:rsidP="006D2F5F">
            <w:pPr>
              <w:pStyle w:val="Tabulka"/>
              <w:jc w:val="left"/>
              <w:rPr>
                <w:rFonts w:cs="Calibri"/>
              </w:rPr>
            </w:pPr>
          </w:p>
          <w:p w14:paraId="45FBBD47" w14:textId="77777777" w:rsidR="00790A0D" w:rsidRPr="00DD47DF" w:rsidRDefault="00790A0D" w:rsidP="006D2F5F">
            <w:pPr>
              <w:pStyle w:val="Tabulka"/>
              <w:jc w:val="left"/>
              <w:rPr>
                <w:rFonts w:cs="Calibri"/>
              </w:rPr>
            </w:pPr>
          </w:p>
          <w:p w14:paraId="659920EF" w14:textId="77777777" w:rsidR="00790A0D" w:rsidRPr="00DD47DF" w:rsidRDefault="00790A0D" w:rsidP="006D2F5F">
            <w:pPr>
              <w:pStyle w:val="Tabulka"/>
              <w:jc w:val="left"/>
              <w:rPr>
                <w:rFonts w:cs="Calibri"/>
              </w:rPr>
            </w:pPr>
          </w:p>
          <w:p w14:paraId="3E91705A" w14:textId="77777777" w:rsidR="00790A0D" w:rsidRPr="00DD47DF" w:rsidRDefault="00790A0D" w:rsidP="006D2F5F">
            <w:pPr>
              <w:pStyle w:val="Tabulka"/>
              <w:jc w:val="left"/>
              <w:rPr>
                <w:rFonts w:cs="Calibri"/>
              </w:rPr>
            </w:pPr>
          </w:p>
          <w:p w14:paraId="6C900C60" w14:textId="77777777" w:rsidR="00790A0D" w:rsidRPr="00DD47DF" w:rsidRDefault="00790A0D" w:rsidP="006D2F5F">
            <w:pPr>
              <w:pStyle w:val="Tabulka"/>
              <w:jc w:val="left"/>
              <w:rPr>
                <w:rFonts w:cs="Calibri"/>
              </w:rPr>
            </w:pPr>
          </w:p>
          <w:p w14:paraId="6D37BD5A" w14:textId="77777777" w:rsidR="00790A0D" w:rsidRPr="00DD47DF" w:rsidRDefault="00790A0D" w:rsidP="006D2F5F">
            <w:pPr>
              <w:pStyle w:val="Tabulka"/>
              <w:jc w:val="left"/>
              <w:rPr>
                <w:rFonts w:cs="Calibri"/>
              </w:rPr>
            </w:pPr>
          </w:p>
          <w:p w14:paraId="0E6816EA" w14:textId="77777777" w:rsidR="00790A0D" w:rsidRPr="00DD47DF" w:rsidRDefault="00790A0D" w:rsidP="006D2F5F">
            <w:pPr>
              <w:pStyle w:val="Tabulka"/>
              <w:jc w:val="left"/>
              <w:rPr>
                <w:rFonts w:cs="Calibri"/>
              </w:rPr>
            </w:pPr>
          </w:p>
          <w:p w14:paraId="4A43D42B" w14:textId="77777777" w:rsidR="00790A0D" w:rsidRPr="00DD47DF" w:rsidRDefault="00790A0D" w:rsidP="006D2F5F">
            <w:pPr>
              <w:pStyle w:val="Tabulka"/>
              <w:jc w:val="left"/>
              <w:rPr>
                <w:rFonts w:cs="Calibri"/>
              </w:rPr>
            </w:pPr>
          </w:p>
          <w:p w14:paraId="272F4233" w14:textId="77777777" w:rsidR="00790A0D" w:rsidRPr="00DD47DF" w:rsidRDefault="00790A0D" w:rsidP="006D2F5F">
            <w:pPr>
              <w:pStyle w:val="Tabulka"/>
              <w:jc w:val="left"/>
              <w:rPr>
                <w:rFonts w:cs="Calibri"/>
              </w:rPr>
            </w:pPr>
          </w:p>
          <w:p w14:paraId="5B0B6A6E" w14:textId="77777777" w:rsidR="00790A0D" w:rsidRPr="00DD47DF" w:rsidRDefault="00790A0D" w:rsidP="006D2F5F">
            <w:pPr>
              <w:pStyle w:val="Tabulka"/>
              <w:jc w:val="left"/>
              <w:rPr>
                <w:rFonts w:cs="Calibri"/>
              </w:rPr>
            </w:pPr>
          </w:p>
          <w:p w14:paraId="5FFED7E0" w14:textId="77777777" w:rsidR="00790A0D" w:rsidRPr="00DD47DF" w:rsidRDefault="00790A0D" w:rsidP="006D2F5F">
            <w:pPr>
              <w:pStyle w:val="Tabulka"/>
              <w:jc w:val="left"/>
              <w:rPr>
                <w:rFonts w:cs="Calibri"/>
              </w:rPr>
            </w:pPr>
          </w:p>
          <w:p w14:paraId="4EAC8504" w14:textId="77777777" w:rsidR="00790A0D" w:rsidRPr="00DD47DF" w:rsidRDefault="00790A0D" w:rsidP="006D2F5F">
            <w:pPr>
              <w:pStyle w:val="Tabulka"/>
              <w:jc w:val="left"/>
              <w:rPr>
                <w:rFonts w:cs="Calibri"/>
              </w:rPr>
            </w:pPr>
          </w:p>
          <w:p w14:paraId="4B77BFB9" w14:textId="77777777" w:rsidR="00790A0D" w:rsidRPr="00DD47DF" w:rsidRDefault="00790A0D" w:rsidP="006D2F5F">
            <w:pPr>
              <w:pStyle w:val="Tabulka"/>
              <w:jc w:val="left"/>
              <w:rPr>
                <w:rFonts w:cs="Calibri"/>
              </w:rPr>
            </w:pPr>
          </w:p>
          <w:p w14:paraId="4C02EACE" w14:textId="77777777" w:rsidR="00790A0D" w:rsidRPr="00DD47DF" w:rsidRDefault="00790A0D" w:rsidP="006D2F5F">
            <w:pPr>
              <w:pStyle w:val="Tabulka"/>
              <w:jc w:val="left"/>
              <w:rPr>
                <w:rFonts w:cs="Calibri"/>
              </w:rPr>
            </w:pPr>
          </w:p>
          <w:p w14:paraId="26F6CF6F" w14:textId="77777777" w:rsidR="00790A0D" w:rsidRPr="00DD47DF" w:rsidRDefault="00790A0D" w:rsidP="006D2F5F">
            <w:pPr>
              <w:pStyle w:val="Tabulka"/>
              <w:jc w:val="left"/>
              <w:rPr>
                <w:rFonts w:cs="Calibri"/>
              </w:rPr>
            </w:pPr>
          </w:p>
          <w:p w14:paraId="65808CB2" w14:textId="77777777" w:rsidR="00790A0D" w:rsidRPr="00DD47DF" w:rsidRDefault="00790A0D" w:rsidP="006D2F5F">
            <w:pPr>
              <w:pStyle w:val="Tabulka"/>
              <w:jc w:val="left"/>
              <w:rPr>
                <w:rFonts w:cs="Calibri"/>
              </w:rPr>
            </w:pPr>
          </w:p>
          <w:p w14:paraId="0FA26B6C" w14:textId="77777777" w:rsidR="00790A0D" w:rsidRPr="00DD47DF" w:rsidRDefault="00790A0D" w:rsidP="006D2F5F">
            <w:pPr>
              <w:pStyle w:val="Tabulka"/>
              <w:jc w:val="left"/>
              <w:rPr>
                <w:rFonts w:cs="Calibri"/>
              </w:rPr>
            </w:pPr>
          </w:p>
        </w:tc>
        <w:tc>
          <w:tcPr>
            <w:tcW w:w="1843" w:type="dxa"/>
            <w:shd w:val="clear" w:color="auto" w:fill="auto"/>
          </w:tcPr>
          <w:p w14:paraId="64FFD125" w14:textId="77777777" w:rsidR="00790A0D" w:rsidRPr="00DD47DF" w:rsidRDefault="00790A0D" w:rsidP="006D2F5F">
            <w:pPr>
              <w:pStyle w:val="Tabulka"/>
              <w:jc w:val="left"/>
              <w:rPr>
                <w:rFonts w:cs="Calibri"/>
              </w:rPr>
            </w:pPr>
            <w:r w:rsidRPr="00DD47DF">
              <w:rPr>
                <w:rFonts w:cs="Calibri"/>
              </w:rPr>
              <w:lastRenderedPageBreak/>
              <w:t>Opatření pro účinné uplatňování směrnice Evropského parlamentu a Rady 2011/92/EU</w:t>
            </w:r>
            <w:r w:rsidRPr="00DD47DF">
              <w:rPr>
                <w:rStyle w:val="Znakapoznpodarou"/>
                <w:rFonts w:cs="Calibri"/>
              </w:rPr>
              <w:footnoteReference w:id="95"/>
            </w:r>
            <w:r w:rsidRPr="00DD47DF">
              <w:rPr>
                <w:rFonts w:cs="Calibri"/>
              </w:rPr>
              <w:t xml:space="preserve"> </w:t>
            </w:r>
            <w:r w:rsidRPr="00DD47DF">
              <w:rPr>
                <w:rFonts w:cs="Calibri"/>
              </w:rPr>
              <w:lastRenderedPageBreak/>
              <w:t>(EIA) a směrnice Evropského parlamentu a Rady 2001/42/ES</w:t>
            </w:r>
            <w:r w:rsidRPr="00DD47DF">
              <w:rPr>
                <w:rStyle w:val="Znakapoznpodarou"/>
                <w:rFonts w:cs="Calibri"/>
              </w:rPr>
              <w:footnoteReference w:id="96"/>
            </w:r>
            <w:r w:rsidRPr="00DD47DF">
              <w:rPr>
                <w:rFonts w:cs="Calibri"/>
              </w:rPr>
              <w:t xml:space="preserve"> (SEA),</w:t>
            </w:r>
          </w:p>
        </w:tc>
        <w:tc>
          <w:tcPr>
            <w:tcW w:w="1134" w:type="dxa"/>
            <w:shd w:val="clear" w:color="auto" w:fill="auto"/>
          </w:tcPr>
          <w:p w14:paraId="45075A26" w14:textId="77777777" w:rsidR="00790A0D" w:rsidRPr="00DD47DF" w:rsidRDefault="00790A0D" w:rsidP="000634EB">
            <w:pPr>
              <w:pStyle w:val="Tabulka"/>
              <w:jc w:val="left"/>
              <w:rPr>
                <w:rFonts w:cs="Calibri"/>
              </w:rPr>
            </w:pPr>
            <w:r w:rsidRPr="00DD47DF">
              <w:rPr>
                <w:rFonts w:cs="Calibri"/>
                <w:iCs/>
              </w:rPr>
              <w:lastRenderedPageBreak/>
              <w:t xml:space="preserve"> </w:t>
            </w:r>
            <w:r w:rsidR="000634EB" w:rsidRPr="00DD47DF">
              <w:rPr>
                <w:rFonts w:cs="Calibri"/>
                <w:iCs/>
              </w:rPr>
              <w:t>ano</w:t>
            </w:r>
          </w:p>
        </w:tc>
        <w:tc>
          <w:tcPr>
            <w:tcW w:w="2126" w:type="dxa"/>
            <w:shd w:val="clear" w:color="auto" w:fill="auto"/>
          </w:tcPr>
          <w:p w14:paraId="461A3840" w14:textId="77777777" w:rsidR="00790A0D" w:rsidRPr="00DD47DF" w:rsidRDefault="00790A0D" w:rsidP="006D2F5F">
            <w:pPr>
              <w:pStyle w:val="Tabulka"/>
              <w:jc w:val="left"/>
              <w:rPr>
                <w:rFonts w:cs="Calibri"/>
              </w:rPr>
            </w:pPr>
            <w:r w:rsidRPr="00DD47DF">
              <w:rPr>
                <w:rFonts w:cs="Calibri"/>
              </w:rPr>
              <w:t xml:space="preserve">Příslušná ustanovení zákona č. 100/2001 Sb., o posuzování vlivů na životní prostředí, týkající se posuzování vlivů </w:t>
            </w:r>
            <w:r w:rsidRPr="00DD47DF">
              <w:rPr>
                <w:rFonts w:cs="Calibri"/>
              </w:rPr>
              <w:lastRenderedPageBreak/>
              <w:t>koncepcí na životní prostředí.</w:t>
            </w:r>
          </w:p>
          <w:p w14:paraId="76ECBDEC" w14:textId="77777777" w:rsidR="00790A0D" w:rsidRPr="00DD47DF" w:rsidRDefault="00790A0D" w:rsidP="006D2F5F">
            <w:pPr>
              <w:pStyle w:val="Tabulka"/>
              <w:jc w:val="left"/>
              <w:rPr>
                <w:rFonts w:cs="Calibri"/>
              </w:rPr>
            </w:pPr>
          </w:p>
          <w:p w14:paraId="733EFC4B" w14:textId="77777777" w:rsidR="00790A0D" w:rsidRPr="00DD47DF" w:rsidRDefault="00580034" w:rsidP="006D2F5F">
            <w:pPr>
              <w:pStyle w:val="Tabulka"/>
              <w:jc w:val="left"/>
              <w:rPr>
                <w:rFonts w:cs="Calibri"/>
              </w:rPr>
            </w:pPr>
            <w:hyperlink r:id="rId96" w:history="1">
              <w:r w:rsidR="00790A0D" w:rsidRPr="00DD47DF">
                <w:rPr>
                  <w:rStyle w:val="Hypertextovodkaz"/>
                  <w:rFonts w:cs="Calibri"/>
                </w:rPr>
                <w:t>http://portal.cenia.cz/eiasea/static/sea_legislativa</w:t>
              </w:r>
            </w:hyperlink>
          </w:p>
          <w:p w14:paraId="5261C94C" w14:textId="77777777" w:rsidR="00790A0D" w:rsidRPr="00DD47DF" w:rsidRDefault="00790A0D" w:rsidP="006D2F5F">
            <w:pPr>
              <w:pStyle w:val="Tabulka"/>
              <w:jc w:val="left"/>
              <w:rPr>
                <w:rFonts w:cs="Calibri"/>
              </w:rPr>
            </w:pPr>
            <w:r w:rsidRPr="00DD47DF">
              <w:rPr>
                <w:rFonts w:cs="Calibri"/>
              </w:rPr>
              <w:t>§ 19 zákona č. 100/2001 Sb., o posuzování vlivů na životní prostředí:</w:t>
            </w:r>
          </w:p>
          <w:p w14:paraId="0C7452C9" w14:textId="77777777" w:rsidR="00790A0D" w:rsidRPr="00DD47DF" w:rsidRDefault="00790A0D" w:rsidP="006D2F5F">
            <w:pPr>
              <w:pStyle w:val="Tabulka"/>
              <w:jc w:val="left"/>
              <w:rPr>
                <w:rFonts w:cs="Calibri"/>
              </w:rPr>
            </w:pPr>
          </w:p>
          <w:p w14:paraId="6598AB41" w14:textId="77777777" w:rsidR="00790A0D" w:rsidRPr="00DD47DF" w:rsidRDefault="00580034" w:rsidP="006D2F5F">
            <w:pPr>
              <w:pStyle w:val="Tabulka"/>
              <w:jc w:val="left"/>
              <w:rPr>
                <w:rFonts w:cs="Calibri"/>
              </w:rPr>
            </w:pPr>
            <w:hyperlink r:id="rId97" w:history="1">
              <w:r w:rsidR="00790A0D" w:rsidRPr="00DD47DF">
                <w:rPr>
                  <w:rStyle w:val="Hypertextovodkaz"/>
                  <w:rFonts w:eastAsia="SimSun" w:cs="Calibri"/>
                </w:rPr>
                <w:t>http://portal.cenia.cz/eiasea/static/eia_legislativa</w:t>
              </w:r>
            </w:hyperlink>
          </w:p>
        </w:tc>
        <w:tc>
          <w:tcPr>
            <w:tcW w:w="4394" w:type="dxa"/>
            <w:shd w:val="clear" w:color="auto" w:fill="auto"/>
          </w:tcPr>
          <w:p w14:paraId="2CEECC55" w14:textId="77777777" w:rsidR="0015299B" w:rsidRPr="00DD47DF" w:rsidRDefault="0015299B" w:rsidP="00EF7241">
            <w:pPr>
              <w:pStyle w:val="Tabulka"/>
              <w:spacing w:before="0" w:after="0"/>
              <w:jc w:val="left"/>
              <w:rPr>
                <w:rFonts w:cs="Calibri"/>
              </w:rPr>
            </w:pPr>
            <w:r w:rsidRPr="00DD47DF">
              <w:rPr>
                <w:rFonts w:cs="Calibri"/>
              </w:rPr>
              <w:lastRenderedPageBreak/>
              <w:t xml:space="preserve">Gestor PP: Plnění </w:t>
            </w:r>
            <w:r w:rsidR="000634EB" w:rsidRPr="00DD47DF">
              <w:rPr>
                <w:rFonts w:cs="Calibri"/>
              </w:rPr>
              <w:t>ANO</w:t>
            </w:r>
          </w:p>
          <w:p w14:paraId="6021AC0C" w14:textId="77777777" w:rsidR="00457706" w:rsidRPr="00DD47DF" w:rsidRDefault="00457706" w:rsidP="00457706">
            <w:pPr>
              <w:pStyle w:val="DAVA"/>
              <w:spacing w:before="80" w:after="80"/>
              <w:rPr>
                <w:rFonts w:ascii="Times New Roman" w:hAnsi="Times New Roman"/>
                <w:sz w:val="22"/>
                <w:szCs w:val="22"/>
              </w:rPr>
            </w:pPr>
            <w:r w:rsidRPr="00DD47DF">
              <w:rPr>
                <w:rFonts w:ascii="Times New Roman" w:hAnsi="Times New Roman"/>
                <w:sz w:val="22"/>
                <w:szCs w:val="22"/>
              </w:rPr>
              <w:t>Novela zákona EIA</w:t>
            </w:r>
            <w:r w:rsidR="000634EB" w:rsidRPr="00DD47DF">
              <w:rPr>
                <w:rFonts w:ascii="Times New Roman" w:hAnsi="Times New Roman"/>
                <w:sz w:val="22"/>
                <w:szCs w:val="22"/>
              </w:rPr>
              <w:t xml:space="preserve"> nabyla účinnosti dne 1.4.2015.</w:t>
            </w:r>
            <w:r w:rsidRPr="00DD47DF">
              <w:rPr>
                <w:rFonts w:ascii="Times New Roman" w:hAnsi="Times New Roman"/>
                <w:sz w:val="22"/>
                <w:szCs w:val="22"/>
              </w:rPr>
              <w:t xml:space="preserve">  Změny novely byly konzult</w:t>
            </w:r>
            <w:r w:rsidR="005F769E" w:rsidRPr="00DD47DF">
              <w:rPr>
                <w:rFonts w:ascii="Times New Roman" w:hAnsi="Times New Roman"/>
                <w:sz w:val="22"/>
                <w:szCs w:val="22"/>
              </w:rPr>
              <w:t>ovány</w:t>
            </w:r>
            <w:r w:rsidRPr="00DD47DF">
              <w:rPr>
                <w:rFonts w:ascii="Times New Roman" w:hAnsi="Times New Roman"/>
                <w:sz w:val="22"/>
                <w:szCs w:val="22"/>
              </w:rPr>
              <w:t xml:space="preserve"> a schváleny EK. Novela bude  i pro již zahájená navazující řízení, budou tak naplněny požadavky směrnice EIA u všech projektů a </w:t>
            </w:r>
            <w:r w:rsidRPr="00DD47DF">
              <w:rPr>
                <w:rFonts w:ascii="Times New Roman" w:hAnsi="Times New Roman"/>
                <w:sz w:val="22"/>
                <w:szCs w:val="22"/>
              </w:rPr>
              <w:lastRenderedPageBreak/>
              <w:t>neukončeným povolovacím procesem, a bude prováděna kontrola souladu již vydaných stanovisek EIA se směrnicí EIA.</w:t>
            </w:r>
          </w:p>
          <w:p w14:paraId="06D23A08" w14:textId="77777777" w:rsidR="00EF7241" w:rsidRPr="00DD47DF" w:rsidRDefault="00457706" w:rsidP="00EF7241">
            <w:pPr>
              <w:pStyle w:val="Tabulka"/>
              <w:spacing w:before="0" w:after="0"/>
              <w:jc w:val="left"/>
              <w:rPr>
                <w:rFonts w:cs="Calibri"/>
              </w:rPr>
            </w:pPr>
            <w:r w:rsidRPr="00DD47DF">
              <w:t>Metodická pomůcka pro projekty s povolovacím procesem vydána 20. 8. 2014 MŽP a MMR. U projektů a ukončeným povol. procesem před nabytím účinnosti novely, bude vyhodnocen soulad povol. procesu se směrnicí EIA. K tomu zřízena PS.</w:t>
            </w:r>
          </w:p>
          <w:p w14:paraId="4A08E713" w14:textId="77777777" w:rsidR="00790A0D" w:rsidRPr="00DD47DF" w:rsidRDefault="00557467" w:rsidP="00557467">
            <w:pPr>
              <w:pStyle w:val="Tabulka"/>
              <w:spacing w:before="0" w:after="0"/>
              <w:jc w:val="left"/>
              <w:rPr>
                <w:rFonts w:cs="Calibri"/>
              </w:rPr>
            </w:pPr>
            <w:r w:rsidRPr="00DD47DF">
              <w:rPr>
                <w:rFonts w:cs="Calibri"/>
              </w:rPr>
              <w:t xml:space="preserve">Viz též </w:t>
            </w:r>
            <w:r w:rsidR="00790A0D" w:rsidRPr="00DD47DF">
              <w:rPr>
                <w:rFonts w:cs="Calibri"/>
              </w:rPr>
              <w:t>Akční plán v gesci MŽP.</w:t>
            </w:r>
          </w:p>
        </w:tc>
      </w:tr>
      <w:tr w:rsidR="00790A0D" w:rsidRPr="00DD47DF" w14:paraId="0A7B0E05" w14:textId="77777777" w:rsidTr="006D2F5F">
        <w:tc>
          <w:tcPr>
            <w:tcW w:w="1752" w:type="dxa"/>
            <w:vMerge/>
            <w:shd w:val="clear" w:color="auto" w:fill="auto"/>
          </w:tcPr>
          <w:p w14:paraId="4FD45F13" w14:textId="77777777" w:rsidR="00790A0D" w:rsidRPr="00DD47DF" w:rsidRDefault="00790A0D" w:rsidP="006D2F5F">
            <w:pPr>
              <w:pStyle w:val="Tabulka"/>
              <w:rPr>
                <w:rFonts w:cs="Calibri"/>
                <w:b/>
              </w:rPr>
            </w:pPr>
          </w:p>
        </w:tc>
        <w:tc>
          <w:tcPr>
            <w:tcW w:w="1701" w:type="dxa"/>
            <w:vMerge/>
            <w:shd w:val="clear" w:color="auto" w:fill="auto"/>
          </w:tcPr>
          <w:p w14:paraId="215046AD" w14:textId="77777777" w:rsidR="00790A0D" w:rsidRPr="00DD47DF" w:rsidRDefault="00790A0D" w:rsidP="006D2F5F">
            <w:pPr>
              <w:pStyle w:val="Tabulka"/>
              <w:rPr>
                <w:rFonts w:cs="Calibri"/>
              </w:rPr>
            </w:pPr>
          </w:p>
        </w:tc>
        <w:tc>
          <w:tcPr>
            <w:tcW w:w="1276" w:type="dxa"/>
            <w:vMerge/>
            <w:shd w:val="clear" w:color="auto" w:fill="auto"/>
          </w:tcPr>
          <w:p w14:paraId="1FB42E78" w14:textId="77777777" w:rsidR="00790A0D" w:rsidRPr="00DD47DF" w:rsidRDefault="00790A0D" w:rsidP="006D2F5F">
            <w:pPr>
              <w:pStyle w:val="Tabulka"/>
              <w:rPr>
                <w:rFonts w:cs="Calibri"/>
              </w:rPr>
            </w:pPr>
          </w:p>
        </w:tc>
        <w:tc>
          <w:tcPr>
            <w:tcW w:w="1843" w:type="dxa"/>
            <w:shd w:val="clear" w:color="auto" w:fill="auto"/>
          </w:tcPr>
          <w:p w14:paraId="5E678058" w14:textId="77777777" w:rsidR="00790A0D" w:rsidRPr="00DD47DF" w:rsidRDefault="00790A0D" w:rsidP="006D2F5F">
            <w:pPr>
              <w:pStyle w:val="Tabulka"/>
              <w:jc w:val="left"/>
              <w:rPr>
                <w:rFonts w:cs="Calibri"/>
              </w:rPr>
            </w:pPr>
            <w:r w:rsidRPr="00DD47DF">
              <w:rPr>
                <w:rFonts w:cs="Calibri"/>
              </w:rPr>
              <w:t>Opatření pro odbornou přípravu a šíření informací pro zaměstnance podílející se na provádění směrnic EIA a SEA</w:t>
            </w:r>
          </w:p>
        </w:tc>
        <w:tc>
          <w:tcPr>
            <w:tcW w:w="1134" w:type="dxa"/>
            <w:shd w:val="clear" w:color="auto" w:fill="auto"/>
          </w:tcPr>
          <w:p w14:paraId="43B38623"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592DC235" w14:textId="77777777" w:rsidR="00790A0D" w:rsidRPr="00DD47DF" w:rsidRDefault="00790A0D" w:rsidP="006D2F5F">
            <w:pPr>
              <w:pStyle w:val="Tabulka"/>
              <w:jc w:val="left"/>
              <w:rPr>
                <w:rFonts w:cs="Calibri"/>
              </w:rPr>
            </w:pPr>
            <w:r w:rsidRPr="00DD47DF">
              <w:rPr>
                <w:rFonts w:cs="Calibri"/>
              </w:rPr>
              <w:t>§21 a 22 zákona č. 100/2001 Sb., o posuzování vlivů na životní prostředí</w:t>
            </w:r>
          </w:p>
          <w:p w14:paraId="4B804EC2" w14:textId="77777777" w:rsidR="00790A0D" w:rsidRPr="00DD47DF" w:rsidRDefault="00790A0D" w:rsidP="006D2F5F">
            <w:pPr>
              <w:pStyle w:val="Tabulka"/>
              <w:jc w:val="left"/>
              <w:rPr>
                <w:rFonts w:cs="Calibri"/>
              </w:rPr>
            </w:pPr>
          </w:p>
          <w:p w14:paraId="145A4AB6" w14:textId="77777777" w:rsidR="00790A0D" w:rsidRPr="00DD47DF" w:rsidRDefault="00790A0D" w:rsidP="006D2F5F">
            <w:pPr>
              <w:pStyle w:val="Tabulka"/>
              <w:jc w:val="left"/>
              <w:rPr>
                <w:rFonts w:cs="Calibri"/>
              </w:rPr>
            </w:pPr>
            <w:r w:rsidRPr="00DD47DF">
              <w:rPr>
                <w:rFonts w:cs="Calibri"/>
              </w:rPr>
              <w:t>§21 zákona č. 312/2002 Sb., o úřednících územních samosprávných celků a o změně některých zákonů</w:t>
            </w:r>
          </w:p>
          <w:p w14:paraId="66F0E09C" w14:textId="77777777" w:rsidR="00790A0D" w:rsidRPr="00DD47DF" w:rsidRDefault="00790A0D" w:rsidP="006D2F5F">
            <w:pPr>
              <w:pStyle w:val="Tabulka"/>
              <w:jc w:val="left"/>
              <w:rPr>
                <w:rFonts w:cs="Calibri"/>
              </w:rPr>
            </w:pPr>
          </w:p>
          <w:p w14:paraId="41E5BF3A" w14:textId="77777777" w:rsidR="00790A0D" w:rsidRPr="00DD47DF" w:rsidRDefault="00790A0D" w:rsidP="006D2F5F">
            <w:pPr>
              <w:pStyle w:val="Tabulka"/>
              <w:jc w:val="left"/>
              <w:rPr>
                <w:rFonts w:cs="Calibri"/>
              </w:rPr>
            </w:pPr>
            <w:r w:rsidRPr="00DD47DF">
              <w:rPr>
                <w:rFonts w:cs="Calibri"/>
              </w:rPr>
              <w:t>Usnesení Vlády ČR ze dne 30. listopadu 2005 č. 1542</w:t>
            </w:r>
          </w:p>
          <w:p w14:paraId="25E5E5E5" w14:textId="77777777" w:rsidR="00790A0D" w:rsidRPr="00DD47DF" w:rsidRDefault="00790A0D" w:rsidP="006D2F5F">
            <w:pPr>
              <w:pStyle w:val="Tabulka"/>
              <w:jc w:val="left"/>
              <w:rPr>
                <w:rFonts w:cs="Calibri"/>
              </w:rPr>
            </w:pPr>
          </w:p>
          <w:p w14:paraId="7FB14327" w14:textId="77777777" w:rsidR="00790A0D" w:rsidRPr="00DD47DF" w:rsidRDefault="00580034" w:rsidP="006D2F5F">
            <w:pPr>
              <w:pStyle w:val="Tabulka"/>
              <w:jc w:val="left"/>
              <w:rPr>
                <w:rFonts w:cs="Calibri"/>
              </w:rPr>
            </w:pPr>
            <w:hyperlink r:id="rId98" w:history="1">
              <w:r w:rsidR="00790A0D" w:rsidRPr="00DD47DF">
                <w:rPr>
                  <w:rStyle w:val="Hypertextovodkaz"/>
                  <w:rFonts w:cs="Calibri"/>
                </w:rPr>
                <w:t>http://www.mzp.cz/cz/posuzovani_vlivu_zivotni_prostredi</w:t>
              </w:r>
            </w:hyperlink>
          </w:p>
          <w:p w14:paraId="4E6A1B84" w14:textId="77777777" w:rsidR="00790A0D" w:rsidRPr="00DD47DF" w:rsidRDefault="00790A0D" w:rsidP="006D2F5F">
            <w:pPr>
              <w:pStyle w:val="Tabulka"/>
              <w:jc w:val="left"/>
              <w:rPr>
                <w:rFonts w:cs="Calibri"/>
              </w:rPr>
            </w:pPr>
          </w:p>
          <w:p w14:paraId="57AE639B" w14:textId="77777777" w:rsidR="00790A0D" w:rsidRPr="00DD47DF" w:rsidRDefault="00580034" w:rsidP="006D2F5F">
            <w:pPr>
              <w:pStyle w:val="Tabulka"/>
              <w:jc w:val="left"/>
              <w:rPr>
                <w:rFonts w:cs="Calibri"/>
              </w:rPr>
            </w:pPr>
            <w:hyperlink r:id="rId99" w:history="1">
              <w:r w:rsidR="00790A0D" w:rsidRPr="00DD47DF">
                <w:rPr>
                  <w:rStyle w:val="Hypertextovodkaz"/>
                  <w:rFonts w:cs="Calibri"/>
                </w:rPr>
                <w:t>http://portal.cenia.cz/eiasea/view/eia100_cr</w:t>
              </w:r>
            </w:hyperlink>
            <w:r w:rsidR="00790A0D" w:rsidRPr="00DD47DF">
              <w:rPr>
                <w:rFonts w:cs="Calibri"/>
              </w:rPr>
              <w:t xml:space="preserve"> (+ záložka legislativa, pokyny a sdělení atd.)</w:t>
            </w:r>
          </w:p>
          <w:p w14:paraId="5830042E" w14:textId="77777777" w:rsidR="00790A0D" w:rsidRPr="00DD47DF" w:rsidRDefault="00790A0D" w:rsidP="006D2F5F">
            <w:pPr>
              <w:pStyle w:val="Tabulka"/>
              <w:jc w:val="left"/>
              <w:rPr>
                <w:rFonts w:cs="Calibri"/>
              </w:rPr>
            </w:pPr>
          </w:p>
          <w:p w14:paraId="451D2E81" w14:textId="77777777" w:rsidR="00790A0D" w:rsidRPr="00DD47DF" w:rsidRDefault="00580034" w:rsidP="006D2F5F">
            <w:pPr>
              <w:pStyle w:val="Tabulka"/>
              <w:jc w:val="left"/>
              <w:rPr>
                <w:rFonts w:cs="Calibri"/>
              </w:rPr>
            </w:pPr>
            <w:hyperlink r:id="rId100" w:history="1">
              <w:r w:rsidR="00790A0D" w:rsidRPr="00DD47DF">
                <w:rPr>
                  <w:rStyle w:val="Hypertextovodkaz"/>
                  <w:rFonts w:cs="Calibri"/>
                </w:rPr>
                <w:t>http://portal.cenia.cz/eiasea/view/eia100_cr</w:t>
              </w:r>
            </w:hyperlink>
          </w:p>
          <w:p w14:paraId="0B8DE3E2" w14:textId="77777777" w:rsidR="00790A0D" w:rsidRPr="00DD47DF" w:rsidRDefault="00580034" w:rsidP="006D2F5F">
            <w:pPr>
              <w:pStyle w:val="Tabulka"/>
              <w:jc w:val="left"/>
              <w:rPr>
                <w:rFonts w:cs="Calibri"/>
              </w:rPr>
            </w:pPr>
            <w:hyperlink r:id="rId101" w:history="1">
              <w:r w:rsidR="00790A0D" w:rsidRPr="00DD47DF">
                <w:rPr>
                  <w:rStyle w:val="Hypertextovodkaz"/>
                  <w:rFonts w:cs="Calibri"/>
                </w:rPr>
                <w:t>http://portal.cenia.cz/eiasea/view/SEA100_koncepce</w:t>
              </w:r>
            </w:hyperlink>
          </w:p>
        </w:tc>
        <w:tc>
          <w:tcPr>
            <w:tcW w:w="4394" w:type="dxa"/>
            <w:shd w:val="clear" w:color="auto" w:fill="auto"/>
          </w:tcPr>
          <w:p w14:paraId="5D6C007C" w14:textId="77777777" w:rsidR="00CC122F" w:rsidRPr="00DD47DF" w:rsidRDefault="00CC122F" w:rsidP="006D2F5F">
            <w:pPr>
              <w:pStyle w:val="Tabulka"/>
              <w:spacing w:before="0"/>
              <w:jc w:val="left"/>
              <w:rPr>
                <w:rFonts w:cs="Calibri"/>
              </w:rPr>
            </w:pPr>
            <w:r w:rsidRPr="00DD47DF">
              <w:rPr>
                <w:rFonts w:cs="Calibri"/>
              </w:rPr>
              <w:lastRenderedPageBreak/>
              <w:t>Gestor PP: Plnění ANO</w:t>
            </w:r>
          </w:p>
          <w:p w14:paraId="135B7568" w14:textId="77777777" w:rsidR="00790A0D" w:rsidRPr="00DD47DF" w:rsidRDefault="00790A0D" w:rsidP="006D2F5F">
            <w:pPr>
              <w:pStyle w:val="Tabulka"/>
              <w:spacing w:before="0"/>
              <w:jc w:val="left"/>
              <w:rPr>
                <w:rFonts w:cs="Calibri"/>
              </w:rPr>
            </w:pPr>
            <w:r w:rsidRPr="00DD47DF">
              <w:rPr>
                <w:rFonts w:cs="Calibri"/>
              </w:rPr>
              <w:t xml:space="preserve">MŽP metodicky vede všechny pracovníky provádějící směrnice EIA a SEA. </w:t>
            </w:r>
            <w:r w:rsidR="00CC122F" w:rsidRPr="00DD47DF">
              <w:rPr>
                <w:rFonts w:cs="Calibri"/>
              </w:rPr>
              <w:t>V</w:t>
            </w:r>
            <w:r w:rsidR="0045099F" w:rsidRPr="00DD47DF">
              <w:rPr>
                <w:rFonts w:cs="Calibri"/>
              </w:rPr>
              <w:t xml:space="preserve"> </w:t>
            </w:r>
            <w:r w:rsidRPr="00DD47DF">
              <w:rPr>
                <w:rFonts w:cs="Calibri"/>
              </w:rPr>
              <w:t xml:space="preserve">součinnosti s MMR </w:t>
            </w:r>
            <w:r w:rsidR="00CC122F" w:rsidRPr="00DD47DF">
              <w:rPr>
                <w:rFonts w:cs="Calibri"/>
              </w:rPr>
              <w:t xml:space="preserve">realizuje </w:t>
            </w:r>
            <w:r w:rsidRPr="00DD47DF">
              <w:rPr>
                <w:rFonts w:cs="Calibri"/>
              </w:rPr>
              <w:t>školení pro pracovníky</w:t>
            </w:r>
            <w:r w:rsidR="00CC122F" w:rsidRPr="00DD47DF">
              <w:rPr>
                <w:rFonts w:cs="Calibri"/>
              </w:rPr>
              <w:t xml:space="preserve"> ŘO.</w:t>
            </w:r>
          </w:p>
          <w:p w14:paraId="36B3E0E3" w14:textId="77777777" w:rsidR="00790A0D" w:rsidRPr="00DD47DF" w:rsidRDefault="00790A0D" w:rsidP="006D2F5F">
            <w:pPr>
              <w:pStyle w:val="Tabulka"/>
              <w:spacing w:before="0"/>
              <w:jc w:val="left"/>
            </w:pPr>
            <w:r w:rsidRPr="00DD47DF">
              <w:rPr>
                <w:rFonts w:cs="Calibri"/>
              </w:rPr>
              <w:t xml:space="preserve">Informace z oblasti EIA a SEA jsou šířeny prostřednictvím informačního systému a metodických pokynů. </w:t>
            </w:r>
            <w:r w:rsidR="00684FC1" w:rsidRPr="00DD47DF">
              <w:t>Krajští úředníci pravidelně využívají také možnosti individuální konzultace.</w:t>
            </w:r>
            <w:r w:rsidRPr="00DD47DF">
              <w:rPr>
                <w:rFonts w:cs="Calibri"/>
              </w:rPr>
              <w:t xml:space="preserve"> </w:t>
            </w:r>
            <w:r w:rsidR="00684FC1" w:rsidRPr="00DD47DF">
              <w:rPr>
                <w:rFonts w:cs="Calibri"/>
              </w:rPr>
              <w:t>P</w:t>
            </w:r>
            <w:r w:rsidRPr="00DD47DF">
              <w:rPr>
                <w:rFonts w:cs="Calibri"/>
              </w:rPr>
              <w:t>racovníci provádějící směrnice EIA a SEA jsou kvalifikováni k poradenství.</w:t>
            </w:r>
            <w:r w:rsidR="00684FC1" w:rsidRPr="00DD47DF">
              <w:t xml:space="preserve"> Krajští úředníci prokazují zvláštní odbornou způsobilost v oblasti posuzování vlivů na </w:t>
            </w:r>
            <w:r w:rsidR="00684FC1" w:rsidRPr="00DD47DF">
              <w:lastRenderedPageBreak/>
              <w:t>životní prostředí, která se ověřuje zkouškou a prokazuje osvědčením.</w:t>
            </w:r>
            <w:r w:rsidR="00684FC1" w:rsidRPr="00DD47DF">
              <w:rPr>
                <w:bCs/>
                <w:color w:val="000000"/>
              </w:rPr>
              <w:t xml:space="preserve"> Součástí vzdělávání pracovníků </w:t>
            </w:r>
            <w:r w:rsidR="00967531" w:rsidRPr="00DD47DF">
              <w:rPr>
                <w:bCs/>
                <w:color w:val="000000"/>
              </w:rPr>
              <w:t xml:space="preserve"> </w:t>
            </w:r>
            <w:r w:rsidR="00684FC1" w:rsidRPr="00DD47DF">
              <w:rPr>
                <w:bCs/>
                <w:color w:val="000000"/>
              </w:rPr>
              <w:t>jsou rovněž informace o aktuálním stavu infringementového řízení a o nové právní úprav</w:t>
            </w:r>
            <w:r w:rsidR="004738B8" w:rsidRPr="00DD47DF">
              <w:rPr>
                <w:bCs/>
                <w:color w:val="000000"/>
              </w:rPr>
              <w:t>ě</w:t>
            </w:r>
            <w:r w:rsidR="00684FC1" w:rsidRPr="00DD47DF">
              <w:rPr>
                <w:bCs/>
                <w:color w:val="000000"/>
              </w:rPr>
              <w:t xml:space="preserve"> v oblasti EIA</w:t>
            </w:r>
            <w:r w:rsidR="00F26664" w:rsidRPr="00DD47DF">
              <w:rPr>
                <w:bCs/>
                <w:color w:val="000000"/>
              </w:rPr>
              <w:t xml:space="preserve">  (zákon č. 39/2015 Sb.). </w:t>
            </w:r>
          </w:p>
          <w:p w14:paraId="2DC73098" w14:textId="77777777" w:rsidR="00790A0D" w:rsidRPr="00DD47DF" w:rsidRDefault="00790A0D" w:rsidP="006D2F5F">
            <w:pPr>
              <w:pStyle w:val="Tabulka"/>
              <w:spacing w:before="0"/>
              <w:jc w:val="left"/>
              <w:rPr>
                <w:rFonts w:cs="Calibri"/>
              </w:rPr>
            </w:pPr>
            <w:r w:rsidRPr="00DD47DF">
              <w:rPr>
                <w:rFonts w:cs="Calibri"/>
              </w:rPr>
              <w:t>MMR-NOK zajišťuje na horizontální úrovni proškolení zaměstnanců implementujících fondy EU v rámci Systému vzdělávání, MŽP zajišťuje obsahovou náplň vzdělávání a lektorské zajištění. Zaměstnanci ŘO OP PIK jsou zapojeni do Systému vzdělávání.</w:t>
            </w:r>
          </w:p>
          <w:p w14:paraId="4D9FFFAD" w14:textId="77777777" w:rsidR="00790A0D" w:rsidRPr="00DD47DF" w:rsidRDefault="00967531" w:rsidP="006D2F5F">
            <w:pPr>
              <w:pStyle w:val="Tabulka"/>
              <w:spacing w:before="0"/>
              <w:jc w:val="left"/>
              <w:rPr>
                <w:rFonts w:cs="Calibri"/>
              </w:rPr>
            </w:pPr>
            <w:r w:rsidRPr="00DD47DF">
              <w:rPr>
                <w:rFonts w:cs="Calibri"/>
              </w:rPr>
              <w:t>V</w:t>
            </w:r>
            <w:r w:rsidR="00790A0D" w:rsidRPr="00DD47DF">
              <w:rPr>
                <w:rFonts w:cs="Calibri"/>
              </w:rPr>
              <w:t xml:space="preserve">iz </w:t>
            </w:r>
            <w:r w:rsidRPr="00DD47DF">
              <w:rPr>
                <w:rFonts w:cs="Calibri"/>
              </w:rPr>
              <w:t xml:space="preserve">též </w:t>
            </w:r>
            <w:r w:rsidR="00790A0D" w:rsidRPr="00DD47DF">
              <w:rPr>
                <w:rFonts w:cs="Calibri"/>
              </w:rPr>
              <w:t xml:space="preserve">Příloha č. II </w:t>
            </w:r>
            <w:r w:rsidR="004738B8" w:rsidRPr="00DD47DF">
              <w:rPr>
                <w:rFonts w:cs="Calibri"/>
              </w:rPr>
              <w:t xml:space="preserve">- </w:t>
            </w:r>
            <w:r w:rsidR="00790A0D" w:rsidRPr="00DD47DF">
              <w:rPr>
                <w:rFonts w:cs="Calibri"/>
              </w:rPr>
              <w:t xml:space="preserve"> Akční plán.</w:t>
            </w:r>
          </w:p>
          <w:p w14:paraId="0E205C21" w14:textId="77777777" w:rsidR="00790A0D" w:rsidRPr="00DD47DF" w:rsidRDefault="00790A0D" w:rsidP="006D2F5F">
            <w:pPr>
              <w:pStyle w:val="Tabulka"/>
              <w:jc w:val="left"/>
              <w:rPr>
                <w:rFonts w:cs="Calibri"/>
              </w:rPr>
            </w:pPr>
          </w:p>
        </w:tc>
      </w:tr>
      <w:tr w:rsidR="00790A0D" w:rsidRPr="00DD47DF" w14:paraId="527EF10F" w14:textId="77777777" w:rsidTr="006D2F5F">
        <w:tc>
          <w:tcPr>
            <w:tcW w:w="1752" w:type="dxa"/>
            <w:vMerge/>
            <w:shd w:val="clear" w:color="auto" w:fill="auto"/>
          </w:tcPr>
          <w:p w14:paraId="2DD599DA" w14:textId="77777777" w:rsidR="00790A0D" w:rsidRPr="00DD47DF" w:rsidRDefault="00790A0D" w:rsidP="006D2F5F">
            <w:pPr>
              <w:pStyle w:val="Tabulka"/>
              <w:jc w:val="left"/>
              <w:rPr>
                <w:rFonts w:cs="Calibri"/>
                <w:b/>
              </w:rPr>
            </w:pPr>
          </w:p>
        </w:tc>
        <w:tc>
          <w:tcPr>
            <w:tcW w:w="1701" w:type="dxa"/>
            <w:vMerge/>
            <w:shd w:val="clear" w:color="auto" w:fill="auto"/>
          </w:tcPr>
          <w:p w14:paraId="767C1755" w14:textId="77777777" w:rsidR="00790A0D" w:rsidRPr="00DD47DF" w:rsidRDefault="00790A0D" w:rsidP="006D2F5F">
            <w:pPr>
              <w:pStyle w:val="Tabulka"/>
              <w:jc w:val="left"/>
              <w:rPr>
                <w:rFonts w:cs="Calibri"/>
              </w:rPr>
            </w:pPr>
          </w:p>
        </w:tc>
        <w:tc>
          <w:tcPr>
            <w:tcW w:w="1276" w:type="dxa"/>
            <w:vMerge/>
            <w:shd w:val="clear" w:color="auto" w:fill="auto"/>
          </w:tcPr>
          <w:p w14:paraId="1198219A" w14:textId="77777777" w:rsidR="00790A0D" w:rsidRPr="00DD47DF" w:rsidRDefault="00790A0D" w:rsidP="006D2F5F">
            <w:pPr>
              <w:pStyle w:val="Tabulka"/>
              <w:jc w:val="left"/>
              <w:rPr>
                <w:rFonts w:cs="Calibri"/>
              </w:rPr>
            </w:pPr>
          </w:p>
        </w:tc>
        <w:tc>
          <w:tcPr>
            <w:tcW w:w="1843" w:type="dxa"/>
            <w:shd w:val="clear" w:color="auto" w:fill="auto"/>
          </w:tcPr>
          <w:p w14:paraId="144DBF07" w14:textId="77777777" w:rsidR="00790A0D" w:rsidRPr="00DD47DF" w:rsidRDefault="00790A0D" w:rsidP="006D2F5F">
            <w:pPr>
              <w:pStyle w:val="Tabulka"/>
              <w:jc w:val="left"/>
              <w:rPr>
                <w:rFonts w:cs="Calibri"/>
              </w:rPr>
            </w:pPr>
            <w:r w:rsidRPr="00DD47DF">
              <w:rPr>
                <w:rFonts w:cs="Calibri"/>
              </w:rPr>
              <w:t>Opatření k zajištění dostatečné správní kapacity</w:t>
            </w:r>
          </w:p>
        </w:tc>
        <w:tc>
          <w:tcPr>
            <w:tcW w:w="1134" w:type="dxa"/>
            <w:shd w:val="clear" w:color="auto" w:fill="auto"/>
          </w:tcPr>
          <w:p w14:paraId="05A63E39"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55ADB98B" w14:textId="77777777" w:rsidR="00790A0D" w:rsidRPr="00DD47DF" w:rsidRDefault="00790A0D" w:rsidP="006D2F5F">
            <w:pPr>
              <w:pStyle w:val="Tabulka"/>
              <w:jc w:val="left"/>
              <w:rPr>
                <w:rFonts w:cs="Calibri"/>
              </w:rPr>
            </w:pPr>
            <w:r w:rsidRPr="00DD47DF">
              <w:rPr>
                <w:rFonts w:cs="Calibri"/>
              </w:rPr>
              <w:t>§21 a 22 zákona č. 100/2001 Sb., o posuzování vlivů na životní prostředí</w:t>
            </w:r>
          </w:p>
          <w:p w14:paraId="04B3E31D" w14:textId="77777777" w:rsidR="00790A0D" w:rsidRPr="00DD47DF" w:rsidRDefault="00790A0D" w:rsidP="006D2F5F">
            <w:pPr>
              <w:pStyle w:val="Tabulka"/>
              <w:jc w:val="left"/>
              <w:rPr>
                <w:rFonts w:cs="Calibri"/>
              </w:rPr>
            </w:pPr>
          </w:p>
          <w:p w14:paraId="041C8C4E" w14:textId="77777777" w:rsidR="00790A0D" w:rsidRPr="00DD47DF" w:rsidRDefault="00790A0D" w:rsidP="006D2F5F">
            <w:pPr>
              <w:pStyle w:val="Tabulka"/>
              <w:jc w:val="left"/>
              <w:rPr>
                <w:rFonts w:cs="Calibri"/>
              </w:rPr>
            </w:pPr>
            <w:r w:rsidRPr="00DD47DF">
              <w:rPr>
                <w:rFonts w:cs="Calibri"/>
              </w:rPr>
              <w:t>§21 zákona č. 312/2002 Sb., o úřednících územních samosprávných celků a o změně některých zákonů</w:t>
            </w:r>
          </w:p>
          <w:p w14:paraId="563F4BB9" w14:textId="77777777" w:rsidR="00790A0D" w:rsidRPr="00DD47DF" w:rsidRDefault="00790A0D" w:rsidP="006D2F5F">
            <w:pPr>
              <w:pStyle w:val="Tabulka"/>
              <w:jc w:val="left"/>
              <w:rPr>
                <w:rFonts w:cs="Calibri"/>
              </w:rPr>
            </w:pPr>
          </w:p>
          <w:p w14:paraId="5548EBAC" w14:textId="77777777" w:rsidR="00790A0D" w:rsidRPr="00DD47DF" w:rsidRDefault="00790A0D" w:rsidP="006D2F5F">
            <w:pPr>
              <w:pStyle w:val="Tabulka"/>
              <w:jc w:val="left"/>
              <w:rPr>
                <w:rFonts w:cs="Calibri"/>
              </w:rPr>
            </w:pPr>
            <w:r w:rsidRPr="00DD47DF">
              <w:rPr>
                <w:rFonts w:cs="Calibri"/>
              </w:rPr>
              <w:t>Usnesení Vlády ČR ze dne 30. listopadu 2005 č. 1542</w:t>
            </w:r>
          </w:p>
          <w:p w14:paraId="6985FBCD" w14:textId="77777777" w:rsidR="00790A0D" w:rsidRPr="00DD47DF" w:rsidRDefault="00790A0D" w:rsidP="006D2F5F">
            <w:pPr>
              <w:pStyle w:val="Tabulka"/>
              <w:jc w:val="left"/>
              <w:rPr>
                <w:rFonts w:cs="Calibri"/>
              </w:rPr>
            </w:pPr>
          </w:p>
          <w:p w14:paraId="5419CAE7" w14:textId="77777777" w:rsidR="00790A0D" w:rsidRPr="00DD47DF" w:rsidRDefault="00790A0D" w:rsidP="006D2F5F">
            <w:pPr>
              <w:pStyle w:val="Tabulka"/>
              <w:jc w:val="left"/>
              <w:rPr>
                <w:rFonts w:cs="Calibri"/>
              </w:rPr>
            </w:pPr>
            <w:r w:rsidRPr="00DD47DF">
              <w:rPr>
                <w:rFonts w:cs="Calibri"/>
              </w:rPr>
              <w:t>Zákon č. 111/2009 Sb., o základních registrech</w:t>
            </w:r>
          </w:p>
          <w:p w14:paraId="7C89DB2D" w14:textId="77777777" w:rsidR="00790A0D" w:rsidRPr="00DD47DF" w:rsidRDefault="00790A0D" w:rsidP="006D2F5F">
            <w:pPr>
              <w:pStyle w:val="Tabulka"/>
              <w:jc w:val="left"/>
              <w:rPr>
                <w:rFonts w:cs="Calibri"/>
              </w:rPr>
            </w:pPr>
          </w:p>
          <w:p w14:paraId="4FAA56B1" w14:textId="77777777" w:rsidR="00790A0D" w:rsidRPr="00DD47DF" w:rsidRDefault="00580034" w:rsidP="006D2F5F">
            <w:pPr>
              <w:pStyle w:val="Tabulka"/>
              <w:jc w:val="left"/>
              <w:rPr>
                <w:rFonts w:cs="Calibri"/>
              </w:rPr>
            </w:pPr>
            <w:hyperlink r:id="rId102" w:history="1">
              <w:r w:rsidR="00790A0D" w:rsidRPr="00DD47DF">
                <w:rPr>
                  <w:rStyle w:val="Hypertextovodkaz"/>
                  <w:rFonts w:cs="Calibri"/>
                </w:rPr>
                <w:t>http://www.mzp.cz/cz/posuzovani_vlivu_zivotni_prostredi</w:t>
              </w:r>
            </w:hyperlink>
          </w:p>
          <w:p w14:paraId="54CC9C31" w14:textId="77777777" w:rsidR="00790A0D" w:rsidRPr="00DD47DF" w:rsidRDefault="00790A0D" w:rsidP="006D2F5F">
            <w:pPr>
              <w:pStyle w:val="Tabulka"/>
              <w:jc w:val="left"/>
              <w:rPr>
                <w:rFonts w:cs="Calibri"/>
              </w:rPr>
            </w:pPr>
          </w:p>
          <w:p w14:paraId="4890E01D" w14:textId="77777777" w:rsidR="00790A0D" w:rsidRPr="00DD47DF" w:rsidRDefault="00580034" w:rsidP="006D2F5F">
            <w:pPr>
              <w:pStyle w:val="Tabulka"/>
              <w:jc w:val="left"/>
              <w:rPr>
                <w:rFonts w:cs="Calibri"/>
              </w:rPr>
            </w:pPr>
            <w:hyperlink r:id="rId103" w:history="1">
              <w:r w:rsidR="00790A0D" w:rsidRPr="00DD47DF">
                <w:rPr>
                  <w:rStyle w:val="Hypertextovodkaz"/>
                  <w:rFonts w:cs="Calibri"/>
                </w:rPr>
                <w:t>http://portal.cenia.cz/eiasea/view/eia100_cr</w:t>
              </w:r>
            </w:hyperlink>
            <w:r w:rsidR="00790A0D" w:rsidRPr="00DD47DF">
              <w:rPr>
                <w:rStyle w:val="Hypertextovodkaz"/>
                <w:rFonts w:cs="Calibri"/>
              </w:rPr>
              <w:t xml:space="preserve"> </w:t>
            </w:r>
          </w:p>
          <w:p w14:paraId="78F289FB" w14:textId="77777777" w:rsidR="00790A0D" w:rsidRPr="00DD47DF" w:rsidRDefault="00790A0D" w:rsidP="006D2F5F">
            <w:pPr>
              <w:pStyle w:val="Tabulka"/>
              <w:jc w:val="left"/>
              <w:rPr>
                <w:rFonts w:cs="Calibri"/>
              </w:rPr>
            </w:pPr>
          </w:p>
          <w:p w14:paraId="0BA44D09" w14:textId="77777777" w:rsidR="00790A0D" w:rsidRPr="00DD47DF" w:rsidRDefault="00580034" w:rsidP="006D2F5F">
            <w:pPr>
              <w:pStyle w:val="Tabulka"/>
              <w:jc w:val="left"/>
              <w:rPr>
                <w:rFonts w:cs="Calibri"/>
                <w:color w:val="0000FF"/>
                <w:u w:val="single"/>
              </w:rPr>
            </w:pPr>
            <w:hyperlink r:id="rId104" w:history="1">
              <w:r w:rsidR="00790A0D" w:rsidRPr="00DD47DF">
                <w:rPr>
                  <w:rStyle w:val="Hypertextovodkaz"/>
                  <w:rFonts w:cs="Calibri"/>
                </w:rPr>
                <w:t>http://portal.cenia.cz/eiasea/view/SEA100_koncepce</w:t>
              </w:r>
            </w:hyperlink>
            <w:r w:rsidR="00790A0D" w:rsidRPr="00DD47DF">
              <w:rPr>
                <w:rFonts w:cs="Calibri"/>
              </w:rPr>
              <w:t xml:space="preserve"> </w:t>
            </w:r>
            <w:hyperlink r:id="rId105" w:history="1">
              <w:r w:rsidR="00790A0D" w:rsidRPr="00DD47DF">
                <w:rPr>
                  <w:rStyle w:val="Hypertextovodkaz"/>
                  <w:rFonts w:cs="Calibri"/>
                </w:rPr>
                <w:t>http://portal.cenia.cz/eiasea/osoby/osoby</w:t>
              </w:r>
            </w:hyperlink>
          </w:p>
        </w:tc>
        <w:tc>
          <w:tcPr>
            <w:tcW w:w="4394" w:type="dxa"/>
            <w:shd w:val="clear" w:color="auto" w:fill="auto"/>
          </w:tcPr>
          <w:p w14:paraId="392C06A5" w14:textId="77777777" w:rsidR="003F16D3" w:rsidRPr="00DD47DF" w:rsidRDefault="003F16D3" w:rsidP="006D2F5F">
            <w:pPr>
              <w:pStyle w:val="DAVA"/>
              <w:spacing w:before="0"/>
              <w:rPr>
                <w:rFonts w:ascii="Times New Roman" w:hAnsi="Times New Roman"/>
                <w:bCs/>
                <w:color w:val="000000"/>
                <w:sz w:val="22"/>
                <w:szCs w:val="22"/>
              </w:rPr>
            </w:pPr>
            <w:r w:rsidRPr="00DD47DF">
              <w:rPr>
                <w:rFonts w:ascii="Times New Roman" w:hAnsi="Times New Roman"/>
                <w:bCs/>
                <w:color w:val="000000"/>
                <w:sz w:val="22"/>
                <w:szCs w:val="22"/>
              </w:rPr>
              <w:lastRenderedPageBreak/>
              <w:t>Gestor PP: Plnění ANO</w:t>
            </w:r>
          </w:p>
          <w:p w14:paraId="6907C081" w14:textId="77777777" w:rsidR="0078753D" w:rsidRPr="00DD47DF" w:rsidRDefault="0078753D" w:rsidP="0078753D">
            <w:pPr>
              <w:pStyle w:val="DAVA"/>
              <w:spacing w:before="80" w:after="80"/>
              <w:rPr>
                <w:rFonts w:ascii="Times New Roman" w:hAnsi="Times New Roman"/>
                <w:bCs/>
                <w:color w:val="000000"/>
                <w:sz w:val="22"/>
                <w:szCs w:val="22"/>
                <w:lang w:eastAsia="cs-CZ"/>
              </w:rPr>
            </w:pPr>
            <w:r w:rsidRPr="00DD47DF">
              <w:rPr>
                <w:rFonts w:ascii="Times New Roman" w:hAnsi="Times New Roman"/>
                <w:bCs/>
                <w:color w:val="000000"/>
                <w:sz w:val="22"/>
                <w:szCs w:val="22"/>
                <w:lang w:eastAsia="cs-CZ"/>
              </w:rPr>
              <w:t xml:space="preserve">V souladu se zákonem č. 111/2009 Sb., byl zahájen proces zefektivnění veřejné správy, na základě kterého jsou nyní průběžně stanovovány dostatečné počty pracovníků pro výkon státní správy, tedy i počet úředníků zajišťující provádění směrnice EIA a SEA. </w:t>
            </w:r>
            <w:r w:rsidRPr="00DD47DF">
              <w:rPr>
                <w:rFonts w:ascii="Times New Roman" w:hAnsi="Times New Roman"/>
                <w:bCs/>
                <w:color w:val="000000"/>
                <w:sz w:val="22"/>
                <w:szCs w:val="22"/>
              </w:rPr>
              <w:t xml:space="preserve">Tento počet odpovídá aktuálním požadavkům na správní kapacitu reagující na změnu podmínek. </w:t>
            </w:r>
            <w:r w:rsidRPr="00DD47DF">
              <w:rPr>
                <w:rFonts w:ascii="Times New Roman" w:hAnsi="Times New Roman"/>
                <w:bCs/>
                <w:color w:val="000000"/>
                <w:sz w:val="22"/>
                <w:szCs w:val="22"/>
                <w:lang w:eastAsia="cs-CZ"/>
              </w:rPr>
              <w:t xml:space="preserve">Technická pomoc je zajišťována skrze informační systém a metodické pokyny </w:t>
            </w:r>
            <w:r w:rsidRPr="00DD47DF">
              <w:rPr>
                <w:rFonts w:ascii="Times New Roman" w:hAnsi="Times New Roman"/>
                <w:sz w:val="22"/>
                <w:szCs w:val="22"/>
              </w:rPr>
              <w:t xml:space="preserve">a </w:t>
            </w:r>
            <w:r w:rsidRPr="00DD47DF">
              <w:rPr>
                <w:rFonts w:ascii="Times New Roman" w:hAnsi="Times New Roman"/>
                <w:sz w:val="22"/>
                <w:szCs w:val="22"/>
              </w:rPr>
              <w:lastRenderedPageBreak/>
              <w:t>pomocí systému autorizovaných expertů.</w:t>
            </w:r>
          </w:p>
          <w:p w14:paraId="69710986" w14:textId="77777777" w:rsidR="00790A0D" w:rsidRPr="00DD47DF" w:rsidRDefault="00790A0D" w:rsidP="006D2F5F">
            <w:pPr>
              <w:pStyle w:val="DAVA"/>
              <w:spacing w:before="0"/>
              <w:rPr>
                <w:rFonts w:ascii="Times New Roman" w:hAnsi="Times New Roman"/>
                <w:bCs/>
                <w:color w:val="000000"/>
                <w:sz w:val="22"/>
                <w:szCs w:val="22"/>
              </w:rPr>
            </w:pPr>
            <w:r w:rsidRPr="00DD47DF">
              <w:rPr>
                <w:rFonts w:ascii="Times New Roman" w:hAnsi="Times New Roman"/>
                <w:bCs/>
                <w:color w:val="000000"/>
                <w:sz w:val="22"/>
                <w:szCs w:val="22"/>
              </w:rPr>
              <w:t>Viz Příloha č. II a Akční plán.</w:t>
            </w:r>
          </w:p>
          <w:p w14:paraId="308752C4" w14:textId="77777777" w:rsidR="00790A0D" w:rsidRPr="00DD47DF" w:rsidRDefault="00790A0D" w:rsidP="006D2F5F">
            <w:pPr>
              <w:pStyle w:val="Tabulka"/>
              <w:jc w:val="left"/>
              <w:rPr>
                <w:rFonts w:cs="Calibri"/>
              </w:rPr>
            </w:pPr>
          </w:p>
        </w:tc>
      </w:tr>
      <w:tr w:rsidR="00790A0D" w:rsidRPr="00DD47DF" w14:paraId="00905C28" w14:textId="77777777" w:rsidTr="006D2F5F">
        <w:tc>
          <w:tcPr>
            <w:tcW w:w="1752" w:type="dxa"/>
            <w:vMerge w:val="restart"/>
            <w:shd w:val="clear" w:color="auto" w:fill="auto"/>
          </w:tcPr>
          <w:p w14:paraId="6AF2ADB4" w14:textId="77777777" w:rsidR="00790A0D" w:rsidRPr="00DD47DF" w:rsidRDefault="00790A0D" w:rsidP="006D2F5F">
            <w:pPr>
              <w:pStyle w:val="Tabulka"/>
              <w:jc w:val="left"/>
              <w:rPr>
                <w:rFonts w:cs="Calibri"/>
                <w:b/>
              </w:rPr>
            </w:pPr>
            <w:r w:rsidRPr="00DD47DF">
              <w:rPr>
                <w:rFonts w:cs="Calibri"/>
                <w:b/>
              </w:rPr>
              <w:lastRenderedPageBreak/>
              <w:t xml:space="preserve">Existence statistického základu nezbytného k provádění hodnocení za účelem posouzení účinnosti a </w:t>
            </w:r>
            <w:r w:rsidRPr="00DD47DF">
              <w:rPr>
                <w:rFonts w:cs="Calibri"/>
                <w:b/>
              </w:rPr>
              <w:lastRenderedPageBreak/>
              <w:t>dopadu programů.</w:t>
            </w:r>
          </w:p>
          <w:p w14:paraId="7AFEC9C0" w14:textId="77777777" w:rsidR="00790A0D" w:rsidRPr="00DD47DF" w:rsidRDefault="00790A0D" w:rsidP="006D2F5F">
            <w:pPr>
              <w:pStyle w:val="Tabulka"/>
              <w:jc w:val="left"/>
              <w:rPr>
                <w:rFonts w:cs="Calibri"/>
                <w:b/>
              </w:rPr>
            </w:pPr>
          </w:p>
          <w:p w14:paraId="1B8EB23B" w14:textId="77777777" w:rsidR="00790A0D" w:rsidRPr="00DD47DF" w:rsidRDefault="00790A0D" w:rsidP="006D2F5F">
            <w:pPr>
              <w:pStyle w:val="Tabulka"/>
              <w:jc w:val="left"/>
              <w:rPr>
                <w:rFonts w:cs="Calibri"/>
                <w:b/>
              </w:rPr>
            </w:pPr>
            <w:r w:rsidRPr="00DD47DF">
              <w:rPr>
                <w:rFonts w:cs="Calibri"/>
                <w:b/>
              </w:rPr>
              <w:t>Existence systému ukazatele výsledků nezbytného pro výběr opatření, jež budou nejúčinněji přispívat k dosahování požadovaných výsledků, k sledování pokroku při plnění cílů a k provedení posouzení dopadů</w:t>
            </w:r>
          </w:p>
        </w:tc>
        <w:tc>
          <w:tcPr>
            <w:tcW w:w="1701" w:type="dxa"/>
            <w:vMerge w:val="restart"/>
            <w:shd w:val="clear" w:color="auto" w:fill="auto"/>
          </w:tcPr>
          <w:p w14:paraId="4C582F11" w14:textId="77777777" w:rsidR="00790A0D" w:rsidRPr="00DD47DF" w:rsidRDefault="00790A0D" w:rsidP="006D2F5F">
            <w:pPr>
              <w:pStyle w:val="Tabulka"/>
              <w:jc w:val="left"/>
              <w:rPr>
                <w:rFonts w:cs="Calibri"/>
              </w:rPr>
            </w:pPr>
            <w:r w:rsidRPr="00DD47DF">
              <w:rPr>
                <w:rFonts w:cs="Calibri"/>
              </w:rPr>
              <w:lastRenderedPageBreak/>
              <w:t>Všechny prioritní osy OP PIK</w:t>
            </w:r>
          </w:p>
          <w:p w14:paraId="6E126A67" w14:textId="77777777" w:rsidR="00790A0D" w:rsidRPr="00DD47DF" w:rsidRDefault="00790A0D" w:rsidP="006D2F5F">
            <w:pPr>
              <w:pStyle w:val="Tabulka"/>
              <w:jc w:val="left"/>
              <w:rPr>
                <w:rFonts w:cs="Calibri"/>
              </w:rPr>
            </w:pPr>
          </w:p>
          <w:p w14:paraId="5388D958" w14:textId="77777777" w:rsidR="00790A0D" w:rsidRPr="00DD47DF" w:rsidRDefault="00790A0D" w:rsidP="006D2F5F">
            <w:pPr>
              <w:pStyle w:val="Tabulka"/>
              <w:jc w:val="left"/>
              <w:rPr>
                <w:rFonts w:cs="Calibri"/>
              </w:rPr>
            </w:pPr>
          </w:p>
        </w:tc>
        <w:tc>
          <w:tcPr>
            <w:tcW w:w="1276" w:type="dxa"/>
            <w:vMerge w:val="restart"/>
            <w:shd w:val="clear" w:color="auto" w:fill="auto"/>
          </w:tcPr>
          <w:p w14:paraId="4406DC69" w14:textId="77777777" w:rsidR="00790A0D" w:rsidRPr="00DD47DF" w:rsidRDefault="002D4CC1" w:rsidP="006D2F5F">
            <w:pPr>
              <w:pStyle w:val="Tabulka"/>
              <w:jc w:val="left"/>
              <w:rPr>
                <w:rFonts w:cs="Calibri"/>
              </w:rPr>
            </w:pPr>
            <w:r>
              <w:rPr>
                <w:rFonts w:cs="Calibri"/>
              </w:rPr>
              <w:t>Částečně</w:t>
            </w:r>
          </w:p>
          <w:p w14:paraId="56428102" w14:textId="77777777" w:rsidR="00790A0D" w:rsidRPr="00DD47DF" w:rsidRDefault="00790A0D" w:rsidP="006D2F5F">
            <w:pPr>
              <w:pStyle w:val="Tabulka"/>
              <w:jc w:val="left"/>
              <w:rPr>
                <w:rFonts w:cs="Calibri"/>
              </w:rPr>
            </w:pPr>
          </w:p>
          <w:p w14:paraId="505C13E6" w14:textId="77777777" w:rsidR="00790A0D" w:rsidRPr="00DD47DF" w:rsidRDefault="00790A0D" w:rsidP="006D2F5F">
            <w:pPr>
              <w:pStyle w:val="Tabulka"/>
              <w:jc w:val="left"/>
              <w:rPr>
                <w:rFonts w:cs="Calibri"/>
              </w:rPr>
            </w:pPr>
          </w:p>
          <w:p w14:paraId="77744727" w14:textId="77777777" w:rsidR="00790A0D" w:rsidRPr="00DD47DF" w:rsidRDefault="00790A0D" w:rsidP="006D2F5F">
            <w:pPr>
              <w:pStyle w:val="Tabulka"/>
              <w:jc w:val="left"/>
              <w:rPr>
                <w:rFonts w:cs="Calibri"/>
              </w:rPr>
            </w:pPr>
          </w:p>
        </w:tc>
        <w:tc>
          <w:tcPr>
            <w:tcW w:w="1843" w:type="dxa"/>
            <w:shd w:val="clear" w:color="auto" w:fill="auto"/>
          </w:tcPr>
          <w:p w14:paraId="42DA92E3" w14:textId="77777777" w:rsidR="00790A0D" w:rsidRPr="00DD47DF" w:rsidRDefault="00790A0D" w:rsidP="006D2F5F">
            <w:pPr>
              <w:pStyle w:val="DAVA"/>
              <w:spacing w:before="80" w:after="80"/>
              <w:rPr>
                <w:rFonts w:ascii="Times New Roman" w:hAnsi="Times New Roman"/>
                <w:sz w:val="22"/>
                <w:szCs w:val="22"/>
                <w:lang w:eastAsia="cs-CZ"/>
              </w:rPr>
            </w:pPr>
            <w:r w:rsidRPr="00DD47DF">
              <w:rPr>
                <w:rFonts w:ascii="Times New Roman" w:hAnsi="Times New Roman"/>
                <w:color w:val="000000"/>
                <w:sz w:val="22"/>
                <w:szCs w:val="22"/>
              </w:rPr>
              <w:t>Jsou vypracována opatření pro včasný sběr a agregaci statistických údajů, která obsahují tyto prvky:</w:t>
            </w:r>
          </w:p>
          <w:p w14:paraId="5641E1B6" w14:textId="77777777" w:rsidR="00790A0D" w:rsidRPr="00DD47DF" w:rsidRDefault="00790A0D" w:rsidP="00D43AF5">
            <w:pPr>
              <w:pStyle w:val="Odstavecseseznamem"/>
              <w:numPr>
                <w:ilvl w:val="0"/>
                <w:numId w:val="92"/>
              </w:numPr>
              <w:overflowPunct/>
              <w:autoSpaceDE/>
              <w:autoSpaceDN/>
              <w:adjustRightInd/>
              <w:spacing w:before="80" w:after="80"/>
              <w:ind w:left="355"/>
              <w:textAlignment w:val="auto"/>
              <w:rPr>
                <w:sz w:val="22"/>
                <w:szCs w:val="22"/>
              </w:rPr>
            </w:pPr>
            <w:r w:rsidRPr="00DD47DF">
              <w:rPr>
                <w:bCs/>
                <w:sz w:val="22"/>
                <w:szCs w:val="22"/>
              </w:rPr>
              <w:t xml:space="preserve">určení zdrojů a mechanismů </w:t>
            </w:r>
            <w:r w:rsidRPr="00DD47DF">
              <w:rPr>
                <w:bCs/>
                <w:sz w:val="22"/>
                <w:szCs w:val="22"/>
              </w:rPr>
              <w:lastRenderedPageBreak/>
              <w:t>pro zajištění statistického ověřování,</w:t>
            </w:r>
          </w:p>
        </w:tc>
        <w:tc>
          <w:tcPr>
            <w:tcW w:w="1134" w:type="dxa"/>
            <w:shd w:val="clear" w:color="auto" w:fill="auto"/>
          </w:tcPr>
          <w:p w14:paraId="387CD564" w14:textId="77777777" w:rsidR="00790A0D" w:rsidRPr="00DD47DF" w:rsidRDefault="00A0467F" w:rsidP="006D2F5F">
            <w:pPr>
              <w:pStyle w:val="Tabulka"/>
              <w:jc w:val="left"/>
            </w:pPr>
            <w:r w:rsidRPr="00DD47DF">
              <w:lastRenderedPageBreak/>
              <w:t>ne</w:t>
            </w:r>
          </w:p>
        </w:tc>
        <w:tc>
          <w:tcPr>
            <w:tcW w:w="2126" w:type="dxa"/>
            <w:shd w:val="clear" w:color="auto" w:fill="auto"/>
          </w:tcPr>
          <w:p w14:paraId="281321BD" w14:textId="77777777" w:rsidR="00790A0D" w:rsidRPr="00DD47DF" w:rsidRDefault="00790A0D" w:rsidP="006D2F5F">
            <w:pPr>
              <w:pStyle w:val="Tabulka"/>
              <w:jc w:val="left"/>
            </w:pPr>
          </w:p>
        </w:tc>
        <w:tc>
          <w:tcPr>
            <w:tcW w:w="4394" w:type="dxa"/>
            <w:shd w:val="clear" w:color="auto" w:fill="auto"/>
          </w:tcPr>
          <w:p w14:paraId="01022349" w14:textId="77777777" w:rsidR="00F97C3B" w:rsidRPr="00DD47DF" w:rsidRDefault="0078753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Gestor PP: Plnění </w:t>
            </w:r>
            <w:r w:rsidR="000529F1" w:rsidRPr="00DD47DF">
              <w:rPr>
                <w:rFonts w:ascii="Times New Roman" w:hAnsi="Times New Roman"/>
                <w:sz w:val="22"/>
                <w:szCs w:val="22"/>
              </w:rPr>
              <w:t xml:space="preserve">ČÁSTEČNĚ </w:t>
            </w:r>
          </w:p>
          <w:p w14:paraId="4A104FE8"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9. srpna 2013 byl usnesením vlády č. 597 schválen závazný metodický pokyn určující pravidla pro tvorbu indikátorových soustav (MP indikátorů 2014-2020).</w:t>
            </w:r>
          </w:p>
          <w:p w14:paraId="6ED64D73"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Připravováno technické řešení v rámci monitorovacího systému MS2014+. </w:t>
            </w:r>
          </w:p>
          <w:p w14:paraId="2E6615BC"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V rámci přípravy indikátorové soustavy dochází </w:t>
            </w:r>
            <w:r w:rsidRPr="00DD47DF">
              <w:rPr>
                <w:rFonts w:ascii="Times New Roman" w:hAnsi="Times New Roman"/>
                <w:sz w:val="22"/>
                <w:szCs w:val="22"/>
              </w:rPr>
              <w:lastRenderedPageBreak/>
              <w:t>k posuzování jednotlivých ukazatelů s ohledem na jejich relevanci, jednoznačnost a také dostupnost. Při přípravě probíhá spolupráce také s ex-ante hodnotiteli programů.</w:t>
            </w:r>
          </w:p>
          <w:p w14:paraId="1D5CA8F0" w14:textId="77777777" w:rsidR="00790A0D" w:rsidRPr="00DD47DF" w:rsidRDefault="00790A0D" w:rsidP="0078753D">
            <w:pPr>
              <w:pStyle w:val="Tabulka"/>
              <w:jc w:val="left"/>
            </w:pPr>
            <w:r w:rsidRPr="00DD47DF">
              <w:t>U relevantních výsledkových indikátorů, jejichž zdrojem jsou centrální statistiky, je nastavována spolupráce s ČSÚ na pravidelné dodávání potřebných dat.</w:t>
            </w:r>
          </w:p>
          <w:p w14:paraId="06C9B849" w14:textId="77777777" w:rsidR="0078753D" w:rsidRPr="00DD47DF" w:rsidRDefault="0078753D" w:rsidP="00D32020">
            <w:pPr>
              <w:pStyle w:val="Tabulka"/>
              <w:jc w:val="left"/>
            </w:pPr>
            <w:r w:rsidRPr="00DD47DF">
              <w:t>ŘO: Plnění</w:t>
            </w:r>
            <w:r w:rsidR="00D32020" w:rsidRPr="00DD47DF">
              <w:t xml:space="preserve"> částečně</w:t>
            </w:r>
          </w:p>
          <w:p w14:paraId="03AF8BBC" w14:textId="77777777" w:rsidR="00D32020" w:rsidRPr="00DD47DF" w:rsidRDefault="00D32020" w:rsidP="00D32020">
            <w:pPr>
              <w:pStyle w:val="Tabulka"/>
              <w:jc w:val="left"/>
            </w:pPr>
            <w:r w:rsidRPr="00DD47DF">
              <w:t>V současné době má MPO uzavřenou rámcovou dohodu o spolupráci s ČSÚ, která se týká poskytování relevantních dat pro potřeby MPO.</w:t>
            </w:r>
          </w:p>
        </w:tc>
      </w:tr>
      <w:tr w:rsidR="00790A0D" w:rsidRPr="00DD47DF" w14:paraId="348DBF76" w14:textId="77777777" w:rsidTr="006D2F5F">
        <w:tc>
          <w:tcPr>
            <w:tcW w:w="1752" w:type="dxa"/>
            <w:vMerge/>
            <w:shd w:val="clear" w:color="auto" w:fill="auto"/>
          </w:tcPr>
          <w:p w14:paraId="3D2C0821" w14:textId="77777777" w:rsidR="00790A0D" w:rsidRPr="00DD47DF" w:rsidRDefault="00790A0D" w:rsidP="006D2F5F">
            <w:pPr>
              <w:pStyle w:val="Tabulka"/>
              <w:rPr>
                <w:rFonts w:cs="Calibri"/>
                <w:b/>
              </w:rPr>
            </w:pPr>
          </w:p>
        </w:tc>
        <w:tc>
          <w:tcPr>
            <w:tcW w:w="1701" w:type="dxa"/>
            <w:vMerge/>
            <w:shd w:val="clear" w:color="auto" w:fill="auto"/>
          </w:tcPr>
          <w:p w14:paraId="5D40AA29" w14:textId="77777777" w:rsidR="00790A0D" w:rsidRPr="00DD47DF" w:rsidRDefault="00790A0D" w:rsidP="006D2F5F">
            <w:pPr>
              <w:pStyle w:val="Tabulka"/>
              <w:rPr>
                <w:rFonts w:cs="Calibri"/>
              </w:rPr>
            </w:pPr>
          </w:p>
        </w:tc>
        <w:tc>
          <w:tcPr>
            <w:tcW w:w="1276" w:type="dxa"/>
            <w:vMerge/>
            <w:shd w:val="clear" w:color="auto" w:fill="auto"/>
          </w:tcPr>
          <w:p w14:paraId="14CCD9D6" w14:textId="77777777" w:rsidR="00790A0D" w:rsidRPr="00DD47DF" w:rsidRDefault="00790A0D" w:rsidP="006D2F5F">
            <w:pPr>
              <w:pStyle w:val="Tabulka"/>
              <w:rPr>
                <w:rFonts w:cs="Calibri"/>
              </w:rPr>
            </w:pPr>
          </w:p>
        </w:tc>
        <w:tc>
          <w:tcPr>
            <w:tcW w:w="1843" w:type="dxa"/>
            <w:shd w:val="clear" w:color="auto" w:fill="auto"/>
          </w:tcPr>
          <w:p w14:paraId="11CDB2A6" w14:textId="77777777" w:rsidR="00790A0D" w:rsidRPr="00DD47DF" w:rsidRDefault="00790A0D" w:rsidP="006D2F5F">
            <w:pPr>
              <w:pStyle w:val="Odstavecseseznamem"/>
              <w:spacing w:before="80" w:after="80"/>
              <w:ind w:left="0"/>
              <w:contextualSpacing w:val="0"/>
              <w:rPr>
                <w:bCs/>
                <w:sz w:val="22"/>
                <w:szCs w:val="22"/>
              </w:rPr>
            </w:pPr>
            <w:r w:rsidRPr="00DD47DF">
              <w:rPr>
                <w:bCs/>
                <w:sz w:val="22"/>
                <w:szCs w:val="22"/>
              </w:rPr>
              <w:t>Jsou vypracována opatření pro včasný sběr a agregaci statistických údajů, která obsahují tyto prvky:</w:t>
            </w:r>
          </w:p>
          <w:p w14:paraId="1B4B3DDC" w14:textId="77777777" w:rsidR="00790A0D" w:rsidRPr="00DD47DF" w:rsidRDefault="00790A0D" w:rsidP="00F91E8F">
            <w:pPr>
              <w:pStyle w:val="Tabulka"/>
              <w:numPr>
                <w:ilvl w:val="0"/>
                <w:numId w:val="92"/>
              </w:numPr>
              <w:jc w:val="left"/>
            </w:pPr>
            <w:r w:rsidRPr="00DD47DF">
              <w:rPr>
                <w:bCs/>
              </w:rPr>
              <w:t>opatření pro zveřejňování a zpřístupňování souhrnných informací veřejnosti;</w:t>
            </w:r>
          </w:p>
        </w:tc>
        <w:tc>
          <w:tcPr>
            <w:tcW w:w="1134" w:type="dxa"/>
            <w:shd w:val="clear" w:color="auto" w:fill="auto"/>
          </w:tcPr>
          <w:p w14:paraId="3090D333" w14:textId="77777777" w:rsidR="00790A0D" w:rsidRPr="00DD47DF" w:rsidRDefault="00790A0D" w:rsidP="006D2F5F">
            <w:pPr>
              <w:pStyle w:val="Tabulka"/>
              <w:jc w:val="left"/>
            </w:pPr>
            <w:r w:rsidRPr="00DD47DF">
              <w:t>ano</w:t>
            </w:r>
          </w:p>
        </w:tc>
        <w:tc>
          <w:tcPr>
            <w:tcW w:w="2126" w:type="dxa"/>
            <w:shd w:val="clear" w:color="auto" w:fill="auto"/>
          </w:tcPr>
          <w:p w14:paraId="3F0320CC" w14:textId="77777777" w:rsidR="00790A0D" w:rsidRPr="00DD47DF" w:rsidRDefault="00580034" w:rsidP="006D2F5F">
            <w:pPr>
              <w:rPr>
                <w:sz w:val="22"/>
                <w:szCs w:val="22"/>
              </w:rPr>
            </w:pPr>
            <w:hyperlink r:id="rId106" w:history="1">
              <w:r w:rsidR="00790A0D" w:rsidRPr="00DD47DF">
                <w:rPr>
                  <w:rStyle w:val="Hypertextovodkaz"/>
                  <w:sz w:val="22"/>
                  <w:szCs w:val="22"/>
                </w:rPr>
                <w:t>http://www.s-f.cz/cs/Fondy-EU/2014-2020/Metodicke-pokyny</w:t>
              </w:r>
            </w:hyperlink>
          </w:p>
          <w:p w14:paraId="760E00B5" w14:textId="77777777" w:rsidR="00790A0D" w:rsidRPr="00DD47DF" w:rsidRDefault="00790A0D" w:rsidP="006D2F5F">
            <w:pPr>
              <w:pStyle w:val="Tabulka"/>
              <w:jc w:val="left"/>
            </w:pPr>
          </w:p>
        </w:tc>
        <w:tc>
          <w:tcPr>
            <w:tcW w:w="4394" w:type="dxa"/>
            <w:shd w:val="clear" w:color="auto" w:fill="auto"/>
          </w:tcPr>
          <w:p w14:paraId="123E0E5A" w14:textId="77777777" w:rsidR="0078753D" w:rsidRPr="00DD47DF" w:rsidRDefault="0078753D" w:rsidP="006D2F5F">
            <w:pPr>
              <w:pStyle w:val="DAVA"/>
              <w:spacing w:before="80" w:after="80"/>
              <w:rPr>
                <w:rFonts w:ascii="Times New Roman" w:hAnsi="Times New Roman"/>
                <w:sz w:val="22"/>
                <w:szCs w:val="22"/>
              </w:rPr>
            </w:pPr>
            <w:r w:rsidRPr="00DD47DF">
              <w:rPr>
                <w:rFonts w:ascii="Times New Roman" w:hAnsi="Times New Roman"/>
                <w:sz w:val="22"/>
                <w:szCs w:val="22"/>
              </w:rPr>
              <w:t>Gestor PP: Plnění ANO</w:t>
            </w:r>
          </w:p>
          <w:p w14:paraId="71B94A11"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Z metodického hlediska splněno v podobě následujících závazných metodických pokynů:</w:t>
            </w:r>
          </w:p>
          <w:p w14:paraId="6C5B50EE"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MP evaluace (schválen ÚV 597/2013), kde je zapracován požadavek na povinné zveřejňování všech evaluačních výstupů.</w:t>
            </w:r>
          </w:p>
          <w:p w14:paraId="063CA3E4"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MP monitorování (schválen), která definuje obsah a pravidelné zveřejňování zpráv o průběhu implementace</w:t>
            </w:r>
          </w:p>
          <w:p w14:paraId="5F6804D1" w14:textId="77777777" w:rsidR="00790A0D" w:rsidRPr="00DD47DF" w:rsidRDefault="00790A0D" w:rsidP="001D2CCD">
            <w:pPr>
              <w:pStyle w:val="DAVA"/>
              <w:spacing w:before="80" w:after="80"/>
              <w:rPr>
                <w:rFonts w:ascii="Times New Roman" w:hAnsi="Times New Roman"/>
                <w:sz w:val="22"/>
                <w:szCs w:val="22"/>
              </w:rPr>
            </w:pPr>
            <w:r w:rsidRPr="00DD47DF">
              <w:rPr>
                <w:rFonts w:ascii="Times New Roman" w:hAnsi="Times New Roman"/>
                <w:sz w:val="22"/>
                <w:szCs w:val="22"/>
              </w:rPr>
              <w:t xml:space="preserve">MP publicita (schválen </w:t>
            </w:r>
            <w:r w:rsidR="0045099F" w:rsidRPr="00DD47DF">
              <w:rPr>
                <w:rFonts w:ascii="Times New Roman" w:hAnsi="Times New Roman"/>
                <w:sz w:val="22"/>
                <w:szCs w:val="22"/>
              </w:rPr>
              <w:t>U</w:t>
            </w:r>
            <w:r w:rsidRPr="00DD47DF">
              <w:rPr>
                <w:rFonts w:ascii="Times New Roman" w:hAnsi="Times New Roman"/>
                <w:sz w:val="22"/>
                <w:szCs w:val="22"/>
              </w:rPr>
              <w:t>V 44/2014), který definuje závazná pravidla pro tv</w:t>
            </w:r>
            <w:r w:rsidR="001D2CCD" w:rsidRPr="00DD47DF">
              <w:rPr>
                <w:rFonts w:ascii="Times New Roman" w:hAnsi="Times New Roman"/>
                <w:sz w:val="22"/>
                <w:szCs w:val="22"/>
              </w:rPr>
              <w:t>orbu jednotného webu ESI fondů.</w:t>
            </w:r>
          </w:p>
        </w:tc>
      </w:tr>
      <w:tr w:rsidR="00790A0D" w:rsidRPr="00DD47DF" w14:paraId="0C828416" w14:textId="77777777" w:rsidTr="006D2F5F">
        <w:tc>
          <w:tcPr>
            <w:tcW w:w="1752" w:type="dxa"/>
            <w:vMerge/>
            <w:shd w:val="clear" w:color="auto" w:fill="auto"/>
          </w:tcPr>
          <w:p w14:paraId="3CF6DD2C" w14:textId="77777777" w:rsidR="00790A0D" w:rsidRPr="00DD47DF" w:rsidRDefault="00790A0D" w:rsidP="006D2F5F">
            <w:pPr>
              <w:pStyle w:val="Tabulka"/>
              <w:rPr>
                <w:rFonts w:cs="Calibri"/>
                <w:b/>
              </w:rPr>
            </w:pPr>
          </w:p>
        </w:tc>
        <w:tc>
          <w:tcPr>
            <w:tcW w:w="1701" w:type="dxa"/>
            <w:vMerge/>
            <w:shd w:val="clear" w:color="auto" w:fill="auto"/>
          </w:tcPr>
          <w:p w14:paraId="658FA983" w14:textId="77777777" w:rsidR="00790A0D" w:rsidRPr="00DD47DF" w:rsidRDefault="00790A0D" w:rsidP="006D2F5F">
            <w:pPr>
              <w:pStyle w:val="Tabulka"/>
              <w:rPr>
                <w:rFonts w:cs="Calibri"/>
              </w:rPr>
            </w:pPr>
          </w:p>
        </w:tc>
        <w:tc>
          <w:tcPr>
            <w:tcW w:w="1276" w:type="dxa"/>
            <w:vMerge/>
            <w:shd w:val="clear" w:color="auto" w:fill="auto"/>
          </w:tcPr>
          <w:p w14:paraId="53670033" w14:textId="77777777" w:rsidR="00790A0D" w:rsidRPr="00DD47DF" w:rsidRDefault="00790A0D" w:rsidP="006D2F5F">
            <w:pPr>
              <w:pStyle w:val="Tabulka"/>
              <w:rPr>
                <w:rFonts w:cs="Calibri"/>
              </w:rPr>
            </w:pPr>
          </w:p>
        </w:tc>
        <w:tc>
          <w:tcPr>
            <w:tcW w:w="1843" w:type="dxa"/>
            <w:shd w:val="clear" w:color="auto" w:fill="auto"/>
          </w:tcPr>
          <w:p w14:paraId="317F76CD" w14:textId="77777777" w:rsidR="00790A0D" w:rsidRPr="00DD47DF" w:rsidRDefault="00790A0D"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Účinný systém ukazatelů výsledků, včetně:</w:t>
            </w:r>
          </w:p>
          <w:p w14:paraId="01FD5AE3" w14:textId="77777777" w:rsidR="00790A0D" w:rsidRPr="00DD47DF" w:rsidRDefault="00790A0D" w:rsidP="00F91E8F">
            <w:pPr>
              <w:pStyle w:val="Tabulka"/>
              <w:numPr>
                <w:ilvl w:val="0"/>
                <w:numId w:val="92"/>
              </w:numPr>
              <w:jc w:val="left"/>
            </w:pPr>
            <w:r w:rsidRPr="00DD47DF">
              <w:rPr>
                <w:bCs/>
              </w:rPr>
              <w:t xml:space="preserve">výběru ukazatelů </w:t>
            </w:r>
            <w:r w:rsidRPr="00DD47DF">
              <w:rPr>
                <w:bCs/>
              </w:rPr>
              <w:lastRenderedPageBreak/>
              <w:t>výsledků pro každý program, jež budou vypovídat o motivaci k výběru strategických kroků financovaných z programu,</w:t>
            </w:r>
          </w:p>
        </w:tc>
        <w:tc>
          <w:tcPr>
            <w:tcW w:w="1134" w:type="dxa"/>
            <w:shd w:val="clear" w:color="auto" w:fill="auto"/>
          </w:tcPr>
          <w:p w14:paraId="6F9463B8" w14:textId="77777777" w:rsidR="00790A0D" w:rsidRPr="00DD47DF" w:rsidRDefault="008B1FD2" w:rsidP="006D2F5F">
            <w:pPr>
              <w:pStyle w:val="Tabulka"/>
              <w:jc w:val="left"/>
            </w:pPr>
            <w:r w:rsidRPr="00DD47DF">
              <w:lastRenderedPageBreak/>
              <w:t>ne</w:t>
            </w:r>
          </w:p>
        </w:tc>
        <w:tc>
          <w:tcPr>
            <w:tcW w:w="2126" w:type="dxa"/>
            <w:shd w:val="clear" w:color="auto" w:fill="auto"/>
          </w:tcPr>
          <w:p w14:paraId="2AC27EF6" w14:textId="77777777" w:rsidR="00790A0D" w:rsidRPr="00DD47DF" w:rsidRDefault="00790A0D" w:rsidP="006D2F5F">
            <w:pPr>
              <w:pStyle w:val="Tabulka"/>
              <w:jc w:val="left"/>
            </w:pPr>
          </w:p>
        </w:tc>
        <w:tc>
          <w:tcPr>
            <w:tcW w:w="4394" w:type="dxa"/>
            <w:shd w:val="clear" w:color="auto" w:fill="auto"/>
          </w:tcPr>
          <w:p w14:paraId="028D6A2E" w14:textId="77777777" w:rsidR="002862A9" w:rsidRPr="00DD47DF" w:rsidRDefault="0078753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Gestor PP: Plnění </w:t>
            </w:r>
            <w:r w:rsidR="000529F1" w:rsidRPr="00DD47DF">
              <w:rPr>
                <w:rFonts w:ascii="Times New Roman" w:hAnsi="Times New Roman"/>
                <w:sz w:val="22"/>
                <w:szCs w:val="22"/>
              </w:rPr>
              <w:t xml:space="preserve">ČÁSTEČNĚ </w:t>
            </w:r>
          </w:p>
          <w:p w14:paraId="062F0CC7" w14:textId="77777777" w:rsidR="00790A0D" w:rsidRPr="00DD47DF" w:rsidRDefault="0078753D" w:rsidP="006D2F5F">
            <w:pPr>
              <w:pStyle w:val="DAVA"/>
              <w:spacing w:before="80" w:after="80"/>
              <w:rPr>
                <w:rFonts w:ascii="Times New Roman" w:hAnsi="Times New Roman"/>
                <w:sz w:val="22"/>
                <w:szCs w:val="22"/>
              </w:rPr>
            </w:pPr>
            <w:r w:rsidRPr="00DD47DF">
              <w:rPr>
                <w:rFonts w:ascii="Times New Roman" w:hAnsi="Times New Roman"/>
                <w:sz w:val="22"/>
                <w:szCs w:val="22"/>
              </w:rPr>
              <w:t>P</w:t>
            </w:r>
            <w:r w:rsidR="00790A0D" w:rsidRPr="00DD47DF">
              <w:rPr>
                <w:rFonts w:ascii="Times New Roman" w:hAnsi="Times New Roman"/>
                <w:sz w:val="22"/>
                <w:szCs w:val="22"/>
              </w:rPr>
              <w:t>robíhá příprava indikátorových soustav programů a spolupráce s ČSÚ pro definování zdrojů statistických dat.</w:t>
            </w:r>
          </w:p>
          <w:p w14:paraId="5609EC43" w14:textId="77777777" w:rsidR="00790A0D" w:rsidRPr="00DD47DF" w:rsidRDefault="00790A0D" w:rsidP="003C2AF9">
            <w:pPr>
              <w:pStyle w:val="DAVA"/>
              <w:spacing w:before="80" w:after="80"/>
              <w:rPr>
                <w:rFonts w:ascii="Times New Roman" w:hAnsi="Times New Roman"/>
                <w:sz w:val="22"/>
                <w:szCs w:val="22"/>
              </w:rPr>
            </w:pPr>
            <w:r w:rsidRPr="00DD47DF">
              <w:rPr>
                <w:rFonts w:ascii="Times New Roman" w:hAnsi="Times New Roman"/>
                <w:sz w:val="22"/>
                <w:szCs w:val="22"/>
              </w:rPr>
              <w:t xml:space="preserve">V rámci přípravy programových dokumentů </w:t>
            </w:r>
            <w:r w:rsidRPr="00DD47DF">
              <w:rPr>
                <w:rFonts w:ascii="Times New Roman" w:hAnsi="Times New Roman"/>
                <w:sz w:val="22"/>
                <w:szCs w:val="22"/>
              </w:rPr>
              <w:lastRenderedPageBreak/>
              <w:t>probíhá intenzivní spolupráce mezi MMR-NOK, ŘO a ex-ante hodnotiteli, důraz</w:t>
            </w:r>
            <w:r w:rsidR="0078753D" w:rsidRPr="00DD47DF">
              <w:rPr>
                <w:rFonts w:ascii="Times New Roman" w:hAnsi="Times New Roman"/>
                <w:sz w:val="22"/>
                <w:szCs w:val="22"/>
              </w:rPr>
              <w:t xml:space="preserve"> je kladen </w:t>
            </w:r>
            <w:r w:rsidRPr="00DD47DF">
              <w:rPr>
                <w:rFonts w:ascii="Times New Roman" w:hAnsi="Times New Roman"/>
                <w:sz w:val="22"/>
                <w:szCs w:val="22"/>
              </w:rPr>
              <w:t xml:space="preserve"> na správné nastavení intervenční logiky programu  včetně </w:t>
            </w:r>
            <w:r w:rsidR="003C2AF9" w:rsidRPr="00DD47DF">
              <w:rPr>
                <w:rFonts w:ascii="Times New Roman" w:hAnsi="Times New Roman"/>
                <w:sz w:val="22"/>
                <w:szCs w:val="22"/>
              </w:rPr>
              <w:t xml:space="preserve"> </w:t>
            </w:r>
            <w:r w:rsidRPr="00DD47DF">
              <w:rPr>
                <w:rFonts w:ascii="Times New Roman" w:hAnsi="Times New Roman"/>
                <w:sz w:val="22"/>
                <w:szCs w:val="22"/>
              </w:rPr>
              <w:t>soustavy indikátorů. Indikátorové soustavy a tvorba programově specifických indikátorů je připravována dle závazného MP indikátorů 2014-2020 a respektuje požadavky EK včetně obsahu této předběžné podmínky. V souladu s MP monitorování a MP evaluace budou pravidelně probíhat hodnocení plnění stanovených cílů. Závěry provedených evaluací budou vodítk</w:t>
            </w:r>
            <w:r w:rsidR="00BE586C" w:rsidRPr="00DD47DF">
              <w:rPr>
                <w:rFonts w:ascii="Times New Roman" w:hAnsi="Times New Roman"/>
                <w:sz w:val="22"/>
                <w:szCs w:val="22"/>
              </w:rPr>
              <w:t xml:space="preserve">em </w:t>
            </w:r>
            <w:r w:rsidRPr="00DD47DF">
              <w:rPr>
                <w:rFonts w:ascii="Times New Roman" w:hAnsi="Times New Roman"/>
                <w:sz w:val="22"/>
                <w:szCs w:val="22"/>
              </w:rPr>
              <w:t xml:space="preserve"> k případné revizi strategie resp. programového dokumentu.</w:t>
            </w:r>
          </w:p>
          <w:p w14:paraId="55B99920" w14:textId="77777777" w:rsidR="003C2AF9" w:rsidRPr="00DD47DF" w:rsidRDefault="003C2AF9" w:rsidP="00BE586C">
            <w:pPr>
              <w:pStyle w:val="DAVA"/>
              <w:spacing w:before="80" w:after="80"/>
              <w:rPr>
                <w:rFonts w:ascii="Times New Roman" w:hAnsi="Times New Roman"/>
                <w:sz w:val="22"/>
                <w:szCs w:val="22"/>
              </w:rPr>
            </w:pPr>
            <w:r w:rsidRPr="00DD47DF">
              <w:rPr>
                <w:rFonts w:ascii="Times New Roman" w:hAnsi="Times New Roman"/>
                <w:sz w:val="22"/>
                <w:szCs w:val="22"/>
              </w:rPr>
              <w:t>ŘO: Plnění</w:t>
            </w:r>
            <w:r w:rsidR="00BE586C" w:rsidRPr="00DD47DF">
              <w:rPr>
                <w:rFonts w:ascii="Times New Roman" w:hAnsi="Times New Roman"/>
                <w:sz w:val="22"/>
                <w:szCs w:val="22"/>
              </w:rPr>
              <w:t xml:space="preserve"> </w:t>
            </w:r>
            <w:r w:rsidR="00FC061B" w:rsidRPr="00DD47DF">
              <w:rPr>
                <w:sz w:val="22"/>
                <w:szCs w:val="22"/>
              </w:rPr>
              <w:t xml:space="preserve"> </w:t>
            </w:r>
            <w:r w:rsidR="00FC061B" w:rsidRPr="00DD47DF">
              <w:rPr>
                <w:rFonts w:ascii="Times New Roman" w:hAnsi="Times New Roman"/>
                <w:sz w:val="22"/>
                <w:szCs w:val="22"/>
              </w:rPr>
              <w:t>ČÁSTEČNĚ</w:t>
            </w:r>
          </w:p>
          <w:p w14:paraId="4C344687" w14:textId="77777777" w:rsidR="00BE586C" w:rsidRPr="00DD47DF" w:rsidRDefault="00BE586C" w:rsidP="00BE586C">
            <w:pPr>
              <w:pStyle w:val="DAVA"/>
              <w:spacing w:before="80" w:after="80"/>
              <w:rPr>
                <w:rFonts w:ascii="Times New Roman" w:hAnsi="Times New Roman"/>
                <w:sz w:val="22"/>
                <w:szCs w:val="22"/>
              </w:rPr>
            </w:pPr>
            <w:r w:rsidRPr="00DD47DF">
              <w:rPr>
                <w:rFonts w:ascii="Times New Roman" w:hAnsi="Times New Roman"/>
                <w:sz w:val="22"/>
                <w:szCs w:val="22"/>
              </w:rPr>
              <w:t>Ukazatele výsledků SC byly nastaveny ve spolupráci s ex-ante hodnotitelem OP PIK a při zohlednění specifických připomínek a doporučení EK (Evaluation Unit) . Ukazatele výsledků SC byly voleny tak, aby co nejlépe vyjadřovaly žádoucí změnu.</w:t>
            </w:r>
          </w:p>
        </w:tc>
      </w:tr>
      <w:tr w:rsidR="00790A0D" w:rsidRPr="00DD47DF" w14:paraId="0AE23009" w14:textId="77777777" w:rsidTr="006D2F5F">
        <w:tc>
          <w:tcPr>
            <w:tcW w:w="1752" w:type="dxa"/>
            <w:vMerge/>
            <w:shd w:val="clear" w:color="auto" w:fill="auto"/>
          </w:tcPr>
          <w:p w14:paraId="0611E7B5" w14:textId="77777777" w:rsidR="00790A0D" w:rsidRPr="00DD47DF" w:rsidRDefault="00790A0D" w:rsidP="006D2F5F">
            <w:pPr>
              <w:pStyle w:val="Tabulka"/>
              <w:jc w:val="left"/>
              <w:rPr>
                <w:rFonts w:cs="Calibri"/>
                <w:b/>
              </w:rPr>
            </w:pPr>
          </w:p>
        </w:tc>
        <w:tc>
          <w:tcPr>
            <w:tcW w:w="1701" w:type="dxa"/>
            <w:vMerge/>
            <w:shd w:val="clear" w:color="auto" w:fill="auto"/>
          </w:tcPr>
          <w:p w14:paraId="77F2C891" w14:textId="77777777" w:rsidR="00790A0D" w:rsidRPr="00DD47DF" w:rsidRDefault="00790A0D" w:rsidP="006D2F5F">
            <w:pPr>
              <w:pStyle w:val="Tabulka"/>
              <w:jc w:val="left"/>
              <w:rPr>
                <w:rFonts w:cs="Calibri"/>
              </w:rPr>
            </w:pPr>
          </w:p>
        </w:tc>
        <w:tc>
          <w:tcPr>
            <w:tcW w:w="1276" w:type="dxa"/>
            <w:vMerge/>
            <w:shd w:val="clear" w:color="auto" w:fill="auto"/>
          </w:tcPr>
          <w:p w14:paraId="38055D42" w14:textId="77777777" w:rsidR="00790A0D" w:rsidRPr="00DD47DF" w:rsidRDefault="00790A0D" w:rsidP="006D2F5F">
            <w:pPr>
              <w:pStyle w:val="Tabulka"/>
              <w:jc w:val="left"/>
              <w:rPr>
                <w:rFonts w:cs="Calibri"/>
              </w:rPr>
            </w:pPr>
          </w:p>
        </w:tc>
        <w:tc>
          <w:tcPr>
            <w:tcW w:w="1843" w:type="dxa"/>
            <w:shd w:val="clear" w:color="auto" w:fill="auto"/>
          </w:tcPr>
          <w:p w14:paraId="40D78D1C" w14:textId="77777777" w:rsidR="00790A0D" w:rsidRPr="00DD47DF" w:rsidRDefault="00790A0D" w:rsidP="006D2F5F">
            <w:pPr>
              <w:pStyle w:val="Odstavecseseznamem"/>
              <w:spacing w:before="80" w:after="80"/>
              <w:ind w:left="0"/>
              <w:contextualSpacing w:val="0"/>
              <w:rPr>
                <w:bCs/>
                <w:sz w:val="22"/>
                <w:szCs w:val="22"/>
              </w:rPr>
            </w:pPr>
            <w:r w:rsidRPr="00DD47DF">
              <w:rPr>
                <w:bCs/>
                <w:sz w:val="22"/>
                <w:szCs w:val="22"/>
              </w:rPr>
              <w:t>Účinný systém ukazatelů výsledků, včetně:</w:t>
            </w:r>
          </w:p>
          <w:p w14:paraId="284D46BC" w14:textId="77777777" w:rsidR="00790A0D" w:rsidRPr="00DD47DF" w:rsidRDefault="00790A0D" w:rsidP="00BE586C">
            <w:pPr>
              <w:pStyle w:val="Tabulka"/>
              <w:numPr>
                <w:ilvl w:val="0"/>
                <w:numId w:val="92"/>
              </w:numPr>
              <w:jc w:val="left"/>
            </w:pPr>
            <w:r w:rsidRPr="00DD47DF">
              <w:rPr>
                <w:bCs/>
              </w:rPr>
              <w:t>vytyčení cílů pro tyto ukazatele,</w:t>
            </w:r>
          </w:p>
        </w:tc>
        <w:tc>
          <w:tcPr>
            <w:tcW w:w="1134" w:type="dxa"/>
            <w:shd w:val="clear" w:color="auto" w:fill="auto"/>
          </w:tcPr>
          <w:p w14:paraId="379F72CA" w14:textId="77777777" w:rsidR="00790A0D" w:rsidRPr="00DD47DF" w:rsidRDefault="008B1FD2" w:rsidP="006D2F5F">
            <w:pPr>
              <w:pStyle w:val="Tabulka"/>
              <w:jc w:val="left"/>
            </w:pPr>
            <w:r w:rsidRPr="00DD47DF">
              <w:t>ne</w:t>
            </w:r>
          </w:p>
        </w:tc>
        <w:tc>
          <w:tcPr>
            <w:tcW w:w="2126" w:type="dxa"/>
            <w:shd w:val="clear" w:color="auto" w:fill="auto"/>
          </w:tcPr>
          <w:p w14:paraId="7B0376B6" w14:textId="77777777" w:rsidR="00790A0D" w:rsidRPr="00DD47DF" w:rsidRDefault="00790A0D" w:rsidP="006D2F5F">
            <w:pPr>
              <w:pStyle w:val="Tabulka"/>
              <w:jc w:val="left"/>
            </w:pPr>
          </w:p>
        </w:tc>
        <w:tc>
          <w:tcPr>
            <w:tcW w:w="4394" w:type="dxa"/>
            <w:shd w:val="clear" w:color="auto" w:fill="auto"/>
          </w:tcPr>
          <w:p w14:paraId="4EEE2152" w14:textId="77777777" w:rsidR="00F97C3B" w:rsidRPr="00DD47DF" w:rsidRDefault="003C2AF9" w:rsidP="006D2F5F">
            <w:pPr>
              <w:pStyle w:val="DAVA"/>
              <w:spacing w:before="80" w:after="80"/>
              <w:rPr>
                <w:rFonts w:ascii="Times New Roman" w:hAnsi="Times New Roman"/>
                <w:sz w:val="22"/>
                <w:szCs w:val="22"/>
              </w:rPr>
            </w:pPr>
            <w:r w:rsidRPr="00DD47DF">
              <w:rPr>
                <w:rFonts w:ascii="Times New Roman" w:hAnsi="Times New Roman"/>
                <w:sz w:val="22"/>
                <w:szCs w:val="22"/>
              </w:rPr>
              <w:t>Gestor</w:t>
            </w:r>
            <w:r w:rsidR="000529F1" w:rsidRPr="00DD47DF">
              <w:rPr>
                <w:rFonts w:ascii="Times New Roman" w:hAnsi="Times New Roman"/>
                <w:sz w:val="22"/>
                <w:szCs w:val="22"/>
              </w:rPr>
              <w:t xml:space="preserve"> </w:t>
            </w:r>
            <w:r w:rsidRPr="00DD47DF">
              <w:rPr>
                <w:rFonts w:ascii="Times New Roman" w:hAnsi="Times New Roman"/>
                <w:sz w:val="22"/>
                <w:szCs w:val="22"/>
              </w:rPr>
              <w:t xml:space="preserve">PP: Plnění </w:t>
            </w:r>
            <w:r w:rsidR="000529F1" w:rsidRPr="00DD47DF">
              <w:rPr>
                <w:rFonts w:ascii="Times New Roman" w:hAnsi="Times New Roman"/>
                <w:sz w:val="22"/>
                <w:szCs w:val="22"/>
              </w:rPr>
              <w:t xml:space="preserve">ČÁSTEČNĚ </w:t>
            </w:r>
          </w:p>
          <w:p w14:paraId="208134B6"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Budou součástí programových dokumentů. </w:t>
            </w:r>
          </w:p>
          <w:p w14:paraId="17CFEF81" w14:textId="77777777" w:rsidR="00790A0D" w:rsidRPr="00DD47DF" w:rsidRDefault="00790A0D" w:rsidP="006D2F5F">
            <w:pPr>
              <w:pStyle w:val="Tabulka"/>
              <w:jc w:val="left"/>
            </w:pPr>
            <w:r w:rsidRPr="00DD47DF">
              <w:t>Nastavení výchozích a cílových hodnot je prováděno v rámci přípravy programů. Průběžně ve spolupráci s ex-ante hodnotiteli probíhá expertní posuzování relevance hodnot ve vazbě na alokaci pro dané téma.</w:t>
            </w:r>
          </w:p>
          <w:p w14:paraId="1F23E2FC" w14:textId="77777777" w:rsidR="003C2AF9" w:rsidRPr="00DD47DF" w:rsidRDefault="003C2AF9" w:rsidP="00D43AF5">
            <w:pPr>
              <w:pStyle w:val="Tabulka"/>
              <w:jc w:val="left"/>
            </w:pPr>
            <w:r w:rsidRPr="00DD47DF">
              <w:t>ŘO: Plnění</w:t>
            </w:r>
            <w:r w:rsidR="00D43AF5" w:rsidRPr="00DD47DF">
              <w:t xml:space="preserve"> </w:t>
            </w:r>
            <w:r w:rsidR="00FC061B" w:rsidRPr="00DD47DF">
              <w:t xml:space="preserve"> ČÁSTEČNĚ</w:t>
            </w:r>
          </w:p>
          <w:p w14:paraId="3EC79D16" w14:textId="77777777" w:rsidR="00D43AF5" w:rsidRPr="00DD47DF" w:rsidRDefault="00D43AF5" w:rsidP="00D43AF5">
            <w:pPr>
              <w:pStyle w:val="Tabulka"/>
              <w:jc w:val="left"/>
            </w:pPr>
            <w:r w:rsidRPr="00DD47DF">
              <w:t xml:space="preserve">Cílové hodnoty ukazatelů výsledků OP PIK </w:t>
            </w:r>
            <w:r w:rsidRPr="00DD47DF">
              <w:lastRenderedPageBreak/>
              <w:t>byly nastaveny na základě spolupráce odborných pracovníků ŘO s externí poradenskou firmou a ověřeny a potvrzeny ex-ante hodnotitelem.</w:t>
            </w:r>
          </w:p>
        </w:tc>
      </w:tr>
      <w:tr w:rsidR="00790A0D" w:rsidRPr="00DD47DF" w14:paraId="58369F27" w14:textId="77777777" w:rsidTr="006D2F5F">
        <w:tc>
          <w:tcPr>
            <w:tcW w:w="1752" w:type="dxa"/>
            <w:vMerge/>
            <w:shd w:val="clear" w:color="auto" w:fill="auto"/>
          </w:tcPr>
          <w:p w14:paraId="225970FC" w14:textId="77777777" w:rsidR="00790A0D" w:rsidRPr="00DD47DF" w:rsidRDefault="00790A0D" w:rsidP="006D2F5F">
            <w:pPr>
              <w:pStyle w:val="Tabulka"/>
              <w:jc w:val="left"/>
              <w:rPr>
                <w:rFonts w:cs="Calibri"/>
                <w:b/>
              </w:rPr>
            </w:pPr>
          </w:p>
        </w:tc>
        <w:tc>
          <w:tcPr>
            <w:tcW w:w="1701" w:type="dxa"/>
            <w:vMerge/>
            <w:shd w:val="clear" w:color="auto" w:fill="auto"/>
          </w:tcPr>
          <w:p w14:paraId="5C50315C" w14:textId="77777777" w:rsidR="00790A0D" w:rsidRPr="00DD47DF" w:rsidRDefault="00790A0D" w:rsidP="006D2F5F">
            <w:pPr>
              <w:pStyle w:val="Tabulka"/>
              <w:jc w:val="left"/>
              <w:rPr>
                <w:rFonts w:cs="Calibri"/>
              </w:rPr>
            </w:pPr>
          </w:p>
        </w:tc>
        <w:tc>
          <w:tcPr>
            <w:tcW w:w="1276" w:type="dxa"/>
            <w:vMerge/>
            <w:shd w:val="clear" w:color="auto" w:fill="auto"/>
          </w:tcPr>
          <w:p w14:paraId="0B829102" w14:textId="77777777" w:rsidR="00790A0D" w:rsidRPr="00DD47DF" w:rsidRDefault="00790A0D" w:rsidP="006D2F5F">
            <w:pPr>
              <w:pStyle w:val="Tabulka"/>
              <w:jc w:val="left"/>
              <w:rPr>
                <w:rFonts w:cs="Calibri"/>
              </w:rPr>
            </w:pPr>
          </w:p>
        </w:tc>
        <w:tc>
          <w:tcPr>
            <w:tcW w:w="1843" w:type="dxa"/>
            <w:shd w:val="clear" w:color="auto" w:fill="auto"/>
          </w:tcPr>
          <w:p w14:paraId="2B01B37F" w14:textId="77777777" w:rsidR="00790A0D" w:rsidRPr="00DD47DF" w:rsidRDefault="00790A0D" w:rsidP="006D2F5F">
            <w:pPr>
              <w:pStyle w:val="Odstavecseseznamem"/>
              <w:spacing w:before="80" w:after="80"/>
              <w:ind w:left="0"/>
              <w:contextualSpacing w:val="0"/>
              <w:rPr>
                <w:bCs/>
                <w:sz w:val="22"/>
                <w:szCs w:val="22"/>
              </w:rPr>
            </w:pPr>
            <w:r w:rsidRPr="00DD47DF">
              <w:rPr>
                <w:bCs/>
                <w:sz w:val="22"/>
                <w:szCs w:val="22"/>
              </w:rPr>
              <w:t>Účinný systém ukazatelů výsledků, včetně:</w:t>
            </w:r>
          </w:p>
          <w:p w14:paraId="7B4FEAB2" w14:textId="77777777" w:rsidR="00790A0D" w:rsidRPr="00DD47DF" w:rsidRDefault="00790A0D" w:rsidP="00D43AF5">
            <w:pPr>
              <w:pStyle w:val="Tabulka"/>
              <w:numPr>
                <w:ilvl w:val="0"/>
                <w:numId w:val="92"/>
              </w:numPr>
              <w:jc w:val="left"/>
            </w:pPr>
            <w:r w:rsidRPr="00DD47DF">
              <w:rPr>
                <w:bCs/>
              </w:rPr>
              <w:t>musí být zajištěn soulad každého ukazatele s těmito podmínkami: robustností a statistickou validací, jasným normativním výkladem, souladem se strategiemi, včasným sběrem údajů,</w:t>
            </w:r>
          </w:p>
        </w:tc>
        <w:tc>
          <w:tcPr>
            <w:tcW w:w="1134" w:type="dxa"/>
            <w:shd w:val="clear" w:color="auto" w:fill="auto"/>
          </w:tcPr>
          <w:p w14:paraId="43EBAD85" w14:textId="77777777" w:rsidR="00790A0D" w:rsidRPr="00DD47DF" w:rsidRDefault="008B1FD2" w:rsidP="006D2F5F">
            <w:pPr>
              <w:pStyle w:val="Tabulka"/>
              <w:jc w:val="left"/>
            </w:pPr>
            <w:r w:rsidRPr="00DD47DF">
              <w:rPr>
                <w:rFonts w:eastAsia="Calibri"/>
              </w:rPr>
              <w:t>ne</w:t>
            </w:r>
          </w:p>
        </w:tc>
        <w:tc>
          <w:tcPr>
            <w:tcW w:w="2126" w:type="dxa"/>
            <w:shd w:val="clear" w:color="auto" w:fill="auto"/>
          </w:tcPr>
          <w:p w14:paraId="436C8EB9" w14:textId="77777777" w:rsidR="00790A0D" w:rsidRPr="00DD47DF" w:rsidRDefault="00790A0D" w:rsidP="006D2F5F">
            <w:pPr>
              <w:pStyle w:val="Tabulka"/>
              <w:jc w:val="left"/>
            </w:pPr>
          </w:p>
        </w:tc>
        <w:tc>
          <w:tcPr>
            <w:tcW w:w="4394" w:type="dxa"/>
            <w:shd w:val="clear" w:color="auto" w:fill="auto"/>
          </w:tcPr>
          <w:p w14:paraId="36AC2D05" w14:textId="77777777" w:rsidR="003C2AF9" w:rsidRPr="00DD47DF" w:rsidRDefault="003C2AF9" w:rsidP="006D2F5F">
            <w:pPr>
              <w:rPr>
                <w:sz w:val="22"/>
                <w:szCs w:val="22"/>
              </w:rPr>
            </w:pPr>
            <w:r w:rsidRPr="00DD47DF">
              <w:rPr>
                <w:sz w:val="22"/>
                <w:szCs w:val="22"/>
              </w:rPr>
              <w:t xml:space="preserve">Gestor PP: Plnění </w:t>
            </w:r>
            <w:r w:rsidR="0004197D" w:rsidRPr="00DD47DF">
              <w:rPr>
                <w:sz w:val="22"/>
                <w:szCs w:val="22"/>
              </w:rPr>
              <w:t>ČÁSTEČNĚ</w:t>
            </w:r>
          </w:p>
          <w:p w14:paraId="0647DC2E" w14:textId="77777777" w:rsidR="00790A0D" w:rsidRPr="00DD47DF" w:rsidRDefault="00790A0D" w:rsidP="006D2F5F">
            <w:pPr>
              <w:rPr>
                <w:sz w:val="22"/>
                <w:szCs w:val="22"/>
              </w:rPr>
            </w:pPr>
            <w:r w:rsidRPr="00DD47DF">
              <w:rPr>
                <w:sz w:val="22"/>
                <w:szCs w:val="22"/>
              </w:rPr>
              <w:t>Je součástí programových dokumentů. Stejná pravidla jsou součástí MP indikátorů (schváleno UV 597/2013).</w:t>
            </w:r>
          </w:p>
          <w:p w14:paraId="0DD68F81" w14:textId="77777777" w:rsidR="003C2AF9" w:rsidRPr="00DD47DF" w:rsidRDefault="003C2AF9" w:rsidP="006D2F5F">
            <w:pPr>
              <w:rPr>
                <w:sz w:val="22"/>
                <w:szCs w:val="22"/>
              </w:rPr>
            </w:pPr>
            <w:r w:rsidRPr="00DD47DF">
              <w:rPr>
                <w:sz w:val="22"/>
                <w:szCs w:val="22"/>
              </w:rPr>
              <w:t>ŘO: Plnění</w:t>
            </w:r>
            <w:r w:rsidR="00D43AF5" w:rsidRPr="00DD47DF">
              <w:rPr>
                <w:sz w:val="22"/>
                <w:szCs w:val="22"/>
              </w:rPr>
              <w:t xml:space="preserve"> </w:t>
            </w:r>
            <w:r w:rsidR="00FC061B" w:rsidRPr="00DD47DF">
              <w:rPr>
                <w:sz w:val="22"/>
                <w:szCs w:val="22"/>
              </w:rPr>
              <w:t>ČÁSTEČNĚ</w:t>
            </w:r>
          </w:p>
          <w:p w14:paraId="7B4C0394" w14:textId="77777777" w:rsidR="00D43AF5" w:rsidRPr="00DD47DF" w:rsidRDefault="00D43AF5" w:rsidP="006D2F5F">
            <w:pPr>
              <w:rPr>
                <w:sz w:val="22"/>
                <w:szCs w:val="22"/>
              </w:rPr>
            </w:pPr>
            <w:r w:rsidRPr="00DD47DF">
              <w:rPr>
                <w:sz w:val="22"/>
                <w:szCs w:val="22"/>
              </w:rPr>
              <w:t xml:space="preserve">Ukazatele výsledků SC byly nastaveny ve spolupráci s ex-ante hodnotitelem OP PIK a při zohlednění specifických připomínek a doporučení EK (Evaluation </w:t>
            </w:r>
            <w:r w:rsidR="00370AC0" w:rsidRPr="00DD47DF">
              <w:rPr>
                <w:sz w:val="22"/>
                <w:szCs w:val="22"/>
              </w:rPr>
              <w:t>U</w:t>
            </w:r>
            <w:r w:rsidRPr="00DD47DF">
              <w:rPr>
                <w:sz w:val="22"/>
                <w:szCs w:val="22"/>
              </w:rPr>
              <w:t xml:space="preserve">nit) a splňují požadavky na robustnost a statistickou validaci.  </w:t>
            </w:r>
          </w:p>
          <w:p w14:paraId="2E323C0E" w14:textId="77777777" w:rsidR="00790A0D" w:rsidRPr="00DD47DF" w:rsidRDefault="00790A0D" w:rsidP="006D2F5F">
            <w:pPr>
              <w:pStyle w:val="Tabulka"/>
              <w:jc w:val="left"/>
            </w:pPr>
          </w:p>
        </w:tc>
      </w:tr>
      <w:tr w:rsidR="00790A0D" w:rsidRPr="00DD47DF" w14:paraId="1B41FAF7" w14:textId="77777777" w:rsidTr="006D2F5F">
        <w:tc>
          <w:tcPr>
            <w:tcW w:w="1752" w:type="dxa"/>
            <w:vMerge/>
            <w:shd w:val="clear" w:color="auto" w:fill="auto"/>
          </w:tcPr>
          <w:p w14:paraId="4284929B" w14:textId="77777777" w:rsidR="00790A0D" w:rsidRPr="00DD47DF" w:rsidRDefault="00790A0D" w:rsidP="006D2F5F">
            <w:pPr>
              <w:pStyle w:val="Tabulka"/>
              <w:jc w:val="left"/>
              <w:rPr>
                <w:rFonts w:cs="Calibri"/>
                <w:b/>
              </w:rPr>
            </w:pPr>
          </w:p>
        </w:tc>
        <w:tc>
          <w:tcPr>
            <w:tcW w:w="1701" w:type="dxa"/>
            <w:vMerge/>
            <w:shd w:val="clear" w:color="auto" w:fill="auto"/>
          </w:tcPr>
          <w:p w14:paraId="72F90C50" w14:textId="77777777" w:rsidR="00790A0D" w:rsidRPr="00DD47DF" w:rsidRDefault="00790A0D" w:rsidP="006D2F5F">
            <w:pPr>
              <w:pStyle w:val="Tabulka"/>
              <w:jc w:val="left"/>
              <w:rPr>
                <w:rFonts w:cs="Calibri"/>
              </w:rPr>
            </w:pPr>
          </w:p>
        </w:tc>
        <w:tc>
          <w:tcPr>
            <w:tcW w:w="1276" w:type="dxa"/>
            <w:vMerge/>
            <w:shd w:val="clear" w:color="auto" w:fill="auto"/>
          </w:tcPr>
          <w:p w14:paraId="575A4841" w14:textId="77777777" w:rsidR="00790A0D" w:rsidRPr="00DD47DF" w:rsidRDefault="00790A0D" w:rsidP="006D2F5F">
            <w:pPr>
              <w:pStyle w:val="Tabulka"/>
              <w:jc w:val="left"/>
              <w:rPr>
                <w:rFonts w:cs="Calibri"/>
              </w:rPr>
            </w:pPr>
          </w:p>
        </w:tc>
        <w:tc>
          <w:tcPr>
            <w:tcW w:w="1843" w:type="dxa"/>
            <w:shd w:val="clear" w:color="auto" w:fill="auto"/>
          </w:tcPr>
          <w:p w14:paraId="3D92D4BB" w14:textId="77777777" w:rsidR="00790A0D" w:rsidRPr="00DD47DF" w:rsidRDefault="00790A0D" w:rsidP="006D2F5F">
            <w:pPr>
              <w:pStyle w:val="Tabulka"/>
              <w:jc w:val="left"/>
              <w:rPr>
                <w:rFonts w:cs="Calibri"/>
              </w:rPr>
            </w:pPr>
            <w:r w:rsidRPr="00DD47DF">
              <w:rPr>
                <w:rFonts w:cs="Calibri"/>
              </w:rPr>
              <w:t>Postupy zajišťující, aby všechny operace financované z programu používaly účinný systém ukazatelů.</w:t>
            </w:r>
          </w:p>
        </w:tc>
        <w:tc>
          <w:tcPr>
            <w:tcW w:w="1134" w:type="dxa"/>
            <w:shd w:val="clear" w:color="auto" w:fill="auto"/>
          </w:tcPr>
          <w:p w14:paraId="44F7F215" w14:textId="77777777" w:rsidR="00790A0D" w:rsidRPr="00DD47DF" w:rsidRDefault="008B1FD2" w:rsidP="006D2F5F">
            <w:pPr>
              <w:pStyle w:val="Tabulka"/>
              <w:jc w:val="left"/>
              <w:rPr>
                <w:rFonts w:cs="Calibri"/>
              </w:rPr>
            </w:pPr>
            <w:r w:rsidRPr="00DD47DF">
              <w:rPr>
                <w:rFonts w:eastAsia="Calibri" w:cs="Calibri"/>
              </w:rPr>
              <w:t>ne</w:t>
            </w:r>
          </w:p>
        </w:tc>
        <w:tc>
          <w:tcPr>
            <w:tcW w:w="2126" w:type="dxa"/>
            <w:shd w:val="clear" w:color="auto" w:fill="auto"/>
          </w:tcPr>
          <w:p w14:paraId="770EFBE6" w14:textId="77777777" w:rsidR="00790A0D" w:rsidRPr="00DD47DF" w:rsidRDefault="00580034" w:rsidP="006D2F5F">
            <w:pPr>
              <w:pStyle w:val="Tabulka"/>
              <w:jc w:val="left"/>
              <w:rPr>
                <w:rFonts w:cs="Calibri"/>
              </w:rPr>
            </w:pPr>
            <w:hyperlink r:id="rId107" w:history="1">
              <w:r w:rsidR="00790A0D" w:rsidRPr="00DD47DF">
                <w:rPr>
                  <w:rStyle w:val="Hypertextovodkaz"/>
                </w:rPr>
                <w:t>http://www.s-f.cz/cs/Fondy-EU/2014-2020/Metodicke-pokyny</w:t>
              </w:r>
            </w:hyperlink>
          </w:p>
        </w:tc>
        <w:tc>
          <w:tcPr>
            <w:tcW w:w="4394" w:type="dxa"/>
            <w:shd w:val="clear" w:color="auto" w:fill="auto"/>
          </w:tcPr>
          <w:p w14:paraId="14E29274" w14:textId="77777777" w:rsidR="003C2AF9" w:rsidRPr="00DD47DF" w:rsidRDefault="003C2AF9"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Gestor PP: Plnění </w:t>
            </w:r>
            <w:r w:rsidR="0004197D" w:rsidRPr="00DD47DF">
              <w:rPr>
                <w:rFonts w:ascii="Times New Roman" w:hAnsi="Times New Roman"/>
                <w:sz w:val="22"/>
                <w:szCs w:val="22"/>
              </w:rPr>
              <w:t>ČÁSTEČNĚ</w:t>
            </w:r>
          </w:p>
          <w:p w14:paraId="53193532"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Povinné postupy pro splnění kritéria jsou součástí schváleného závazného metodického prostředí:</w:t>
            </w:r>
          </w:p>
          <w:p w14:paraId="091A9CD4" w14:textId="77777777" w:rsidR="00790A0D" w:rsidRPr="00DD47DF" w:rsidRDefault="00790A0D" w:rsidP="003C2AF9">
            <w:pPr>
              <w:pStyle w:val="DAVA"/>
              <w:spacing w:before="80" w:after="80"/>
              <w:rPr>
                <w:sz w:val="22"/>
                <w:szCs w:val="22"/>
              </w:rPr>
            </w:pPr>
            <w:r w:rsidRPr="00DD47DF">
              <w:rPr>
                <w:rFonts w:ascii="Times New Roman" w:hAnsi="Times New Roman"/>
                <w:sz w:val="22"/>
                <w:szCs w:val="22"/>
              </w:rPr>
              <w:t xml:space="preserve">MP indikátory (UV 597/2013 a MP výběr a hodnocení projektů (schválen UV 873/2013), které definují závazná pravidla pro výběr a plnění alespoň jednoho indikátoru ve vazbě na </w:t>
            </w:r>
            <w:r w:rsidRPr="00DD47DF">
              <w:rPr>
                <w:rFonts w:ascii="Times New Roman" w:hAnsi="Times New Roman"/>
                <w:sz w:val="22"/>
                <w:szCs w:val="22"/>
              </w:rPr>
              <w:lastRenderedPageBreak/>
              <w:t>specifický cíl. V rámci uvedeného pokynu jsou současně promítnuty principy 3E pro výběr a hodnocení operací. Závazné a jednotné metodické konstrukce všech indikátorů používaných v rámci programů a každé operace jsou definovány v rámci tzn. NČI2014+</w:t>
            </w:r>
            <w:r w:rsidR="003C2AF9" w:rsidRPr="00DD47DF">
              <w:rPr>
                <w:rFonts w:ascii="Times New Roman" w:hAnsi="Times New Roman"/>
                <w:sz w:val="22"/>
                <w:szCs w:val="22"/>
              </w:rPr>
              <w:t>.</w:t>
            </w:r>
          </w:p>
          <w:p w14:paraId="5CFF2670" w14:textId="77777777" w:rsidR="003C2AF9" w:rsidRPr="00DD47DF" w:rsidRDefault="003C2AF9" w:rsidP="003C2AF9">
            <w:pPr>
              <w:pStyle w:val="DAVA"/>
              <w:spacing w:before="80" w:after="80"/>
              <w:rPr>
                <w:rFonts w:ascii="Times New Roman" w:hAnsi="Times New Roman"/>
                <w:sz w:val="22"/>
                <w:szCs w:val="22"/>
              </w:rPr>
            </w:pPr>
            <w:r w:rsidRPr="00DD47DF">
              <w:rPr>
                <w:rFonts w:ascii="Times New Roman" w:hAnsi="Times New Roman"/>
                <w:sz w:val="22"/>
                <w:szCs w:val="22"/>
              </w:rPr>
              <w:t>ŘO: Plnění</w:t>
            </w:r>
            <w:r w:rsidR="00BF4517" w:rsidRPr="00DD47DF">
              <w:rPr>
                <w:rFonts w:ascii="Times New Roman" w:hAnsi="Times New Roman"/>
                <w:sz w:val="22"/>
                <w:szCs w:val="22"/>
              </w:rPr>
              <w:t xml:space="preserve"> částečně</w:t>
            </w:r>
          </w:p>
          <w:p w14:paraId="43728415" w14:textId="77777777" w:rsidR="00BF4517" w:rsidRPr="00DD47DF" w:rsidRDefault="00BF4517" w:rsidP="00F34E54">
            <w:pPr>
              <w:pStyle w:val="DAVA"/>
              <w:spacing w:before="80" w:after="80"/>
              <w:rPr>
                <w:rFonts w:ascii="Times New Roman" w:hAnsi="Times New Roman"/>
                <w:sz w:val="22"/>
                <w:szCs w:val="22"/>
              </w:rPr>
            </w:pPr>
            <w:r w:rsidRPr="00DD47DF">
              <w:rPr>
                <w:rFonts w:ascii="Times New Roman" w:hAnsi="Times New Roman"/>
                <w:sz w:val="22"/>
                <w:szCs w:val="22"/>
              </w:rPr>
              <w:t>Požadavky a pravidla na používání systému ukazatelů OP PIK jsou</w:t>
            </w:r>
            <w:r w:rsidR="006F0E4D" w:rsidRPr="00DD47DF">
              <w:rPr>
                <w:rFonts w:ascii="Times New Roman" w:hAnsi="Times New Roman"/>
                <w:sz w:val="22"/>
                <w:szCs w:val="22"/>
              </w:rPr>
              <w:t xml:space="preserve"> součástí</w:t>
            </w:r>
            <w:r w:rsidRPr="00DD47DF">
              <w:rPr>
                <w:rFonts w:ascii="Times New Roman" w:hAnsi="Times New Roman"/>
                <w:sz w:val="22"/>
                <w:szCs w:val="22"/>
              </w:rPr>
              <w:t> navazující řídící dokumentac</w:t>
            </w:r>
            <w:r w:rsidR="006F0E4D" w:rsidRPr="00DD47DF">
              <w:rPr>
                <w:rFonts w:ascii="Times New Roman" w:hAnsi="Times New Roman"/>
                <w:sz w:val="22"/>
                <w:szCs w:val="22"/>
              </w:rPr>
              <w:t>e</w:t>
            </w:r>
            <w:r w:rsidRPr="00DD47DF">
              <w:rPr>
                <w:rFonts w:ascii="Times New Roman" w:hAnsi="Times New Roman"/>
                <w:sz w:val="22"/>
                <w:szCs w:val="22"/>
              </w:rPr>
              <w:t xml:space="preserve"> k programu a také pokyn</w:t>
            </w:r>
            <w:r w:rsidR="006F0E4D" w:rsidRPr="00DD47DF">
              <w:rPr>
                <w:rFonts w:ascii="Times New Roman" w:hAnsi="Times New Roman"/>
                <w:sz w:val="22"/>
                <w:szCs w:val="22"/>
              </w:rPr>
              <w:t>ů</w:t>
            </w:r>
            <w:r w:rsidRPr="00DD47DF">
              <w:rPr>
                <w:rFonts w:ascii="Times New Roman" w:hAnsi="Times New Roman"/>
                <w:sz w:val="22"/>
                <w:szCs w:val="22"/>
              </w:rPr>
              <w:t xml:space="preserve"> a podmín</w:t>
            </w:r>
            <w:r w:rsidR="006F0E4D" w:rsidRPr="00DD47DF">
              <w:rPr>
                <w:rFonts w:ascii="Times New Roman" w:hAnsi="Times New Roman"/>
                <w:sz w:val="22"/>
                <w:szCs w:val="22"/>
              </w:rPr>
              <w:t>e</w:t>
            </w:r>
            <w:r w:rsidRPr="00DD47DF">
              <w:rPr>
                <w:rFonts w:ascii="Times New Roman" w:hAnsi="Times New Roman"/>
                <w:sz w:val="22"/>
                <w:szCs w:val="22"/>
              </w:rPr>
              <w:t>k pro žadatele a příjemce</w:t>
            </w:r>
            <w:r w:rsidR="006F0E4D" w:rsidRPr="00DD47DF">
              <w:rPr>
                <w:rFonts w:ascii="Times New Roman" w:hAnsi="Times New Roman"/>
                <w:sz w:val="22"/>
                <w:szCs w:val="22"/>
              </w:rPr>
              <w:t xml:space="preserve">, kde </w:t>
            </w:r>
            <w:r w:rsidR="00F34E54" w:rsidRPr="00DD47DF">
              <w:rPr>
                <w:rFonts w:ascii="Times New Roman" w:hAnsi="Times New Roman"/>
                <w:sz w:val="22"/>
                <w:szCs w:val="22"/>
              </w:rPr>
              <w:t>budou</w:t>
            </w:r>
            <w:r w:rsidR="006F0E4D" w:rsidRPr="00DD47DF">
              <w:rPr>
                <w:rFonts w:ascii="Times New Roman" w:hAnsi="Times New Roman"/>
                <w:sz w:val="22"/>
                <w:szCs w:val="22"/>
              </w:rPr>
              <w:t xml:space="preserve"> podrobně popsány povinnosti příjemců poskytovat ŘO potřebné informace pro naplňování indikátorů.</w:t>
            </w:r>
          </w:p>
        </w:tc>
      </w:tr>
      <w:tr w:rsidR="00790A0D" w:rsidRPr="00DD47DF" w14:paraId="2A18850B" w14:textId="77777777" w:rsidTr="006D2F5F">
        <w:tc>
          <w:tcPr>
            <w:tcW w:w="1752" w:type="dxa"/>
            <w:vMerge w:val="restart"/>
            <w:shd w:val="clear" w:color="auto" w:fill="auto"/>
          </w:tcPr>
          <w:p w14:paraId="4D458755" w14:textId="77777777" w:rsidR="00790A0D" w:rsidRPr="00DD47DF" w:rsidRDefault="00790A0D" w:rsidP="006D2F5F">
            <w:pPr>
              <w:pStyle w:val="Tabulka"/>
              <w:jc w:val="left"/>
              <w:rPr>
                <w:rFonts w:cs="Calibri"/>
                <w:b/>
              </w:rPr>
            </w:pPr>
            <w:r w:rsidRPr="00DD47DF">
              <w:rPr>
                <w:rFonts w:cs="Calibri"/>
                <w:b/>
              </w:rPr>
              <w:lastRenderedPageBreak/>
              <w:t xml:space="preserve">1.1. Výzkum a inovace: Existence národní nebo regionální strategie pro inteligentní specializaci v souladu s národním programem reforem na podporu soukromých výdajů na výzkum a inovace, která je v souladu s rysy </w:t>
            </w:r>
            <w:r w:rsidRPr="00DD47DF">
              <w:rPr>
                <w:rFonts w:cs="Calibri"/>
                <w:b/>
              </w:rPr>
              <w:lastRenderedPageBreak/>
              <w:t>dobře fungujících celostátních nebo regionálních systémů výzkumu a inovací.</w:t>
            </w:r>
          </w:p>
        </w:tc>
        <w:tc>
          <w:tcPr>
            <w:tcW w:w="1701" w:type="dxa"/>
            <w:vMerge w:val="restart"/>
            <w:shd w:val="clear" w:color="auto" w:fill="auto"/>
          </w:tcPr>
          <w:p w14:paraId="7F65AB28" w14:textId="77777777" w:rsidR="00790A0D" w:rsidRPr="00DD47DF" w:rsidRDefault="00790A0D" w:rsidP="006D2F5F">
            <w:pPr>
              <w:pStyle w:val="Tabulka"/>
              <w:jc w:val="left"/>
              <w:rPr>
                <w:rFonts w:cs="Calibri"/>
              </w:rPr>
            </w:pPr>
            <w:r w:rsidRPr="00DD47DF">
              <w:rPr>
                <w:rFonts w:cs="Calibri"/>
              </w:rPr>
              <w:lastRenderedPageBreak/>
              <w:t>PO 1 - Rozvoj výzkumu a vývoje pro inovace</w:t>
            </w:r>
          </w:p>
          <w:p w14:paraId="7A641138" w14:textId="77777777" w:rsidR="00790A0D" w:rsidRPr="00DD47DF" w:rsidRDefault="00790A0D" w:rsidP="006D2F5F">
            <w:pPr>
              <w:pStyle w:val="Tabulka"/>
              <w:jc w:val="left"/>
              <w:rPr>
                <w:rFonts w:cs="Calibri"/>
              </w:rPr>
            </w:pPr>
          </w:p>
          <w:p w14:paraId="6BF57C90" w14:textId="77777777" w:rsidR="00790A0D" w:rsidRPr="00DD47DF" w:rsidRDefault="00790A0D" w:rsidP="006D2F5F">
            <w:pPr>
              <w:pStyle w:val="Tabulka"/>
              <w:jc w:val="left"/>
              <w:rPr>
                <w:rFonts w:cs="Calibri"/>
              </w:rPr>
            </w:pPr>
          </w:p>
          <w:p w14:paraId="43B89DD1" w14:textId="77777777" w:rsidR="00790A0D" w:rsidRPr="00DD47DF" w:rsidRDefault="00790A0D" w:rsidP="006D2F5F">
            <w:pPr>
              <w:pStyle w:val="Tabulka"/>
              <w:jc w:val="left"/>
              <w:rPr>
                <w:rFonts w:cs="Calibri"/>
              </w:rPr>
            </w:pPr>
          </w:p>
          <w:p w14:paraId="1C8B3E5C" w14:textId="77777777" w:rsidR="00790A0D" w:rsidRPr="00DD47DF" w:rsidRDefault="00790A0D" w:rsidP="006D2F5F">
            <w:pPr>
              <w:pStyle w:val="Tabulka"/>
              <w:jc w:val="left"/>
              <w:rPr>
                <w:rFonts w:cs="Calibri"/>
              </w:rPr>
            </w:pPr>
          </w:p>
          <w:p w14:paraId="24E40453" w14:textId="77777777" w:rsidR="00790A0D" w:rsidRPr="00DD47DF" w:rsidRDefault="00790A0D" w:rsidP="006D2F5F">
            <w:pPr>
              <w:pStyle w:val="Tabulka"/>
              <w:jc w:val="left"/>
              <w:rPr>
                <w:rFonts w:cs="Calibri"/>
              </w:rPr>
            </w:pPr>
          </w:p>
        </w:tc>
        <w:tc>
          <w:tcPr>
            <w:tcW w:w="1276" w:type="dxa"/>
            <w:vMerge w:val="restart"/>
            <w:shd w:val="clear" w:color="auto" w:fill="auto"/>
          </w:tcPr>
          <w:p w14:paraId="5A86A0C5" w14:textId="77777777" w:rsidR="00790A0D" w:rsidRPr="00DD47DF" w:rsidRDefault="00DF7373" w:rsidP="006D2F5F">
            <w:pPr>
              <w:pStyle w:val="Tabulka"/>
              <w:jc w:val="left"/>
              <w:rPr>
                <w:rFonts w:cs="Calibri"/>
              </w:rPr>
            </w:pPr>
            <w:r w:rsidRPr="00DD47DF">
              <w:rPr>
                <w:rFonts w:cs="Calibri"/>
              </w:rPr>
              <w:t>částečně</w:t>
            </w:r>
          </w:p>
          <w:p w14:paraId="79D27D61" w14:textId="77777777" w:rsidR="00790A0D" w:rsidRPr="00DD47DF" w:rsidRDefault="00790A0D" w:rsidP="006D2F5F">
            <w:pPr>
              <w:pStyle w:val="Tabulka"/>
              <w:jc w:val="left"/>
              <w:rPr>
                <w:rFonts w:cs="Calibri"/>
              </w:rPr>
            </w:pPr>
          </w:p>
          <w:p w14:paraId="1B20EDF3" w14:textId="77777777" w:rsidR="00790A0D" w:rsidRPr="00DD47DF" w:rsidRDefault="00790A0D" w:rsidP="006D2F5F">
            <w:pPr>
              <w:pStyle w:val="Tabulka"/>
              <w:jc w:val="left"/>
              <w:rPr>
                <w:rFonts w:cs="Calibri"/>
              </w:rPr>
            </w:pPr>
          </w:p>
          <w:p w14:paraId="5955328E" w14:textId="77777777" w:rsidR="00790A0D" w:rsidRPr="00DD47DF" w:rsidRDefault="00790A0D" w:rsidP="006D2F5F">
            <w:pPr>
              <w:pStyle w:val="Tabulka"/>
              <w:jc w:val="left"/>
              <w:rPr>
                <w:rFonts w:cs="Calibri"/>
              </w:rPr>
            </w:pPr>
          </w:p>
          <w:p w14:paraId="34816307" w14:textId="77777777" w:rsidR="00790A0D" w:rsidRPr="00DD47DF" w:rsidRDefault="00790A0D" w:rsidP="006D2F5F">
            <w:pPr>
              <w:pStyle w:val="Tabulka"/>
              <w:jc w:val="left"/>
              <w:rPr>
                <w:rFonts w:cs="Calibri"/>
              </w:rPr>
            </w:pPr>
          </w:p>
          <w:p w14:paraId="62C0DD88" w14:textId="77777777" w:rsidR="00790A0D" w:rsidRPr="00DD47DF" w:rsidRDefault="00790A0D" w:rsidP="006D2F5F">
            <w:pPr>
              <w:pStyle w:val="Tabulka"/>
              <w:jc w:val="left"/>
              <w:rPr>
                <w:rFonts w:cs="Calibri"/>
              </w:rPr>
            </w:pPr>
          </w:p>
          <w:p w14:paraId="1BFF8A04" w14:textId="77777777" w:rsidR="00790A0D" w:rsidRPr="00DD47DF" w:rsidRDefault="00790A0D" w:rsidP="006D2F5F">
            <w:pPr>
              <w:pStyle w:val="Tabulka"/>
              <w:jc w:val="left"/>
              <w:rPr>
                <w:rFonts w:cs="Calibri"/>
              </w:rPr>
            </w:pPr>
          </w:p>
        </w:tc>
        <w:tc>
          <w:tcPr>
            <w:tcW w:w="1843" w:type="dxa"/>
            <w:shd w:val="clear" w:color="auto" w:fill="auto"/>
          </w:tcPr>
          <w:p w14:paraId="355E8C9A" w14:textId="77777777" w:rsidR="00790A0D" w:rsidRPr="00DD47DF" w:rsidRDefault="00790A0D" w:rsidP="006D2F5F">
            <w:pPr>
              <w:pStyle w:val="Tabulka"/>
              <w:jc w:val="left"/>
              <w:rPr>
                <w:rFonts w:cs="Calibri"/>
              </w:rPr>
            </w:pPr>
            <w:r w:rsidRPr="00DD47DF">
              <w:rPr>
                <w:rFonts w:cs="Calibri"/>
                <w:bCs/>
              </w:rPr>
              <w:t>Je k dispozici národní strategie pro inteligentní specializaci, která:</w:t>
            </w:r>
          </w:p>
        </w:tc>
        <w:tc>
          <w:tcPr>
            <w:tcW w:w="1134" w:type="dxa"/>
            <w:shd w:val="clear" w:color="auto" w:fill="auto"/>
          </w:tcPr>
          <w:p w14:paraId="0744BEEC" w14:textId="77777777" w:rsidR="00790A0D" w:rsidRPr="00DD47DF" w:rsidRDefault="00DF7373" w:rsidP="006D2F5F">
            <w:pPr>
              <w:pStyle w:val="Tabulka"/>
              <w:jc w:val="left"/>
              <w:rPr>
                <w:rFonts w:cs="Calibri"/>
              </w:rPr>
            </w:pPr>
            <w:r w:rsidRPr="00DD47DF">
              <w:rPr>
                <w:rFonts w:cs="Calibri"/>
              </w:rPr>
              <w:t>ano</w:t>
            </w:r>
          </w:p>
        </w:tc>
        <w:tc>
          <w:tcPr>
            <w:tcW w:w="2126" w:type="dxa"/>
            <w:shd w:val="clear" w:color="auto" w:fill="auto"/>
          </w:tcPr>
          <w:p w14:paraId="735D2871" w14:textId="77777777" w:rsidR="00790A0D" w:rsidRPr="00DD47DF" w:rsidRDefault="00580034" w:rsidP="006D2F5F">
            <w:pPr>
              <w:pStyle w:val="Tabulka"/>
              <w:jc w:val="left"/>
            </w:pPr>
            <w:hyperlink r:id="rId108" w:history="1">
              <w:r w:rsidR="00790A0D" w:rsidRPr="00DD47DF">
                <w:rPr>
                  <w:rStyle w:val="Hypertextovodkaz"/>
                </w:rPr>
                <w:t>http://www.msmt.cz/strukturalni-fondy/ris3-strategie-cr</w:t>
              </w:r>
            </w:hyperlink>
          </w:p>
          <w:p w14:paraId="57E5668B" w14:textId="77777777" w:rsidR="00790A0D" w:rsidRPr="00DD47DF" w:rsidRDefault="00790A0D" w:rsidP="006D2F5F">
            <w:pPr>
              <w:pStyle w:val="Tabulka"/>
              <w:jc w:val="left"/>
            </w:pPr>
          </w:p>
          <w:p w14:paraId="169BC721" w14:textId="77777777" w:rsidR="00790A0D" w:rsidRPr="00DD47DF" w:rsidRDefault="00790A0D" w:rsidP="006D2F5F">
            <w:pPr>
              <w:pStyle w:val="Tabulka"/>
              <w:jc w:val="left"/>
            </w:pPr>
          </w:p>
          <w:p w14:paraId="7132EE4A" w14:textId="77777777" w:rsidR="00790A0D" w:rsidRPr="00DD47DF" w:rsidRDefault="00790A0D" w:rsidP="006D2F5F">
            <w:pPr>
              <w:pStyle w:val="Tabulka"/>
              <w:jc w:val="left"/>
              <w:rPr>
                <w:sz w:val="18"/>
                <w:szCs w:val="18"/>
              </w:rPr>
            </w:pPr>
          </w:p>
        </w:tc>
        <w:tc>
          <w:tcPr>
            <w:tcW w:w="4394" w:type="dxa"/>
            <w:shd w:val="clear" w:color="auto" w:fill="auto"/>
          </w:tcPr>
          <w:p w14:paraId="49EC7AA7" w14:textId="77777777" w:rsidR="00DF7373" w:rsidRPr="00DD47DF" w:rsidRDefault="00DF7373" w:rsidP="006D2F5F">
            <w:pPr>
              <w:pStyle w:val="Tabulka"/>
              <w:jc w:val="left"/>
            </w:pPr>
            <w:r w:rsidRPr="00DD47DF">
              <w:t xml:space="preserve">Národní RIS3 byla do r. 2014 připravována MŠMT, usnesením vlády č. 1028 z 8.12.2014 byla strategie schválena a jejím dalším řízením byl  pověřen Úřad vlády. V souladu s metodickým dokumentem EK k ex-ante kondicionalitám byl vytvořen Akční plán RIS3, který rekapituluje koncepční přístup ČR k této kondicionalitě a obsahuje popis již uskutečněných a zbývajících kroků ke splnění kritérií, která jsou dle vyjádření EK ze dne 12.12.2014 zatím nenaplněna, (spolu s harmonogramem aktivit a určením zodpovědných subjektů). </w:t>
            </w:r>
            <w:r w:rsidR="00E91F3C" w:rsidRPr="00DD47DF">
              <w:t xml:space="preserve">Akční plán je přílohou relevantních </w:t>
            </w:r>
            <w:r w:rsidR="001315A2" w:rsidRPr="00DD47DF">
              <w:t>programů</w:t>
            </w:r>
            <w:r w:rsidR="00E91F3C" w:rsidRPr="00DD47DF">
              <w:t xml:space="preserve">. </w:t>
            </w:r>
            <w:r w:rsidRPr="00DD47DF">
              <w:t xml:space="preserve">Schválením vládou ČR se Národní RIS3 stává nedílnou součástí „Aktualizace Národní politiky výzkumu, vývoje a inovací České republiky na léta 2009 až 2015 s výhledem do roku 2020“ (NP VaVaI), která je </w:t>
            </w:r>
            <w:r w:rsidRPr="00DD47DF">
              <w:lastRenderedPageBreak/>
              <w:t xml:space="preserve">na základě Usnesení vlády č. 294 ze dne 24. </w:t>
            </w:r>
            <w:r w:rsidR="00E91F3C" w:rsidRPr="00DD47DF">
              <w:t xml:space="preserve">4. </w:t>
            </w:r>
            <w:r w:rsidRPr="00DD47DF">
              <w:t>2013 základním strategickým dokumentem pro oblast VaVaI na národní úrovni.</w:t>
            </w:r>
          </w:p>
          <w:p w14:paraId="102A368E" w14:textId="77777777" w:rsidR="00790A0D" w:rsidRPr="00DD47DF" w:rsidRDefault="00790A0D" w:rsidP="006D2F5F">
            <w:pPr>
              <w:pStyle w:val="Tabulka"/>
              <w:jc w:val="left"/>
              <w:rPr>
                <w:rFonts w:cs="Calibri"/>
              </w:rPr>
            </w:pPr>
            <w:r w:rsidRPr="00DD47DF">
              <w:rPr>
                <w:rFonts w:cs="Calibri"/>
              </w:rPr>
              <w:t xml:space="preserve">OP PIK </w:t>
            </w:r>
            <w:r w:rsidR="00DF7373" w:rsidRPr="00DD47DF">
              <w:rPr>
                <w:rFonts w:cs="Calibri"/>
              </w:rPr>
              <w:t>je</w:t>
            </w:r>
            <w:r w:rsidRPr="00DD47DF">
              <w:rPr>
                <w:rFonts w:cs="Calibri"/>
              </w:rPr>
              <w:t xml:space="preserve"> navázán na RIS3 a v relevantních specifických cílech </w:t>
            </w:r>
            <w:r w:rsidR="00DF7373" w:rsidRPr="00DD47DF">
              <w:rPr>
                <w:rFonts w:cs="Calibri"/>
              </w:rPr>
              <w:t xml:space="preserve">ji </w:t>
            </w:r>
            <w:r w:rsidRPr="00DD47DF">
              <w:rPr>
                <w:rFonts w:cs="Calibri"/>
              </w:rPr>
              <w:t>zohledň</w:t>
            </w:r>
            <w:r w:rsidR="00DF7373" w:rsidRPr="00DD47DF">
              <w:rPr>
                <w:rFonts w:cs="Calibri"/>
              </w:rPr>
              <w:t>uje</w:t>
            </w:r>
            <w:r w:rsidRPr="00DD47DF">
              <w:rPr>
                <w:rFonts w:cs="Calibri"/>
              </w:rPr>
              <w:t xml:space="preserve">. </w:t>
            </w:r>
          </w:p>
          <w:p w14:paraId="3E7BAFEA" w14:textId="77777777" w:rsidR="00790A0D" w:rsidRPr="00DD47DF" w:rsidRDefault="00E91F3C" w:rsidP="00E91F3C">
            <w:pPr>
              <w:pStyle w:val="Tabulka"/>
              <w:jc w:val="left"/>
              <w:rPr>
                <w:rFonts w:cs="Calibri"/>
              </w:rPr>
            </w:pPr>
            <w:r w:rsidRPr="00DD47DF">
              <w:rPr>
                <w:rFonts w:cs="Calibri"/>
              </w:rPr>
              <w:t>V</w:t>
            </w:r>
            <w:r w:rsidR="00790A0D" w:rsidRPr="00DD47DF">
              <w:rPr>
                <w:rFonts w:cs="Calibri"/>
              </w:rPr>
              <w:t>iz</w:t>
            </w:r>
            <w:r w:rsidR="00790A0D" w:rsidRPr="00DD47DF">
              <w:t xml:space="preserve"> Akční plán</w:t>
            </w:r>
            <w:r w:rsidR="00CA1478" w:rsidRPr="00DD47DF">
              <w:t xml:space="preserve"> </w:t>
            </w:r>
            <w:r w:rsidR="00DF7373" w:rsidRPr="00DD47DF">
              <w:t xml:space="preserve">- </w:t>
            </w:r>
            <w:r w:rsidR="00CA1478" w:rsidRPr="00DD47DF">
              <w:t xml:space="preserve"> Příloha II</w:t>
            </w:r>
            <w:r w:rsidR="00790A0D" w:rsidRPr="00DD47DF">
              <w:t xml:space="preserve">. </w:t>
            </w:r>
          </w:p>
        </w:tc>
      </w:tr>
      <w:tr w:rsidR="00790A0D" w:rsidRPr="00DD47DF" w14:paraId="3F347EB1" w14:textId="77777777" w:rsidTr="006D2F5F">
        <w:tc>
          <w:tcPr>
            <w:tcW w:w="1752" w:type="dxa"/>
            <w:vMerge/>
            <w:shd w:val="clear" w:color="auto" w:fill="auto"/>
          </w:tcPr>
          <w:p w14:paraId="09B4B318" w14:textId="77777777" w:rsidR="00790A0D" w:rsidRPr="00DD47DF" w:rsidRDefault="00790A0D" w:rsidP="006D2F5F">
            <w:pPr>
              <w:pStyle w:val="Tabulka"/>
              <w:jc w:val="left"/>
              <w:rPr>
                <w:rFonts w:cs="Calibri"/>
                <w:b/>
              </w:rPr>
            </w:pPr>
          </w:p>
        </w:tc>
        <w:tc>
          <w:tcPr>
            <w:tcW w:w="1701" w:type="dxa"/>
            <w:vMerge/>
            <w:shd w:val="clear" w:color="auto" w:fill="auto"/>
          </w:tcPr>
          <w:p w14:paraId="744746C1" w14:textId="77777777" w:rsidR="00790A0D" w:rsidRPr="00DD47DF" w:rsidRDefault="00790A0D" w:rsidP="006D2F5F">
            <w:pPr>
              <w:pStyle w:val="Tabulka"/>
              <w:jc w:val="left"/>
              <w:rPr>
                <w:rFonts w:cs="Calibri"/>
              </w:rPr>
            </w:pPr>
          </w:p>
        </w:tc>
        <w:tc>
          <w:tcPr>
            <w:tcW w:w="1276" w:type="dxa"/>
            <w:vMerge/>
            <w:shd w:val="clear" w:color="auto" w:fill="auto"/>
          </w:tcPr>
          <w:p w14:paraId="6D724C4D" w14:textId="77777777" w:rsidR="00790A0D" w:rsidRPr="00DD47DF" w:rsidRDefault="00790A0D" w:rsidP="006D2F5F">
            <w:pPr>
              <w:pStyle w:val="Tabulka"/>
              <w:jc w:val="left"/>
              <w:rPr>
                <w:rFonts w:cs="Calibri"/>
              </w:rPr>
            </w:pPr>
          </w:p>
        </w:tc>
        <w:tc>
          <w:tcPr>
            <w:tcW w:w="1843" w:type="dxa"/>
            <w:shd w:val="clear" w:color="auto" w:fill="auto"/>
          </w:tcPr>
          <w:p w14:paraId="54E61F48" w14:textId="77777777" w:rsidR="00790A0D" w:rsidRPr="00DD47DF" w:rsidRDefault="00790A0D" w:rsidP="006D2F5F">
            <w:pPr>
              <w:pStyle w:val="Tabulka"/>
              <w:jc w:val="left"/>
              <w:rPr>
                <w:rFonts w:cs="Calibri"/>
              </w:rPr>
            </w:pPr>
            <w:r w:rsidRPr="00DD47DF">
              <w:rPr>
                <w:rFonts w:cs="Calibri"/>
              </w:rPr>
              <w:t>• je založena na analýze silných a slabých stránek, příležitostí a hrozeb nebo podobné analýze s cílem soustředit zdroje na omezený soubor priorit v oblasti výzkumu a inovací,</w:t>
            </w:r>
          </w:p>
        </w:tc>
        <w:tc>
          <w:tcPr>
            <w:tcW w:w="1134" w:type="dxa"/>
            <w:shd w:val="clear" w:color="auto" w:fill="auto"/>
          </w:tcPr>
          <w:p w14:paraId="1B4AE9FF" w14:textId="77777777" w:rsidR="00790A0D" w:rsidRPr="00DD47DF" w:rsidRDefault="00865021" w:rsidP="006D2F5F">
            <w:pPr>
              <w:pStyle w:val="Tabulka"/>
              <w:jc w:val="left"/>
              <w:rPr>
                <w:rFonts w:cs="Calibri"/>
              </w:rPr>
            </w:pPr>
            <w:r w:rsidRPr="00DD47DF">
              <w:rPr>
                <w:rFonts w:cs="Calibri"/>
              </w:rPr>
              <w:t>ano</w:t>
            </w:r>
          </w:p>
        </w:tc>
        <w:tc>
          <w:tcPr>
            <w:tcW w:w="2126" w:type="dxa"/>
            <w:shd w:val="clear" w:color="auto" w:fill="auto"/>
          </w:tcPr>
          <w:p w14:paraId="23FF9123" w14:textId="77777777" w:rsidR="00790A0D" w:rsidRPr="0069482B" w:rsidRDefault="00580034" w:rsidP="006D2F5F">
            <w:pPr>
              <w:rPr>
                <w:sz w:val="22"/>
                <w:szCs w:val="22"/>
              </w:rPr>
            </w:pPr>
            <w:hyperlink r:id="rId109" w:history="1">
              <w:r w:rsidR="0069482B" w:rsidRPr="0069482B">
                <w:rPr>
                  <w:rStyle w:val="Hypertextovodkaz"/>
                  <w:sz w:val="22"/>
                  <w:szCs w:val="22"/>
                </w:rPr>
                <w:t>http://www.msmt.cz/strukturalni-fondy/ris3-strategie-cr</w:t>
              </w:r>
            </w:hyperlink>
          </w:p>
        </w:tc>
        <w:tc>
          <w:tcPr>
            <w:tcW w:w="4394" w:type="dxa"/>
            <w:shd w:val="clear" w:color="auto" w:fill="auto"/>
          </w:tcPr>
          <w:p w14:paraId="1E6FB9B8" w14:textId="77777777" w:rsidR="002F562B" w:rsidRPr="00DD47DF" w:rsidRDefault="00865021" w:rsidP="002F562B">
            <w:pPr>
              <w:rPr>
                <w:sz w:val="22"/>
                <w:szCs w:val="22"/>
              </w:rPr>
            </w:pPr>
            <w:r w:rsidRPr="00DD47DF">
              <w:rPr>
                <w:sz w:val="22"/>
                <w:szCs w:val="22"/>
              </w:rPr>
              <w:t>Národní RIS3 je zpracovávána v návaznosti na stávající strategické dokumenty ČR (Aktualizace NP VaVaI, Národní inovační strategie ČR (NIS), Strategie mezinárodní konkurenceschopnosti pro období 2012 až 2020 (SMK), Priority orientovaného výzkumu ad.), ale opírá se i o nové vlastní analýzy (včetně SWOT), které poskytují rámec pro přesnější zacílení navrhovaných intervencí, a dále též i o řadu analýz jiných subjektů .Oblasti specializace RIS3 (vertikální a horizontální priority) budou dále zpřesňovány v návaznosti na kontinuálně probíhající proces „entrepreneurial discovery“ a také v návaznosti na rozpracování krajských příloh a na uplatnění principu entrepreneurial discovery v jednotlivých regionech. EK bude průběžně informována o postupu dalších kol jednání inovačních platforem (nejbližší 2 kola jednání jsou plánována v březnu a září 2015).</w:t>
            </w:r>
          </w:p>
        </w:tc>
      </w:tr>
      <w:tr w:rsidR="00790A0D" w:rsidRPr="00DD47DF" w14:paraId="0BEFE7E7" w14:textId="77777777" w:rsidTr="006D2F5F">
        <w:tc>
          <w:tcPr>
            <w:tcW w:w="1752" w:type="dxa"/>
            <w:vMerge/>
            <w:shd w:val="clear" w:color="auto" w:fill="auto"/>
          </w:tcPr>
          <w:p w14:paraId="5BED24A4" w14:textId="77777777" w:rsidR="00790A0D" w:rsidRPr="00DD47DF" w:rsidRDefault="00790A0D" w:rsidP="006D2F5F">
            <w:pPr>
              <w:pStyle w:val="Tabulka"/>
              <w:jc w:val="left"/>
              <w:rPr>
                <w:rFonts w:cs="Calibri"/>
                <w:b/>
              </w:rPr>
            </w:pPr>
          </w:p>
        </w:tc>
        <w:tc>
          <w:tcPr>
            <w:tcW w:w="1701" w:type="dxa"/>
            <w:vMerge/>
            <w:shd w:val="clear" w:color="auto" w:fill="auto"/>
          </w:tcPr>
          <w:p w14:paraId="33A38756" w14:textId="77777777" w:rsidR="00790A0D" w:rsidRPr="00DD47DF" w:rsidRDefault="00790A0D" w:rsidP="006D2F5F">
            <w:pPr>
              <w:pStyle w:val="Tabulka"/>
              <w:jc w:val="left"/>
              <w:rPr>
                <w:rFonts w:cs="Calibri"/>
              </w:rPr>
            </w:pPr>
          </w:p>
        </w:tc>
        <w:tc>
          <w:tcPr>
            <w:tcW w:w="1276" w:type="dxa"/>
            <w:vMerge/>
            <w:shd w:val="clear" w:color="auto" w:fill="auto"/>
          </w:tcPr>
          <w:p w14:paraId="238BCD54" w14:textId="77777777" w:rsidR="00790A0D" w:rsidRPr="00DD47DF" w:rsidRDefault="00790A0D" w:rsidP="006D2F5F">
            <w:pPr>
              <w:pStyle w:val="Tabulka"/>
              <w:jc w:val="left"/>
              <w:rPr>
                <w:rFonts w:cs="Calibri"/>
              </w:rPr>
            </w:pPr>
          </w:p>
        </w:tc>
        <w:tc>
          <w:tcPr>
            <w:tcW w:w="1843" w:type="dxa"/>
            <w:shd w:val="clear" w:color="auto" w:fill="auto"/>
          </w:tcPr>
          <w:p w14:paraId="4550D63F" w14:textId="77777777" w:rsidR="00790A0D" w:rsidRPr="00DD47DF" w:rsidRDefault="00790A0D" w:rsidP="006D2F5F">
            <w:pPr>
              <w:pStyle w:val="Tabulka"/>
              <w:jc w:val="left"/>
              <w:rPr>
                <w:rFonts w:cs="Calibri"/>
              </w:rPr>
            </w:pPr>
            <w:r w:rsidRPr="00DD47DF">
              <w:rPr>
                <w:rFonts w:cs="Calibri"/>
              </w:rPr>
              <w:t xml:space="preserve">• nastiňuje opatření na podporu soukromých investic v oblasti výzkumu a technického </w:t>
            </w:r>
            <w:r w:rsidRPr="00DD47DF">
              <w:rPr>
                <w:rFonts w:cs="Calibri"/>
              </w:rPr>
              <w:lastRenderedPageBreak/>
              <w:t>rozvoje,</w:t>
            </w:r>
          </w:p>
        </w:tc>
        <w:tc>
          <w:tcPr>
            <w:tcW w:w="1134" w:type="dxa"/>
            <w:shd w:val="clear" w:color="auto" w:fill="auto"/>
          </w:tcPr>
          <w:p w14:paraId="49381AB5" w14:textId="77777777" w:rsidR="00790A0D" w:rsidRPr="00DD47DF" w:rsidRDefault="00865021" w:rsidP="006D2F5F">
            <w:pPr>
              <w:pStyle w:val="Tabulka"/>
              <w:jc w:val="left"/>
              <w:rPr>
                <w:rFonts w:cs="Calibri"/>
              </w:rPr>
            </w:pPr>
            <w:r w:rsidRPr="00DD47DF">
              <w:rPr>
                <w:rFonts w:cs="Calibri"/>
              </w:rPr>
              <w:lastRenderedPageBreak/>
              <w:t>ano</w:t>
            </w:r>
          </w:p>
        </w:tc>
        <w:tc>
          <w:tcPr>
            <w:tcW w:w="2126" w:type="dxa"/>
            <w:shd w:val="clear" w:color="auto" w:fill="auto"/>
          </w:tcPr>
          <w:p w14:paraId="08657A35" w14:textId="77777777" w:rsidR="00790A0D" w:rsidRPr="00DD47DF" w:rsidRDefault="00580034" w:rsidP="006D2F5F">
            <w:pPr>
              <w:pStyle w:val="Tabulka"/>
              <w:jc w:val="left"/>
              <w:rPr>
                <w:rFonts w:cs="Calibri"/>
              </w:rPr>
            </w:pPr>
            <w:hyperlink r:id="rId110" w:history="1">
              <w:r w:rsidR="0069482B" w:rsidRPr="00DD47DF">
                <w:rPr>
                  <w:rStyle w:val="Hypertextovodkaz"/>
                </w:rPr>
                <w:t>http://www.msmt.cz/strukturalni-fondy/ris3-strategie-cr</w:t>
              </w:r>
            </w:hyperlink>
          </w:p>
        </w:tc>
        <w:tc>
          <w:tcPr>
            <w:tcW w:w="4394" w:type="dxa"/>
            <w:shd w:val="clear" w:color="auto" w:fill="auto"/>
          </w:tcPr>
          <w:p w14:paraId="380DFEAC" w14:textId="77777777" w:rsidR="00790A0D" w:rsidRPr="00DD47DF" w:rsidRDefault="00865021" w:rsidP="00865021">
            <w:pPr>
              <w:spacing w:after="120"/>
              <w:jc w:val="both"/>
              <w:rPr>
                <w:sz w:val="22"/>
                <w:szCs w:val="22"/>
              </w:rPr>
            </w:pPr>
            <w:r w:rsidRPr="00DD47DF">
              <w:rPr>
                <w:sz w:val="22"/>
                <w:szCs w:val="22"/>
              </w:rPr>
              <w:t>Zpracovaná Národní RIS3 strategie obsahuje opatření na podporu soukromých investic ve VaVaI ve všech 6 identifikovaných klíčových oblastech změn (více viz kap. 6 Národní RIS3)</w:t>
            </w:r>
            <w:r w:rsidR="000C4C8E" w:rsidRPr="00DD47DF">
              <w:rPr>
                <w:sz w:val="22"/>
                <w:szCs w:val="22"/>
              </w:rPr>
              <w:t>.</w:t>
            </w:r>
          </w:p>
        </w:tc>
      </w:tr>
      <w:tr w:rsidR="00790A0D" w:rsidRPr="00DD47DF" w14:paraId="79BA8060" w14:textId="77777777" w:rsidTr="006D2F5F">
        <w:tc>
          <w:tcPr>
            <w:tcW w:w="1752" w:type="dxa"/>
            <w:vMerge/>
            <w:shd w:val="clear" w:color="auto" w:fill="auto"/>
          </w:tcPr>
          <w:p w14:paraId="0DA02D1D" w14:textId="77777777" w:rsidR="00790A0D" w:rsidRPr="00DD47DF" w:rsidRDefault="00790A0D" w:rsidP="006D2F5F">
            <w:pPr>
              <w:pStyle w:val="Tabulka"/>
              <w:jc w:val="left"/>
              <w:rPr>
                <w:rFonts w:cs="Calibri"/>
                <w:b/>
              </w:rPr>
            </w:pPr>
          </w:p>
        </w:tc>
        <w:tc>
          <w:tcPr>
            <w:tcW w:w="1701" w:type="dxa"/>
            <w:vMerge/>
            <w:shd w:val="clear" w:color="auto" w:fill="auto"/>
          </w:tcPr>
          <w:p w14:paraId="54EF5ABF" w14:textId="77777777" w:rsidR="00790A0D" w:rsidRPr="00DD47DF" w:rsidRDefault="00790A0D" w:rsidP="006D2F5F">
            <w:pPr>
              <w:pStyle w:val="Tabulka"/>
              <w:jc w:val="left"/>
              <w:rPr>
                <w:rFonts w:cs="Calibri"/>
              </w:rPr>
            </w:pPr>
          </w:p>
        </w:tc>
        <w:tc>
          <w:tcPr>
            <w:tcW w:w="1276" w:type="dxa"/>
            <w:vMerge/>
            <w:shd w:val="clear" w:color="auto" w:fill="auto"/>
          </w:tcPr>
          <w:p w14:paraId="7D79277A" w14:textId="77777777" w:rsidR="00790A0D" w:rsidRPr="00DD47DF" w:rsidRDefault="00790A0D" w:rsidP="006D2F5F">
            <w:pPr>
              <w:pStyle w:val="Tabulka"/>
              <w:jc w:val="left"/>
              <w:rPr>
                <w:rFonts w:cs="Calibri"/>
              </w:rPr>
            </w:pPr>
          </w:p>
        </w:tc>
        <w:tc>
          <w:tcPr>
            <w:tcW w:w="1843" w:type="dxa"/>
            <w:shd w:val="clear" w:color="auto" w:fill="auto"/>
          </w:tcPr>
          <w:p w14:paraId="2BEC6836" w14:textId="77777777" w:rsidR="00790A0D" w:rsidRPr="00DD47DF" w:rsidRDefault="00790A0D" w:rsidP="006D2F5F">
            <w:pPr>
              <w:pStyle w:val="Tabulka"/>
              <w:jc w:val="left"/>
              <w:rPr>
                <w:rFonts w:cs="Calibri"/>
              </w:rPr>
            </w:pPr>
            <w:r w:rsidRPr="00DD47DF">
              <w:rPr>
                <w:rFonts w:cs="Calibri"/>
              </w:rPr>
              <w:t>•obsahuje mechanismus sledování</w:t>
            </w:r>
          </w:p>
        </w:tc>
        <w:tc>
          <w:tcPr>
            <w:tcW w:w="1134" w:type="dxa"/>
            <w:shd w:val="clear" w:color="auto" w:fill="auto"/>
          </w:tcPr>
          <w:p w14:paraId="2766A0E2" w14:textId="77777777" w:rsidR="00790A0D" w:rsidRPr="00DD47DF" w:rsidRDefault="00790A0D" w:rsidP="006D2F5F">
            <w:pPr>
              <w:pStyle w:val="Tabulka"/>
              <w:jc w:val="left"/>
              <w:rPr>
                <w:rFonts w:cs="Calibri"/>
              </w:rPr>
            </w:pPr>
            <w:r w:rsidRPr="00DD47DF">
              <w:rPr>
                <w:rFonts w:cs="Calibri"/>
              </w:rPr>
              <w:t>ne</w:t>
            </w:r>
          </w:p>
        </w:tc>
        <w:tc>
          <w:tcPr>
            <w:tcW w:w="2126" w:type="dxa"/>
            <w:shd w:val="clear" w:color="auto" w:fill="auto"/>
          </w:tcPr>
          <w:p w14:paraId="2736B999" w14:textId="77777777" w:rsidR="00790A0D" w:rsidRPr="00DD47DF" w:rsidRDefault="00790A0D" w:rsidP="006D2F5F">
            <w:pPr>
              <w:pStyle w:val="Tabulka"/>
              <w:jc w:val="left"/>
              <w:rPr>
                <w:rFonts w:cs="Calibri"/>
              </w:rPr>
            </w:pPr>
          </w:p>
        </w:tc>
        <w:tc>
          <w:tcPr>
            <w:tcW w:w="4394" w:type="dxa"/>
            <w:shd w:val="clear" w:color="auto" w:fill="auto"/>
          </w:tcPr>
          <w:p w14:paraId="797ADE99" w14:textId="77777777" w:rsidR="00790A0D" w:rsidRPr="00DD47DF" w:rsidRDefault="00865021" w:rsidP="006D2F5F">
            <w:pPr>
              <w:pStyle w:val="Tabulka"/>
              <w:spacing w:before="0" w:after="0"/>
              <w:jc w:val="left"/>
            </w:pPr>
            <w:r w:rsidRPr="00DD47DF">
              <w:t>Monitorování Národní RIS3 strategie je rozpracováno v subkapitole 7.2 textu Národní RIS3, s důrazem na monitorovací zprávy a roli jednotlivých orgánů při jejich zpracování a na získávání vstupů pro monitorování z úrovně operačních programů a orgánů zodpovědných za implementaci národních podpůrných nástrojů. Metodika monitorování bude na základě požadavku EK dopracována popisem role krajských subjektů při monitorování intervencí RIS3, které jsou realizovány z krajské úrovně jako součást intervencí navržených v krajských přílohách Národní RIS3. Dále bude také dopracován a aktualizován návrh monitorovacích indikátorů Národní RIS3 (vše do termínu duben 2015).</w:t>
            </w:r>
          </w:p>
        </w:tc>
      </w:tr>
      <w:tr w:rsidR="00790A0D" w:rsidRPr="00DD47DF" w14:paraId="6C1DDC52" w14:textId="77777777" w:rsidTr="006D2F5F">
        <w:tc>
          <w:tcPr>
            <w:tcW w:w="1752" w:type="dxa"/>
            <w:vMerge/>
            <w:shd w:val="clear" w:color="auto" w:fill="auto"/>
          </w:tcPr>
          <w:p w14:paraId="02DBD931" w14:textId="77777777" w:rsidR="00790A0D" w:rsidRPr="00DD47DF" w:rsidRDefault="00790A0D" w:rsidP="006D2F5F">
            <w:pPr>
              <w:pStyle w:val="Tabulka"/>
              <w:jc w:val="left"/>
              <w:rPr>
                <w:rFonts w:cs="Calibri"/>
                <w:b/>
              </w:rPr>
            </w:pPr>
          </w:p>
        </w:tc>
        <w:tc>
          <w:tcPr>
            <w:tcW w:w="1701" w:type="dxa"/>
            <w:vMerge/>
            <w:shd w:val="clear" w:color="auto" w:fill="auto"/>
          </w:tcPr>
          <w:p w14:paraId="4727D915" w14:textId="77777777" w:rsidR="00790A0D" w:rsidRPr="00DD47DF" w:rsidRDefault="00790A0D" w:rsidP="006D2F5F">
            <w:pPr>
              <w:pStyle w:val="Tabulka"/>
              <w:jc w:val="left"/>
              <w:rPr>
                <w:rFonts w:cs="Calibri"/>
              </w:rPr>
            </w:pPr>
          </w:p>
        </w:tc>
        <w:tc>
          <w:tcPr>
            <w:tcW w:w="1276" w:type="dxa"/>
            <w:vMerge/>
            <w:shd w:val="clear" w:color="auto" w:fill="auto"/>
          </w:tcPr>
          <w:p w14:paraId="5EBFE1E2" w14:textId="77777777" w:rsidR="00790A0D" w:rsidRPr="00DD47DF" w:rsidRDefault="00790A0D" w:rsidP="006D2F5F">
            <w:pPr>
              <w:pStyle w:val="Tabulka"/>
              <w:jc w:val="left"/>
              <w:rPr>
                <w:rFonts w:cs="Calibri"/>
              </w:rPr>
            </w:pPr>
          </w:p>
        </w:tc>
        <w:tc>
          <w:tcPr>
            <w:tcW w:w="1843" w:type="dxa"/>
            <w:shd w:val="clear" w:color="auto" w:fill="auto"/>
          </w:tcPr>
          <w:p w14:paraId="02497120" w14:textId="77777777" w:rsidR="00790A0D" w:rsidRPr="00DD47DF" w:rsidRDefault="00790A0D" w:rsidP="006D2F5F">
            <w:pPr>
              <w:pStyle w:val="Tabulka"/>
              <w:jc w:val="left"/>
              <w:rPr>
                <w:rFonts w:cs="Calibri"/>
              </w:rPr>
            </w:pPr>
            <w:r w:rsidRPr="00DD47DF">
              <w:rPr>
                <w:rFonts w:cs="Calibri"/>
              </w:rPr>
              <w:t>Byl přijat rámec, který vymezuje dostupné rozpočtové prostředky na výzkum a inovace.</w:t>
            </w:r>
          </w:p>
        </w:tc>
        <w:tc>
          <w:tcPr>
            <w:tcW w:w="1134" w:type="dxa"/>
            <w:shd w:val="clear" w:color="auto" w:fill="auto"/>
          </w:tcPr>
          <w:p w14:paraId="568579D1" w14:textId="77777777" w:rsidR="00790A0D" w:rsidRPr="00DD47DF" w:rsidRDefault="00790A0D" w:rsidP="006D2F5F">
            <w:pPr>
              <w:pStyle w:val="Tabulka"/>
              <w:jc w:val="left"/>
              <w:rPr>
                <w:rFonts w:cs="Calibri"/>
              </w:rPr>
            </w:pPr>
            <w:r w:rsidRPr="00DD47DF">
              <w:rPr>
                <w:rFonts w:cs="Calibri"/>
              </w:rPr>
              <w:t>ne</w:t>
            </w:r>
          </w:p>
        </w:tc>
        <w:tc>
          <w:tcPr>
            <w:tcW w:w="2126" w:type="dxa"/>
            <w:shd w:val="clear" w:color="auto" w:fill="auto"/>
          </w:tcPr>
          <w:p w14:paraId="599F32AC" w14:textId="77777777" w:rsidR="00790A0D" w:rsidRPr="00DD47DF" w:rsidRDefault="00790A0D" w:rsidP="006D2F5F">
            <w:pPr>
              <w:pStyle w:val="Tabulka"/>
              <w:jc w:val="left"/>
              <w:rPr>
                <w:rFonts w:cs="Calibri"/>
              </w:rPr>
            </w:pPr>
          </w:p>
        </w:tc>
        <w:tc>
          <w:tcPr>
            <w:tcW w:w="4394" w:type="dxa"/>
            <w:shd w:val="clear" w:color="auto" w:fill="auto"/>
          </w:tcPr>
          <w:p w14:paraId="4B67E8F8" w14:textId="77777777" w:rsidR="00790A0D" w:rsidRPr="00DD47DF" w:rsidRDefault="00790A0D" w:rsidP="006D2F5F">
            <w:pPr>
              <w:pStyle w:val="Tabulka"/>
              <w:spacing w:before="0" w:after="0"/>
              <w:jc w:val="left"/>
            </w:pPr>
            <w:r w:rsidRPr="00DD47DF">
              <w:t xml:space="preserve">Obecný rámec pro vymezení dostupných rozpočtových zdrojů a priorit pro financování VaVaI obsahuje NP VaVaI (a její Aktualizace). Z ní vychází principy pro přípravu rozpočtu na VaVaI a následně vlastní návrh a střednědobý výhled rozpočtu na VaVaI, zpracovávaný Radou pro výzkum, vývoj a inovace. </w:t>
            </w:r>
          </w:p>
          <w:p w14:paraId="6C614EED" w14:textId="77777777" w:rsidR="00790A0D" w:rsidRPr="00DD47DF" w:rsidRDefault="00865021" w:rsidP="00865021">
            <w:pPr>
              <w:spacing w:line="280" w:lineRule="exact"/>
              <w:jc w:val="both"/>
              <w:rPr>
                <w:sz w:val="22"/>
                <w:szCs w:val="22"/>
              </w:rPr>
            </w:pPr>
            <w:r w:rsidRPr="00DD47DF">
              <w:t xml:space="preserve"> </w:t>
            </w:r>
            <w:r w:rsidRPr="00DD47DF">
              <w:rPr>
                <w:sz w:val="22"/>
                <w:szCs w:val="22"/>
              </w:rPr>
              <w:t xml:space="preserve">V průběhu roku 2015 bude na základě připomínky EK Úřadem vlády provedena revize zdrojů veřejných rozpočtů na podporu VaVaI (národních i krajských) tak, aby bylo možno diferencovat zdroje určené na implementaci RIS3 a zdroje ostatní (s termínem březen 2015 u krajských zdrojů na rok 2015, a termínem září 2015 u zdrojů národních na rok 2015 </w:t>
            </w:r>
            <w:r w:rsidRPr="00DD47DF">
              <w:rPr>
                <w:sz w:val="22"/>
                <w:szCs w:val="22"/>
              </w:rPr>
              <w:lastRenderedPageBreak/>
              <w:t>s výhledem na roky 2016-17).</w:t>
            </w:r>
          </w:p>
        </w:tc>
      </w:tr>
      <w:tr w:rsidR="00790A0D" w:rsidRPr="00DD47DF" w14:paraId="5115C133" w14:textId="77777777" w:rsidTr="006D2F5F">
        <w:tc>
          <w:tcPr>
            <w:tcW w:w="1752" w:type="dxa"/>
            <w:vMerge w:val="restart"/>
            <w:shd w:val="clear" w:color="auto" w:fill="auto"/>
          </w:tcPr>
          <w:p w14:paraId="509A2A4D" w14:textId="77777777" w:rsidR="00790A0D" w:rsidRPr="00DD47DF" w:rsidRDefault="00790A0D" w:rsidP="006D2F5F">
            <w:pPr>
              <w:pStyle w:val="Tabulka"/>
              <w:jc w:val="left"/>
              <w:rPr>
                <w:rFonts w:cs="Calibri"/>
                <w:b/>
              </w:rPr>
            </w:pPr>
            <w:r w:rsidRPr="00DD47DF">
              <w:rPr>
                <w:rFonts w:cs="Calibri"/>
                <w:b/>
              </w:rPr>
              <w:lastRenderedPageBreak/>
              <w:t>2.1: Digitální růst: Strategický rámec politiky pro digitální růst, který má podněcovat cenově dostupné, kvalitní a interoperabilních soukromé a veřejné služby v oblasti IKT a zvýšit míru jejich využívání občany(včetně zranitelných skupin), podniky a orgány veřejné správy včetně přeshraničních iniciativ</w:t>
            </w:r>
          </w:p>
        </w:tc>
        <w:tc>
          <w:tcPr>
            <w:tcW w:w="1701" w:type="dxa"/>
            <w:vMerge w:val="restart"/>
            <w:shd w:val="clear" w:color="auto" w:fill="auto"/>
          </w:tcPr>
          <w:p w14:paraId="4555B732" w14:textId="77777777" w:rsidR="00790A0D" w:rsidRPr="00DD47DF" w:rsidRDefault="00790A0D" w:rsidP="006D2F5F">
            <w:pPr>
              <w:pStyle w:val="Tabulka"/>
              <w:jc w:val="left"/>
              <w:rPr>
                <w:rFonts w:cs="Calibri"/>
              </w:rPr>
            </w:pPr>
            <w:r w:rsidRPr="00DD47DF">
              <w:rPr>
                <w:rFonts w:cs="Calibri"/>
              </w:rPr>
              <w:t>PO 4 - Rozvoj vysokorychlostních přístupových sítí k internetu a informačních a komunikačních technologií</w:t>
            </w:r>
          </w:p>
          <w:p w14:paraId="0461D03C" w14:textId="77777777" w:rsidR="00790A0D" w:rsidRPr="00DD47DF" w:rsidRDefault="00790A0D" w:rsidP="006D2F5F">
            <w:pPr>
              <w:pStyle w:val="Tabulka"/>
              <w:jc w:val="left"/>
              <w:rPr>
                <w:rFonts w:cs="Calibri"/>
              </w:rPr>
            </w:pPr>
          </w:p>
          <w:p w14:paraId="377E43D2" w14:textId="77777777" w:rsidR="00790A0D" w:rsidRPr="00DD47DF" w:rsidRDefault="00790A0D" w:rsidP="006D2F5F">
            <w:pPr>
              <w:pStyle w:val="Tabulka"/>
              <w:jc w:val="left"/>
              <w:rPr>
                <w:rFonts w:cs="Calibri"/>
              </w:rPr>
            </w:pPr>
          </w:p>
          <w:p w14:paraId="01FCA7B5" w14:textId="77777777" w:rsidR="00790A0D" w:rsidRPr="00DD47DF" w:rsidRDefault="00790A0D" w:rsidP="006D2F5F">
            <w:pPr>
              <w:pStyle w:val="Tabulka"/>
              <w:jc w:val="left"/>
              <w:rPr>
                <w:rFonts w:cs="Calibri"/>
              </w:rPr>
            </w:pPr>
          </w:p>
          <w:p w14:paraId="54BA8B1E" w14:textId="77777777" w:rsidR="00790A0D" w:rsidRPr="00DD47DF" w:rsidRDefault="00790A0D" w:rsidP="006D2F5F">
            <w:pPr>
              <w:pStyle w:val="Tabulka"/>
              <w:jc w:val="left"/>
              <w:rPr>
                <w:rFonts w:cs="Calibri"/>
              </w:rPr>
            </w:pPr>
          </w:p>
          <w:p w14:paraId="1377D8DE" w14:textId="77777777" w:rsidR="00790A0D" w:rsidRPr="00DD47DF" w:rsidRDefault="00790A0D" w:rsidP="006D2F5F">
            <w:pPr>
              <w:pStyle w:val="Tabulka"/>
              <w:jc w:val="left"/>
              <w:rPr>
                <w:rFonts w:cs="Calibri"/>
              </w:rPr>
            </w:pPr>
          </w:p>
        </w:tc>
        <w:tc>
          <w:tcPr>
            <w:tcW w:w="1276" w:type="dxa"/>
            <w:vMerge w:val="restart"/>
            <w:shd w:val="clear" w:color="auto" w:fill="auto"/>
          </w:tcPr>
          <w:p w14:paraId="77C77464" w14:textId="77777777" w:rsidR="00790A0D" w:rsidRPr="00DD47DF" w:rsidRDefault="00790A0D" w:rsidP="006D2F5F">
            <w:pPr>
              <w:pStyle w:val="Tabulka"/>
              <w:jc w:val="left"/>
              <w:rPr>
                <w:rFonts w:cs="Calibri"/>
              </w:rPr>
            </w:pPr>
            <w:r w:rsidRPr="00DD47DF">
              <w:rPr>
                <w:rFonts w:cs="Calibri"/>
              </w:rPr>
              <w:t>Částečně</w:t>
            </w:r>
          </w:p>
          <w:p w14:paraId="39C925ED" w14:textId="77777777" w:rsidR="00790A0D" w:rsidRPr="00DD47DF" w:rsidRDefault="00790A0D" w:rsidP="006D2F5F">
            <w:pPr>
              <w:pStyle w:val="Tabulka"/>
              <w:jc w:val="left"/>
              <w:rPr>
                <w:rFonts w:cs="Calibri"/>
              </w:rPr>
            </w:pPr>
          </w:p>
          <w:p w14:paraId="74C0C9D7" w14:textId="77777777" w:rsidR="00790A0D" w:rsidRPr="00DD47DF" w:rsidRDefault="00790A0D" w:rsidP="006D2F5F">
            <w:pPr>
              <w:pStyle w:val="Tabulka"/>
              <w:jc w:val="left"/>
              <w:rPr>
                <w:rFonts w:cs="Calibri"/>
              </w:rPr>
            </w:pPr>
          </w:p>
          <w:p w14:paraId="230C27A8" w14:textId="77777777" w:rsidR="00790A0D" w:rsidRPr="00DD47DF" w:rsidRDefault="00790A0D" w:rsidP="006D2F5F">
            <w:pPr>
              <w:pStyle w:val="Tabulka"/>
              <w:jc w:val="left"/>
              <w:rPr>
                <w:rFonts w:cs="Calibri"/>
              </w:rPr>
            </w:pPr>
          </w:p>
          <w:p w14:paraId="245A16E6" w14:textId="77777777" w:rsidR="00790A0D" w:rsidRPr="00DD47DF" w:rsidRDefault="00790A0D" w:rsidP="006D2F5F">
            <w:pPr>
              <w:pStyle w:val="Tabulka"/>
              <w:jc w:val="left"/>
              <w:rPr>
                <w:rFonts w:cs="Calibri"/>
              </w:rPr>
            </w:pPr>
          </w:p>
          <w:p w14:paraId="2F2D383E" w14:textId="77777777" w:rsidR="00790A0D" w:rsidRPr="00DD47DF" w:rsidRDefault="00790A0D" w:rsidP="006D2F5F">
            <w:pPr>
              <w:pStyle w:val="Tabulka"/>
              <w:jc w:val="left"/>
              <w:rPr>
                <w:rFonts w:cs="Calibri"/>
              </w:rPr>
            </w:pPr>
          </w:p>
          <w:p w14:paraId="74D36F52" w14:textId="77777777" w:rsidR="00790A0D" w:rsidRPr="00DD47DF" w:rsidRDefault="00790A0D" w:rsidP="006D2F5F">
            <w:pPr>
              <w:pStyle w:val="Tabulka"/>
              <w:jc w:val="left"/>
              <w:rPr>
                <w:rFonts w:cs="Calibri"/>
              </w:rPr>
            </w:pPr>
          </w:p>
          <w:p w14:paraId="6E62A3F5" w14:textId="77777777" w:rsidR="00790A0D" w:rsidRPr="00DD47DF" w:rsidRDefault="00790A0D" w:rsidP="006D2F5F">
            <w:pPr>
              <w:pStyle w:val="Tabulka"/>
              <w:jc w:val="left"/>
              <w:rPr>
                <w:rFonts w:cs="Calibri"/>
              </w:rPr>
            </w:pPr>
          </w:p>
          <w:p w14:paraId="5938E1EB" w14:textId="77777777" w:rsidR="00790A0D" w:rsidRPr="00DD47DF" w:rsidRDefault="00790A0D" w:rsidP="006D2F5F">
            <w:pPr>
              <w:pStyle w:val="Tabulka"/>
              <w:jc w:val="left"/>
              <w:rPr>
                <w:rFonts w:cs="Calibri"/>
              </w:rPr>
            </w:pPr>
          </w:p>
          <w:p w14:paraId="763FCE35" w14:textId="77777777" w:rsidR="00790A0D" w:rsidRPr="00DD47DF" w:rsidRDefault="00790A0D" w:rsidP="006D2F5F">
            <w:pPr>
              <w:pStyle w:val="Tabulka"/>
              <w:jc w:val="left"/>
              <w:rPr>
                <w:rFonts w:cs="Calibri"/>
              </w:rPr>
            </w:pPr>
          </w:p>
          <w:p w14:paraId="08D6BF4B" w14:textId="77777777" w:rsidR="00790A0D" w:rsidRPr="00DD47DF" w:rsidRDefault="00790A0D" w:rsidP="006D2F5F">
            <w:pPr>
              <w:pStyle w:val="Tabulka"/>
              <w:jc w:val="left"/>
              <w:rPr>
                <w:rFonts w:cs="Calibri"/>
              </w:rPr>
            </w:pPr>
          </w:p>
          <w:p w14:paraId="3175536C" w14:textId="77777777" w:rsidR="00790A0D" w:rsidRPr="00DD47DF" w:rsidRDefault="00790A0D" w:rsidP="006D2F5F">
            <w:pPr>
              <w:pStyle w:val="Tabulka"/>
              <w:jc w:val="left"/>
              <w:rPr>
                <w:rFonts w:cs="Calibri"/>
              </w:rPr>
            </w:pPr>
          </w:p>
        </w:tc>
        <w:tc>
          <w:tcPr>
            <w:tcW w:w="1843" w:type="dxa"/>
            <w:shd w:val="clear" w:color="auto" w:fill="auto"/>
          </w:tcPr>
          <w:p w14:paraId="7D0E3265" w14:textId="77777777" w:rsidR="00790A0D" w:rsidRPr="00DD47DF" w:rsidRDefault="00790A0D" w:rsidP="006D2F5F">
            <w:pPr>
              <w:pStyle w:val="Tabulka"/>
              <w:jc w:val="left"/>
              <w:rPr>
                <w:rFonts w:cs="Calibri"/>
              </w:rPr>
            </w:pPr>
            <w:r w:rsidRPr="00DD47DF">
              <w:rPr>
                <w:rFonts w:cs="Calibri"/>
              </w:rPr>
              <w:t>V rámci národní nebo regionální strategie pro inteligentní specializaci je vypracován například strategický rámec politiky pro digitální růst, který obsahuje:</w:t>
            </w:r>
          </w:p>
        </w:tc>
        <w:tc>
          <w:tcPr>
            <w:tcW w:w="1134" w:type="dxa"/>
            <w:shd w:val="clear" w:color="auto" w:fill="auto"/>
          </w:tcPr>
          <w:p w14:paraId="24B03691" w14:textId="77777777" w:rsidR="00790A0D" w:rsidRPr="00DD47DF" w:rsidRDefault="00790A0D" w:rsidP="008B1FD2">
            <w:pPr>
              <w:pStyle w:val="Tabulka"/>
              <w:jc w:val="left"/>
              <w:rPr>
                <w:rFonts w:cs="Calibri"/>
              </w:rPr>
            </w:pPr>
            <w:r w:rsidRPr="00DD47DF">
              <w:rPr>
                <w:rFonts w:cs="Calibri"/>
              </w:rPr>
              <w:t xml:space="preserve"> </w:t>
            </w:r>
            <w:r w:rsidR="008B1FD2" w:rsidRPr="00DD47DF">
              <w:rPr>
                <w:rFonts w:cs="Calibri"/>
              </w:rPr>
              <w:t>ne</w:t>
            </w:r>
          </w:p>
        </w:tc>
        <w:tc>
          <w:tcPr>
            <w:tcW w:w="2126" w:type="dxa"/>
            <w:shd w:val="clear" w:color="auto" w:fill="auto"/>
          </w:tcPr>
          <w:p w14:paraId="172A257B" w14:textId="77777777" w:rsidR="00790A0D" w:rsidRPr="00DD47DF" w:rsidRDefault="00580034" w:rsidP="006D2F5F">
            <w:pPr>
              <w:pStyle w:val="Tabulka"/>
              <w:jc w:val="left"/>
              <w:rPr>
                <w:rStyle w:val="Hypertextovodkaz"/>
                <w:rFonts w:cs="Calibri"/>
              </w:rPr>
            </w:pPr>
            <w:hyperlink r:id="rId111" w:history="1">
              <w:r w:rsidR="00790A0D" w:rsidRPr="00DD47DF">
                <w:rPr>
                  <w:rStyle w:val="Hypertextovodkaz"/>
                  <w:rFonts w:cs="Calibri"/>
                </w:rPr>
                <w:t>http://www.mpo.cz/dokument83642.html</w:t>
              </w:r>
            </w:hyperlink>
          </w:p>
          <w:p w14:paraId="46EC9A21" w14:textId="77777777" w:rsidR="00790A0D" w:rsidRPr="00DD47DF" w:rsidRDefault="00790A0D" w:rsidP="006D2F5F">
            <w:pPr>
              <w:pStyle w:val="Tabulka"/>
              <w:jc w:val="left"/>
              <w:rPr>
                <w:rStyle w:val="Hypertextovodkaz"/>
                <w:rFonts w:cs="Calibri"/>
              </w:rPr>
            </w:pPr>
          </w:p>
          <w:p w14:paraId="7DE1B189" w14:textId="77777777" w:rsidR="00790A0D" w:rsidRPr="00DD47DF" w:rsidRDefault="00580034" w:rsidP="006D2F5F">
            <w:pPr>
              <w:pStyle w:val="Tabulka"/>
              <w:jc w:val="left"/>
              <w:rPr>
                <w:rFonts w:cs="Calibri"/>
              </w:rPr>
            </w:pPr>
            <w:hyperlink r:id="rId112" w:history="1">
              <w:r w:rsidR="00790A0D" w:rsidRPr="00DD47DF">
                <w:rPr>
                  <w:rStyle w:val="Hypertextovodkaz"/>
                  <w:rFonts w:cs="Calibri"/>
                </w:rPr>
                <w:t>http://www.mpo.cz/assets/cz/e-komunikace-a-posta/Internet/2013/4/Digi_esko_v.2.0.pdf</w:t>
              </w:r>
            </w:hyperlink>
          </w:p>
          <w:p w14:paraId="5664D4E5" w14:textId="77777777" w:rsidR="00790A0D" w:rsidRPr="00DD47DF" w:rsidRDefault="00790A0D" w:rsidP="006D2F5F">
            <w:pPr>
              <w:pStyle w:val="Tabulka"/>
              <w:jc w:val="left"/>
              <w:rPr>
                <w:rFonts w:cs="Calibri"/>
              </w:rPr>
            </w:pPr>
          </w:p>
          <w:p w14:paraId="75484668" w14:textId="77777777" w:rsidR="00790A0D" w:rsidRPr="00DD47DF" w:rsidRDefault="00580034" w:rsidP="006D2F5F">
            <w:pPr>
              <w:pStyle w:val="Tabulka"/>
              <w:jc w:val="left"/>
              <w:rPr>
                <w:rStyle w:val="Hypertextovodkaz"/>
                <w:rFonts w:cs="Calibri"/>
              </w:rPr>
            </w:pPr>
            <w:hyperlink r:id="rId113" w:history="1">
              <w:r w:rsidR="00790A0D" w:rsidRPr="00DD47DF">
                <w:rPr>
                  <w:rStyle w:val="Hypertextovodkaz"/>
                  <w:rFonts w:cs="Calibri"/>
                </w:rPr>
                <w:t>http://www.mpo.cz/dokument119071.html</w:t>
              </w:r>
            </w:hyperlink>
          </w:p>
          <w:p w14:paraId="70C1EF3A" w14:textId="77777777" w:rsidR="00986263" w:rsidRPr="00DD47DF" w:rsidRDefault="00986263" w:rsidP="006D2F5F">
            <w:pPr>
              <w:pStyle w:val="Tabulka"/>
              <w:jc w:val="left"/>
              <w:rPr>
                <w:rFonts w:cs="Calibri"/>
              </w:rPr>
            </w:pPr>
          </w:p>
          <w:p w14:paraId="5B037031" w14:textId="77777777" w:rsidR="00790A0D" w:rsidRPr="00DD47DF" w:rsidRDefault="00580034" w:rsidP="006D2F5F">
            <w:pPr>
              <w:pStyle w:val="Tabulka"/>
              <w:jc w:val="left"/>
            </w:pPr>
            <w:hyperlink r:id="rId114" w:history="1">
              <w:r w:rsidR="00986263" w:rsidRPr="00DD47DF">
                <w:rPr>
                  <w:rStyle w:val="Hypertextovodkaz"/>
                </w:rPr>
                <w:t>http://www.mvcr.cz/odk2/clanek/odbor-verejne-spravy-dozoru-a-kontroly.aspx?q=Y2hudW09OQ%3d%3d</w:t>
              </w:r>
            </w:hyperlink>
          </w:p>
          <w:p w14:paraId="2DF3E5D6" w14:textId="77777777" w:rsidR="00986263" w:rsidRPr="00DD47DF" w:rsidRDefault="00986263" w:rsidP="006D2F5F">
            <w:pPr>
              <w:pStyle w:val="Tabulka"/>
              <w:jc w:val="left"/>
            </w:pPr>
          </w:p>
          <w:p w14:paraId="00C51B03" w14:textId="77777777" w:rsidR="00986263" w:rsidRPr="00DD47DF" w:rsidRDefault="00580034" w:rsidP="006D2F5F">
            <w:pPr>
              <w:pStyle w:val="Tabulka"/>
              <w:jc w:val="left"/>
              <w:rPr>
                <w:rStyle w:val="Hypertextovodkaz"/>
              </w:rPr>
            </w:pPr>
            <w:hyperlink r:id="rId115" w:history="1">
              <w:r w:rsidR="00986263" w:rsidRPr="00DD47DF">
                <w:rPr>
                  <w:rStyle w:val="Hypertextovodkaz"/>
                </w:rPr>
                <w:t>http://databaze-strategie.cz/cz/mv/strategie/strategicky-ramec-rozvoje-verejne-spravy-ceske-republiky-pro-obdobi-2014-2020</w:t>
              </w:r>
            </w:hyperlink>
          </w:p>
          <w:p w14:paraId="24A9F485" w14:textId="77777777" w:rsidR="00C529B4" w:rsidRPr="00DD47DF" w:rsidRDefault="00580034" w:rsidP="006D2F5F">
            <w:pPr>
              <w:pStyle w:val="Tabulka"/>
              <w:jc w:val="left"/>
            </w:pPr>
            <w:hyperlink r:id="rId116" w:history="1">
              <w:r w:rsidR="00C529B4" w:rsidRPr="00DD47DF">
                <w:rPr>
                  <w:rStyle w:val="Hypertextovodkaz"/>
                </w:rPr>
                <w:t>http://www.msmt.cz/uploads/OP_VVV/Narodni_RIS3_strategie_sc</w:t>
              </w:r>
              <w:r w:rsidR="00C529B4" w:rsidRPr="00DD47DF">
                <w:rPr>
                  <w:rStyle w:val="Hypertextovodkaz"/>
                </w:rPr>
                <w:lastRenderedPageBreak/>
                <w:t>hvalena_vladou_8._12._2014.pdf</w:t>
              </w:r>
            </w:hyperlink>
          </w:p>
        </w:tc>
        <w:tc>
          <w:tcPr>
            <w:tcW w:w="4394" w:type="dxa"/>
            <w:shd w:val="clear" w:color="auto" w:fill="auto"/>
          </w:tcPr>
          <w:p w14:paraId="27164F29" w14:textId="77777777" w:rsidR="00790A0D" w:rsidRPr="00DD47DF" w:rsidRDefault="00790A0D" w:rsidP="006D2F5F">
            <w:pPr>
              <w:pStyle w:val="Tabulka"/>
              <w:spacing w:before="0" w:after="0"/>
              <w:jc w:val="left"/>
              <w:rPr>
                <w:rFonts w:cs="Calibri"/>
              </w:rPr>
            </w:pPr>
            <w:r w:rsidRPr="00DD47DF">
              <w:rPr>
                <w:rFonts w:cs="Calibri"/>
              </w:rPr>
              <w:lastRenderedPageBreak/>
              <w:t xml:space="preserve">Opatření jsou obsažena v dokumentech: </w:t>
            </w:r>
            <w:r w:rsidRPr="00DD47DF">
              <w:rPr>
                <w:rFonts w:cs="Calibri"/>
              </w:rPr>
              <w:br/>
              <w:t>1. Státní politika v elektronických komunikacích - Digitální Česko</w:t>
            </w:r>
          </w:p>
          <w:p w14:paraId="1DE7A9C2" w14:textId="77777777" w:rsidR="00790A0D" w:rsidRPr="00DD47DF" w:rsidRDefault="00790A0D" w:rsidP="006D2F5F">
            <w:pPr>
              <w:pStyle w:val="Tabulka"/>
              <w:spacing w:before="0" w:after="0"/>
              <w:jc w:val="left"/>
              <w:rPr>
                <w:rFonts w:cs="Calibri"/>
              </w:rPr>
            </w:pPr>
            <w:r w:rsidRPr="00DD47DF">
              <w:rPr>
                <w:rFonts w:cs="Calibri"/>
              </w:rPr>
              <w:t>2."Digitální Česko 2.0 - Cesta k digitální ekonomice"</w:t>
            </w:r>
          </w:p>
          <w:p w14:paraId="5B6828BE" w14:textId="77777777" w:rsidR="00790A0D" w:rsidRPr="00DD47DF" w:rsidRDefault="00790A0D" w:rsidP="006D2F5F">
            <w:pPr>
              <w:pStyle w:val="Tabulka"/>
              <w:spacing w:before="0" w:after="0"/>
              <w:jc w:val="left"/>
              <w:rPr>
                <w:rFonts w:cs="Calibri"/>
              </w:rPr>
            </w:pPr>
            <w:r w:rsidRPr="00DD47DF">
              <w:rPr>
                <w:rFonts w:cs="Calibri"/>
              </w:rPr>
              <w:t>3. Koncepce podpory malých a středních podnikatelů na období let 2014 – 2020</w:t>
            </w:r>
          </w:p>
          <w:p w14:paraId="45EFD821" w14:textId="77777777" w:rsidR="00790A0D" w:rsidRPr="00DD47DF" w:rsidRDefault="00790A0D" w:rsidP="006D2F5F">
            <w:pPr>
              <w:pStyle w:val="Tabulka"/>
              <w:spacing w:before="0" w:after="0"/>
              <w:jc w:val="left"/>
            </w:pPr>
            <w:r w:rsidRPr="00DD47DF">
              <w:t>4. Strategický rámec rozvoje veřejné správy České republiky pro období 2014-2020</w:t>
            </w:r>
            <w:r w:rsidR="00C529B4" w:rsidRPr="00DD47DF">
              <w:t xml:space="preserve"> a z něj vycházející Implementační plán č. 3.</w:t>
            </w:r>
          </w:p>
          <w:p w14:paraId="1D4336B8" w14:textId="77777777" w:rsidR="00790A0D" w:rsidRPr="00DD47DF" w:rsidRDefault="00790A0D" w:rsidP="006D2F5F">
            <w:pPr>
              <w:pStyle w:val="Tabulka"/>
              <w:jc w:val="left"/>
              <w:rPr>
                <w:rFonts w:cs="Calibri"/>
              </w:rPr>
            </w:pPr>
            <w:r w:rsidRPr="00DD47DF">
              <w:rPr>
                <w:rFonts w:cs="Calibri"/>
              </w:rPr>
              <w:t>Průběžně se vyhodnocuje implementace programu ICT a strategické služby (program podpory OPPI).</w:t>
            </w:r>
          </w:p>
          <w:p w14:paraId="3696E452" w14:textId="77777777" w:rsidR="00790A0D" w:rsidRPr="00DD47DF" w:rsidRDefault="00790A0D" w:rsidP="006D2F5F">
            <w:pPr>
              <w:pStyle w:val="Tabulka"/>
              <w:jc w:val="left"/>
              <w:rPr>
                <w:rFonts w:cs="Calibri"/>
              </w:rPr>
            </w:pPr>
            <w:r w:rsidRPr="00DD47DF">
              <w:rPr>
                <w:rFonts w:cs="Calibri"/>
              </w:rPr>
              <w:t>Z pohledu intervencí OP PIK je strategický rámec vytvořen.</w:t>
            </w:r>
          </w:p>
          <w:p w14:paraId="55C1EF76" w14:textId="77777777" w:rsidR="00790A0D" w:rsidRPr="00DD47DF" w:rsidRDefault="00790A0D" w:rsidP="006D2F5F">
            <w:pPr>
              <w:pStyle w:val="Tabulka"/>
              <w:jc w:val="left"/>
              <w:rPr>
                <w:rFonts w:cs="Calibri"/>
              </w:rPr>
            </w:pPr>
            <w:r w:rsidRPr="00DD47DF">
              <w:rPr>
                <w:rFonts w:cs="Calibri"/>
              </w:rPr>
              <w:t>Strategický rámec bude dotvořen také Národní strategií inteligentní specializace (RIS3) (blíže viz podmínka 1.1).</w:t>
            </w:r>
          </w:p>
          <w:p w14:paraId="0C0C5B43" w14:textId="77777777" w:rsidR="00790A0D" w:rsidRPr="00DD47DF" w:rsidRDefault="00790A0D" w:rsidP="006D2F5F">
            <w:pPr>
              <w:pStyle w:val="Tabulka"/>
              <w:jc w:val="left"/>
              <w:rPr>
                <w:rFonts w:cs="Calibri"/>
              </w:rPr>
            </w:pPr>
            <w:r w:rsidRPr="00DD47DF">
              <w:rPr>
                <w:rFonts w:cs="Calibri"/>
              </w:rPr>
              <w:t>Byl zpracován akční plán ke splnění podmínky</w:t>
            </w:r>
            <w:r w:rsidR="009617DC" w:rsidRPr="00DD47DF">
              <w:rPr>
                <w:rFonts w:cs="Calibri"/>
              </w:rPr>
              <w:t xml:space="preserve"> (Příloha II)</w:t>
            </w:r>
            <w:r w:rsidRPr="00DD47DF">
              <w:rPr>
                <w:rFonts w:cs="Calibri"/>
              </w:rPr>
              <w:t>.</w:t>
            </w:r>
          </w:p>
        </w:tc>
      </w:tr>
      <w:tr w:rsidR="00790A0D" w:rsidRPr="00DD47DF" w14:paraId="18C95A7F" w14:textId="77777777" w:rsidTr="006D2F5F">
        <w:tc>
          <w:tcPr>
            <w:tcW w:w="1752" w:type="dxa"/>
            <w:vMerge/>
            <w:shd w:val="clear" w:color="auto" w:fill="auto"/>
          </w:tcPr>
          <w:p w14:paraId="4AA1B3A5" w14:textId="77777777" w:rsidR="00790A0D" w:rsidRPr="00DD47DF" w:rsidRDefault="00790A0D" w:rsidP="006D2F5F">
            <w:pPr>
              <w:pStyle w:val="Tabulka"/>
              <w:rPr>
                <w:rFonts w:cs="Calibri"/>
                <w:b/>
              </w:rPr>
            </w:pPr>
          </w:p>
        </w:tc>
        <w:tc>
          <w:tcPr>
            <w:tcW w:w="1701" w:type="dxa"/>
            <w:vMerge/>
            <w:shd w:val="clear" w:color="auto" w:fill="auto"/>
          </w:tcPr>
          <w:p w14:paraId="38758CEB" w14:textId="77777777" w:rsidR="00790A0D" w:rsidRPr="00DD47DF" w:rsidRDefault="00790A0D" w:rsidP="006D2F5F">
            <w:pPr>
              <w:pStyle w:val="Tabulka"/>
              <w:rPr>
                <w:rFonts w:cs="Calibri"/>
              </w:rPr>
            </w:pPr>
          </w:p>
        </w:tc>
        <w:tc>
          <w:tcPr>
            <w:tcW w:w="1276" w:type="dxa"/>
            <w:vMerge/>
            <w:shd w:val="clear" w:color="auto" w:fill="auto"/>
          </w:tcPr>
          <w:p w14:paraId="10ABF442" w14:textId="77777777" w:rsidR="00790A0D" w:rsidRPr="00DD47DF" w:rsidRDefault="00790A0D" w:rsidP="006D2F5F">
            <w:pPr>
              <w:pStyle w:val="Tabulka"/>
              <w:rPr>
                <w:rFonts w:cs="Calibri"/>
              </w:rPr>
            </w:pPr>
          </w:p>
        </w:tc>
        <w:tc>
          <w:tcPr>
            <w:tcW w:w="1843" w:type="dxa"/>
            <w:shd w:val="clear" w:color="auto" w:fill="auto"/>
          </w:tcPr>
          <w:p w14:paraId="2FC63622" w14:textId="77777777" w:rsidR="00790A0D" w:rsidRPr="00DD47DF" w:rsidRDefault="00790A0D" w:rsidP="006D2F5F">
            <w:pPr>
              <w:pStyle w:val="Tabulka"/>
              <w:jc w:val="left"/>
              <w:rPr>
                <w:rFonts w:cs="Calibri"/>
              </w:rPr>
            </w:pPr>
            <w:r w:rsidRPr="00DD47DF">
              <w:rPr>
                <w:rFonts w:cs="Calibri"/>
              </w:rPr>
              <w:t>• sestavování rozpočtu a stanovování pořadí důležitosti opatření prostřednictvím SWOT nebo podobné analýzy provedené v souladu se srovnávacím přehledem Digitální agendy pro Evropu,</w:t>
            </w:r>
          </w:p>
        </w:tc>
        <w:tc>
          <w:tcPr>
            <w:tcW w:w="1134" w:type="dxa"/>
            <w:shd w:val="clear" w:color="auto" w:fill="auto"/>
          </w:tcPr>
          <w:p w14:paraId="62178BFE" w14:textId="77777777" w:rsidR="00790A0D" w:rsidRPr="00DD47DF" w:rsidRDefault="00790A0D" w:rsidP="006D2F5F">
            <w:pPr>
              <w:pStyle w:val="Tabulka"/>
              <w:jc w:val="left"/>
              <w:rPr>
                <w:rFonts w:cs="Calibri"/>
              </w:rPr>
            </w:pPr>
            <w:r w:rsidRPr="00DD47DF">
              <w:rPr>
                <w:rFonts w:cs="Calibri"/>
              </w:rPr>
              <w:t xml:space="preserve"> ano</w:t>
            </w:r>
          </w:p>
        </w:tc>
        <w:tc>
          <w:tcPr>
            <w:tcW w:w="2126" w:type="dxa"/>
            <w:shd w:val="clear" w:color="auto" w:fill="auto"/>
          </w:tcPr>
          <w:p w14:paraId="3C6280B7" w14:textId="77777777" w:rsidR="00790A0D" w:rsidRPr="00DD47DF" w:rsidRDefault="00580034" w:rsidP="006D2F5F">
            <w:pPr>
              <w:pStyle w:val="Tabulka"/>
              <w:jc w:val="left"/>
              <w:rPr>
                <w:rFonts w:cs="Calibri"/>
              </w:rPr>
            </w:pPr>
            <w:hyperlink r:id="rId117" w:history="1">
              <w:r w:rsidR="00790A0D" w:rsidRPr="00DD47DF">
                <w:rPr>
                  <w:rStyle w:val="Hypertextovodkaz"/>
                  <w:rFonts w:cs="Calibri"/>
                </w:rPr>
                <w:t>http://www.mpo.cz/assets/cz/e-komunikace-a-posta/Internet/2013/4/Digi_esko_v.2.0.pdf</w:t>
              </w:r>
            </w:hyperlink>
          </w:p>
          <w:p w14:paraId="29F0C679" w14:textId="77777777" w:rsidR="00790A0D" w:rsidRPr="00DD47DF" w:rsidRDefault="00790A0D" w:rsidP="006D2F5F">
            <w:pPr>
              <w:pStyle w:val="Tabulka"/>
              <w:jc w:val="left"/>
              <w:rPr>
                <w:rFonts w:cs="Calibri"/>
              </w:rPr>
            </w:pPr>
          </w:p>
          <w:p w14:paraId="14FAC935" w14:textId="77777777" w:rsidR="00790A0D" w:rsidRPr="00DD47DF" w:rsidRDefault="00580034" w:rsidP="006D2F5F">
            <w:pPr>
              <w:pStyle w:val="Tabulka"/>
              <w:jc w:val="left"/>
              <w:rPr>
                <w:rFonts w:cs="Calibri"/>
              </w:rPr>
            </w:pPr>
            <w:hyperlink r:id="rId118" w:history="1">
              <w:r w:rsidR="00790A0D" w:rsidRPr="00DD47DF">
                <w:rPr>
                  <w:rStyle w:val="Hypertextovodkaz"/>
                  <w:rFonts w:cs="Calibri"/>
                </w:rPr>
                <w:t>http://www.mpo.cz/dokument119071.html</w:t>
              </w:r>
            </w:hyperlink>
          </w:p>
          <w:p w14:paraId="7405A109" w14:textId="77777777" w:rsidR="00790A0D" w:rsidRPr="00DD47DF" w:rsidRDefault="00790A0D" w:rsidP="006D2F5F">
            <w:pPr>
              <w:pStyle w:val="Tabulka"/>
              <w:jc w:val="left"/>
              <w:rPr>
                <w:rFonts w:cs="Calibri"/>
              </w:rPr>
            </w:pPr>
          </w:p>
        </w:tc>
        <w:tc>
          <w:tcPr>
            <w:tcW w:w="4394" w:type="dxa"/>
            <w:shd w:val="clear" w:color="auto" w:fill="auto"/>
          </w:tcPr>
          <w:p w14:paraId="16FFCB9C" w14:textId="77777777" w:rsidR="00790A0D" w:rsidRPr="00DD47DF" w:rsidRDefault="00790A0D" w:rsidP="006D2F5F">
            <w:pPr>
              <w:pStyle w:val="Tabulka"/>
              <w:jc w:val="left"/>
              <w:rPr>
                <w:rFonts w:cs="Calibri"/>
              </w:rPr>
            </w:pPr>
            <w:r w:rsidRPr="00DD47DF">
              <w:rPr>
                <w:rFonts w:cs="Calibri"/>
              </w:rPr>
              <w:t>Digitální Česko 2.0 obsahuje hlavní cíle vlády do r. 2020, vč. shrnutí analýz provedených před zpracováním strategie na základě údajů od ČTÚ a ČSÚ. Na základě těchto analýz je Digitální Česko 2 postaveno na 3 pilířích: podpoře rozvoje vysokorychlostních přístupových sítí k internetu, zvyšování dostupnosti a rozvoj digitálních služeb a posilování digitální gramotnosti a elektronických dovedností uživatelů sítí a služeb. Tyto 3 pilíře jsou stanoveny nadčasově, plně odpovídají smyslu a účelu Digitální agendy pro Evropu a dále jsou rozpracovávány navrženými opatřeními. Proto jsou dále průběžně sledovány stěžejní hospodářské a ekonomické aspekty prostřednictvím pravidelných zpráv ČSÚ viz např. nejnovější:</w:t>
            </w:r>
          </w:p>
          <w:p w14:paraId="6E32E487" w14:textId="77777777" w:rsidR="00790A0D" w:rsidRPr="00DD47DF" w:rsidRDefault="00790A0D" w:rsidP="006D2F5F">
            <w:pPr>
              <w:pStyle w:val="Tabulka"/>
              <w:jc w:val="left"/>
              <w:rPr>
                <w:rFonts w:cs="Calibri"/>
              </w:rPr>
            </w:pPr>
            <w:r w:rsidRPr="00DD47DF">
              <w:rPr>
                <w:rFonts w:cs="Calibri"/>
              </w:rPr>
              <w:t xml:space="preserve">Informační a komunikační technologie v podnikatelském sektoru za rok 2013, Informační ekonomika v číslech 2013, Informační společnost v číslech 2013. </w:t>
            </w:r>
          </w:p>
          <w:p w14:paraId="31760C79" w14:textId="77777777" w:rsidR="00790A0D" w:rsidRPr="00DD47DF" w:rsidRDefault="00790A0D" w:rsidP="006D2F5F">
            <w:pPr>
              <w:pStyle w:val="Tabulka"/>
              <w:jc w:val="left"/>
              <w:rPr>
                <w:rFonts w:cs="Calibri"/>
              </w:rPr>
            </w:pPr>
            <w:r w:rsidRPr="00DD47DF">
              <w:rPr>
                <w:rFonts w:cs="Calibri"/>
              </w:rPr>
              <w:t>Koncepce podpory malých a středních podnikatelů 2014 – 2020 obsahuje analýzu sektoru MSP v oblasti ICT.</w:t>
            </w:r>
          </w:p>
        </w:tc>
      </w:tr>
      <w:tr w:rsidR="00790A0D" w:rsidRPr="00DD47DF" w14:paraId="05E76FB9" w14:textId="77777777" w:rsidTr="006D2F5F">
        <w:tc>
          <w:tcPr>
            <w:tcW w:w="1752" w:type="dxa"/>
            <w:vMerge/>
            <w:shd w:val="clear" w:color="auto" w:fill="auto"/>
          </w:tcPr>
          <w:p w14:paraId="7FA17A1F" w14:textId="77777777" w:rsidR="00790A0D" w:rsidRPr="00DD47DF" w:rsidRDefault="00790A0D" w:rsidP="006D2F5F">
            <w:pPr>
              <w:pStyle w:val="Tabulka"/>
              <w:jc w:val="left"/>
              <w:rPr>
                <w:rFonts w:cs="Calibri"/>
                <w:b/>
              </w:rPr>
            </w:pPr>
          </w:p>
        </w:tc>
        <w:tc>
          <w:tcPr>
            <w:tcW w:w="1701" w:type="dxa"/>
            <w:vMerge/>
            <w:shd w:val="clear" w:color="auto" w:fill="auto"/>
          </w:tcPr>
          <w:p w14:paraId="70D6FC1B" w14:textId="77777777" w:rsidR="00790A0D" w:rsidRPr="00DD47DF" w:rsidRDefault="00790A0D" w:rsidP="006D2F5F">
            <w:pPr>
              <w:pStyle w:val="Tabulka"/>
              <w:jc w:val="left"/>
              <w:rPr>
                <w:rFonts w:cs="Calibri"/>
              </w:rPr>
            </w:pPr>
          </w:p>
        </w:tc>
        <w:tc>
          <w:tcPr>
            <w:tcW w:w="1276" w:type="dxa"/>
            <w:vMerge/>
            <w:shd w:val="clear" w:color="auto" w:fill="auto"/>
          </w:tcPr>
          <w:p w14:paraId="029299F7" w14:textId="77777777" w:rsidR="00790A0D" w:rsidRPr="00DD47DF" w:rsidRDefault="00790A0D" w:rsidP="006D2F5F">
            <w:pPr>
              <w:pStyle w:val="Tabulka"/>
              <w:jc w:val="left"/>
              <w:rPr>
                <w:rFonts w:cs="Calibri"/>
              </w:rPr>
            </w:pPr>
          </w:p>
        </w:tc>
        <w:tc>
          <w:tcPr>
            <w:tcW w:w="1843" w:type="dxa"/>
            <w:shd w:val="clear" w:color="auto" w:fill="auto"/>
          </w:tcPr>
          <w:p w14:paraId="4D293979" w14:textId="77777777" w:rsidR="00790A0D" w:rsidRPr="00DD47DF" w:rsidRDefault="00790A0D" w:rsidP="006D2F5F">
            <w:pPr>
              <w:pStyle w:val="Tabulka"/>
              <w:jc w:val="left"/>
              <w:rPr>
                <w:rFonts w:cs="Calibri"/>
              </w:rPr>
            </w:pPr>
            <w:r w:rsidRPr="00DD47DF">
              <w:rPr>
                <w:rFonts w:cs="Calibri"/>
              </w:rPr>
              <w:t xml:space="preserve">• měla být provedena analýza vyváženosti podpory poptávky a nabídky </w:t>
            </w:r>
            <w:r w:rsidRPr="00DD47DF">
              <w:rPr>
                <w:rFonts w:cs="Calibri"/>
              </w:rPr>
              <w:lastRenderedPageBreak/>
              <w:t>informačních a komunikačních technologií (IKT),</w:t>
            </w:r>
          </w:p>
        </w:tc>
        <w:tc>
          <w:tcPr>
            <w:tcW w:w="1134" w:type="dxa"/>
            <w:shd w:val="clear" w:color="auto" w:fill="auto"/>
          </w:tcPr>
          <w:p w14:paraId="418EBF43" w14:textId="77777777" w:rsidR="00790A0D" w:rsidRPr="00DD47DF" w:rsidRDefault="00790A0D" w:rsidP="006D2F5F">
            <w:pPr>
              <w:pStyle w:val="Tabulka"/>
              <w:jc w:val="left"/>
              <w:rPr>
                <w:rFonts w:cs="Calibri"/>
              </w:rPr>
            </w:pPr>
            <w:r w:rsidRPr="00DD47DF">
              <w:rPr>
                <w:rFonts w:cs="Calibri"/>
              </w:rPr>
              <w:lastRenderedPageBreak/>
              <w:t xml:space="preserve"> ano</w:t>
            </w:r>
          </w:p>
        </w:tc>
        <w:tc>
          <w:tcPr>
            <w:tcW w:w="2126" w:type="dxa"/>
            <w:shd w:val="clear" w:color="auto" w:fill="auto"/>
          </w:tcPr>
          <w:p w14:paraId="1C4C31D4" w14:textId="77777777" w:rsidR="00790A0D" w:rsidRPr="00DD47DF" w:rsidRDefault="00580034" w:rsidP="006D2F5F">
            <w:pPr>
              <w:pStyle w:val="Tabulka"/>
              <w:jc w:val="left"/>
              <w:rPr>
                <w:rStyle w:val="Hypertextovodkaz"/>
                <w:rFonts w:cs="Calibri"/>
              </w:rPr>
            </w:pPr>
            <w:hyperlink r:id="rId119" w:history="1">
              <w:r w:rsidR="00790A0D" w:rsidRPr="00DD47DF">
                <w:rPr>
                  <w:rStyle w:val="Hypertextovodkaz"/>
                  <w:rFonts w:cs="Calibri"/>
                </w:rPr>
                <w:t>http://www.mpo.cz/dokument83642.html</w:t>
              </w:r>
            </w:hyperlink>
          </w:p>
          <w:p w14:paraId="3220463E" w14:textId="77777777" w:rsidR="00790A0D" w:rsidRPr="00DD47DF" w:rsidRDefault="00790A0D" w:rsidP="006D2F5F">
            <w:pPr>
              <w:pStyle w:val="Tabulka"/>
              <w:jc w:val="left"/>
              <w:rPr>
                <w:rStyle w:val="Hypertextovodkaz"/>
                <w:rFonts w:cs="Calibri"/>
              </w:rPr>
            </w:pPr>
          </w:p>
          <w:p w14:paraId="1B338328" w14:textId="77777777" w:rsidR="00790A0D" w:rsidRPr="00DD47DF" w:rsidRDefault="00580034" w:rsidP="006D2F5F">
            <w:pPr>
              <w:pStyle w:val="Tabulka"/>
              <w:jc w:val="left"/>
              <w:rPr>
                <w:rFonts w:cs="Calibri"/>
              </w:rPr>
            </w:pPr>
            <w:hyperlink r:id="rId120" w:history="1">
              <w:r w:rsidR="00790A0D" w:rsidRPr="00DD47DF">
                <w:rPr>
                  <w:rStyle w:val="Hypertextovodkaz"/>
                  <w:rFonts w:cs="Calibri"/>
                </w:rPr>
                <w:t>http://www.mpo.cz/assets/cz/e-komunikace-</w:t>
              </w:r>
              <w:r w:rsidR="00790A0D" w:rsidRPr="00DD47DF">
                <w:rPr>
                  <w:rStyle w:val="Hypertextovodkaz"/>
                  <w:rFonts w:cs="Calibri"/>
                </w:rPr>
                <w:lastRenderedPageBreak/>
                <w:t>a-posta/Internet/2013/4/Digi_esko_v.2.0.pdf</w:t>
              </w:r>
            </w:hyperlink>
          </w:p>
          <w:p w14:paraId="223B45B6" w14:textId="77777777" w:rsidR="00790A0D" w:rsidRPr="00DD47DF" w:rsidRDefault="00790A0D" w:rsidP="006D2F5F">
            <w:pPr>
              <w:pStyle w:val="Tabulka"/>
              <w:jc w:val="left"/>
              <w:rPr>
                <w:rFonts w:cs="Calibri"/>
              </w:rPr>
            </w:pPr>
          </w:p>
          <w:p w14:paraId="56EE2916" w14:textId="77777777" w:rsidR="00790A0D" w:rsidRPr="00DD47DF" w:rsidRDefault="00580034" w:rsidP="006D2F5F">
            <w:pPr>
              <w:pStyle w:val="Tabulka"/>
              <w:jc w:val="left"/>
              <w:rPr>
                <w:rFonts w:cs="Calibri"/>
              </w:rPr>
            </w:pPr>
            <w:hyperlink r:id="rId121" w:history="1">
              <w:r w:rsidR="00790A0D" w:rsidRPr="00DD47DF">
                <w:rPr>
                  <w:rStyle w:val="Hypertextovodkaz"/>
                  <w:rFonts w:cs="Calibri"/>
                </w:rPr>
                <w:t>http://www.mpo.cz/dokument119071.html</w:t>
              </w:r>
            </w:hyperlink>
          </w:p>
        </w:tc>
        <w:tc>
          <w:tcPr>
            <w:tcW w:w="4394" w:type="dxa"/>
            <w:shd w:val="clear" w:color="auto" w:fill="auto"/>
          </w:tcPr>
          <w:p w14:paraId="09AB2642" w14:textId="77777777" w:rsidR="00790A0D" w:rsidRPr="00DD47DF" w:rsidRDefault="00790A0D" w:rsidP="006D2F5F">
            <w:pPr>
              <w:pStyle w:val="Tabulka"/>
              <w:jc w:val="left"/>
              <w:rPr>
                <w:rFonts w:cs="Calibri"/>
              </w:rPr>
            </w:pPr>
            <w:r w:rsidRPr="00DD47DF">
              <w:rPr>
                <w:rFonts w:cs="Calibri"/>
              </w:rPr>
              <w:lastRenderedPageBreak/>
              <w:t xml:space="preserve">Stěžejním cílem Strategie Digitální Česko je redukovat „digitální propast“ v oblasti přístupu k vysokorychlostnímu internetu mezi venkovskými sídly a městy. Digitální Česko 2 obsahuje vyhodnocení stávající nabídky </w:t>
            </w:r>
            <w:r w:rsidRPr="00DD47DF">
              <w:rPr>
                <w:rFonts w:cs="Calibri"/>
              </w:rPr>
              <w:lastRenderedPageBreak/>
              <w:t>dostupnosti vysokorychlostního přístupu k internetu a nutnosti její podpory. Digitální Česko 2 obsahuje výběr socioekonomických a jiných analýz zejména ze zpráv ČSÚ. Výsledkem těchto analýz bylo stanovení hlavních cílů vlády, které lze jednoduše vyjádřit třemi výše zmíněnými klíčovými pilíři. Koncepce podpory malých a středních podnikatelů na období let 2014 – 2020 obsahuje analýzu nezbytnosti podpory ICT pro růst MSP.</w:t>
            </w:r>
          </w:p>
        </w:tc>
      </w:tr>
      <w:tr w:rsidR="00790A0D" w:rsidRPr="00DD47DF" w14:paraId="1BE4B1D4" w14:textId="77777777" w:rsidTr="006D2F5F">
        <w:tc>
          <w:tcPr>
            <w:tcW w:w="1752" w:type="dxa"/>
            <w:vMerge/>
            <w:shd w:val="clear" w:color="auto" w:fill="auto"/>
          </w:tcPr>
          <w:p w14:paraId="1AB5B319" w14:textId="77777777" w:rsidR="00790A0D" w:rsidRPr="00DD47DF" w:rsidRDefault="00790A0D" w:rsidP="006D2F5F">
            <w:pPr>
              <w:pStyle w:val="Tabulka"/>
              <w:jc w:val="left"/>
              <w:rPr>
                <w:rFonts w:cs="Calibri"/>
                <w:b/>
              </w:rPr>
            </w:pPr>
          </w:p>
        </w:tc>
        <w:tc>
          <w:tcPr>
            <w:tcW w:w="1701" w:type="dxa"/>
            <w:vMerge/>
            <w:shd w:val="clear" w:color="auto" w:fill="auto"/>
          </w:tcPr>
          <w:p w14:paraId="47A483F9" w14:textId="77777777" w:rsidR="00790A0D" w:rsidRPr="00DD47DF" w:rsidRDefault="00790A0D" w:rsidP="006D2F5F">
            <w:pPr>
              <w:pStyle w:val="Tabulka"/>
              <w:jc w:val="left"/>
              <w:rPr>
                <w:rFonts w:cs="Calibri"/>
              </w:rPr>
            </w:pPr>
          </w:p>
        </w:tc>
        <w:tc>
          <w:tcPr>
            <w:tcW w:w="1276" w:type="dxa"/>
            <w:vMerge/>
            <w:shd w:val="clear" w:color="auto" w:fill="auto"/>
          </w:tcPr>
          <w:p w14:paraId="0D67C2A6" w14:textId="77777777" w:rsidR="00790A0D" w:rsidRPr="00DD47DF" w:rsidRDefault="00790A0D" w:rsidP="006D2F5F">
            <w:pPr>
              <w:pStyle w:val="Tabulka"/>
              <w:jc w:val="left"/>
              <w:rPr>
                <w:rFonts w:cs="Calibri"/>
              </w:rPr>
            </w:pPr>
          </w:p>
        </w:tc>
        <w:tc>
          <w:tcPr>
            <w:tcW w:w="1843" w:type="dxa"/>
            <w:shd w:val="clear" w:color="auto" w:fill="auto"/>
          </w:tcPr>
          <w:p w14:paraId="60A30FF4" w14:textId="77777777" w:rsidR="00790A0D" w:rsidRPr="00DD47DF" w:rsidRDefault="00790A0D" w:rsidP="006D2F5F">
            <w:pPr>
              <w:pStyle w:val="Tabulka"/>
              <w:jc w:val="left"/>
              <w:rPr>
                <w:rFonts w:cs="Calibri"/>
              </w:rPr>
            </w:pPr>
            <w:r w:rsidRPr="00DD47DF">
              <w:rPr>
                <w:rFonts w:cs="Calibri"/>
              </w:rPr>
              <w:t>• ukazatele umožňující měření pokroku zásahů v oblastech, jako jsou počítačová gramotnost, digitální začlenění, digitální přístupnost a pokrok v elektronickém zdravotnictví v mezích článku 168 SFEU, jež jsou v souladu se stávajícími příslušnými unijními, vnitrostátními nebo regionálními strategiemi pro jednotlivá odvětví,</w:t>
            </w:r>
          </w:p>
        </w:tc>
        <w:tc>
          <w:tcPr>
            <w:tcW w:w="1134" w:type="dxa"/>
            <w:shd w:val="clear" w:color="auto" w:fill="auto"/>
          </w:tcPr>
          <w:p w14:paraId="6AA7DF93"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453905BC" w14:textId="77777777" w:rsidR="00790A0D" w:rsidRPr="00DD47DF" w:rsidRDefault="00580034" w:rsidP="006D2F5F">
            <w:pPr>
              <w:pStyle w:val="Tabulka"/>
              <w:jc w:val="left"/>
              <w:rPr>
                <w:rStyle w:val="Hypertextovodkaz"/>
                <w:rFonts w:cs="Calibri"/>
              </w:rPr>
            </w:pPr>
            <w:hyperlink r:id="rId122" w:history="1">
              <w:r w:rsidR="00790A0D" w:rsidRPr="00DD47DF">
                <w:rPr>
                  <w:rStyle w:val="Hypertextovodkaz"/>
                  <w:rFonts w:cs="Calibri"/>
                </w:rPr>
                <w:t>http://www.mpo.cz/assets/cz/e-komunikace-a-posta/Internet/2013/4/Digi_esko_v.2.0.pdf</w:t>
              </w:r>
            </w:hyperlink>
          </w:p>
          <w:p w14:paraId="379DD663" w14:textId="77777777" w:rsidR="000F5C52" w:rsidRPr="00DD47DF" w:rsidRDefault="000F5C52" w:rsidP="006D2F5F">
            <w:pPr>
              <w:pStyle w:val="Tabulka"/>
              <w:jc w:val="left"/>
              <w:rPr>
                <w:rStyle w:val="Hypertextovodkaz"/>
                <w:rFonts w:cs="Calibri"/>
              </w:rPr>
            </w:pPr>
          </w:p>
          <w:p w14:paraId="3D366CAE" w14:textId="77777777" w:rsidR="000F5C52" w:rsidRPr="00DD47DF" w:rsidRDefault="00580034" w:rsidP="006D2F5F">
            <w:pPr>
              <w:pStyle w:val="Tabulka"/>
              <w:jc w:val="left"/>
            </w:pPr>
            <w:hyperlink r:id="rId123" w:history="1">
              <w:r w:rsidR="000F5C52" w:rsidRPr="00DD47DF">
                <w:rPr>
                  <w:rStyle w:val="Hypertextovodkaz"/>
                </w:rPr>
                <w:t>http://www.mvcr.cz/odk2/clanek/odbor-verejne-spravy-dozoru-a-kontroly.aspx?q=Y2hudW09OQ%3d%3d</w:t>
              </w:r>
            </w:hyperlink>
          </w:p>
          <w:p w14:paraId="6BF42B72" w14:textId="77777777" w:rsidR="000F5C52" w:rsidRPr="00DD47DF" w:rsidRDefault="000F5C52" w:rsidP="006D2F5F">
            <w:pPr>
              <w:pStyle w:val="Tabulka"/>
              <w:jc w:val="left"/>
            </w:pPr>
          </w:p>
          <w:p w14:paraId="1133A542" w14:textId="77777777" w:rsidR="000F5C52" w:rsidRPr="00DD47DF" w:rsidRDefault="00580034" w:rsidP="006D2F5F">
            <w:pPr>
              <w:pStyle w:val="Tabulka"/>
              <w:jc w:val="left"/>
              <w:rPr>
                <w:rFonts w:cs="Calibri"/>
              </w:rPr>
            </w:pPr>
            <w:hyperlink r:id="rId124" w:history="1">
              <w:r w:rsidR="000F5C52" w:rsidRPr="00DD47DF">
                <w:rPr>
                  <w:rStyle w:val="Hypertextovodkaz"/>
                </w:rPr>
                <w:t>http://databaze-strategie.cz/cz/mv/strategie/strategicky-ramec-rozvoje-verejne-spravy-ceske-republiky-pro-obdobi-2014-2020</w:t>
              </w:r>
            </w:hyperlink>
          </w:p>
          <w:p w14:paraId="05579DBC" w14:textId="77777777" w:rsidR="00790A0D" w:rsidRPr="00DD47DF" w:rsidRDefault="00790A0D" w:rsidP="006D2F5F">
            <w:pPr>
              <w:pStyle w:val="Tabulka"/>
              <w:jc w:val="left"/>
              <w:rPr>
                <w:rFonts w:cs="Calibri"/>
              </w:rPr>
            </w:pPr>
          </w:p>
        </w:tc>
        <w:tc>
          <w:tcPr>
            <w:tcW w:w="4394" w:type="dxa"/>
            <w:shd w:val="clear" w:color="auto" w:fill="auto"/>
          </w:tcPr>
          <w:p w14:paraId="0D4AF716" w14:textId="77777777" w:rsidR="00790A0D" w:rsidRPr="00DD47DF" w:rsidRDefault="00EE4A3B" w:rsidP="006D2F5F">
            <w:pPr>
              <w:pStyle w:val="Tabulka"/>
              <w:spacing w:before="0" w:after="0"/>
              <w:jc w:val="left"/>
              <w:rPr>
                <w:rFonts w:cs="Calibri"/>
              </w:rPr>
            </w:pPr>
            <w:r w:rsidRPr="00DD47DF">
              <w:rPr>
                <w:rFonts w:cs="Calibri"/>
              </w:rPr>
              <w:t>Kritérium je pro OP PIK nerelevantní (není uplatněna IP 2c).</w:t>
            </w:r>
            <w:r w:rsidR="00790A0D" w:rsidRPr="00DD47DF">
              <w:rPr>
                <w:rFonts w:cs="Calibri"/>
              </w:rPr>
              <w:t xml:space="preserve">Oblast je součástí Digitálního Česka 2.0, kapitola 5.6. Digitální gramotnost, elektronické dovednosti (e-skills). </w:t>
            </w:r>
          </w:p>
          <w:p w14:paraId="0FF5CCE7" w14:textId="77777777" w:rsidR="00790A0D" w:rsidRPr="00DD47DF" w:rsidRDefault="00790A0D" w:rsidP="006D2F5F">
            <w:pPr>
              <w:pStyle w:val="Tabulka"/>
              <w:jc w:val="left"/>
            </w:pPr>
            <w:r w:rsidRPr="00DD47DF">
              <w:t xml:space="preserve">Oblast je naplňována vytvořením a realizací </w:t>
            </w:r>
            <w:r w:rsidR="00260EA3" w:rsidRPr="00DD47DF">
              <w:rPr>
                <w:rFonts w:cs="Calibri"/>
              </w:rPr>
              <w:t>„Strategie digitální gramotnosti ČR na období 2015 – 2020“</w:t>
            </w:r>
            <w:r w:rsidRPr="00DD47DF">
              <w:t xml:space="preserve"> v gesci MPSV </w:t>
            </w:r>
            <w:r w:rsidR="00A8674B" w:rsidRPr="00DD47DF">
              <w:t>(spolugestor</w:t>
            </w:r>
            <w:r w:rsidRPr="00DD47DF">
              <w:t xml:space="preserve"> MŠMT</w:t>
            </w:r>
            <w:r w:rsidR="00A8674B" w:rsidRPr="00DD47DF">
              <w:t>) , která bude navazovat na Strategii digitálního vzdělávání (gesce MŠMT).</w:t>
            </w:r>
            <w:r w:rsidRPr="00DD47DF">
              <w:t xml:space="preserve"> </w:t>
            </w:r>
            <w:r w:rsidR="009617DC" w:rsidRPr="00DD47DF">
              <w:t>S</w:t>
            </w:r>
            <w:r w:rsidRPr="00DD47DF">
              <w:t>chválení je plánováno do konce 2 Q. 2015. Součástí této strategie budou ukazatele umožňující měření pokroku v oblasti počítačové gramotnosti a digitálního začlenění.</w:t>
            </w:r>
          </w:p>
          <w:p w14:paraId="63C27F73" w14:textId="77777777" w:rsidR="00790A0D" w:rsidRPr="00DD47DF" w:rsidRDefault="00790A0D" w:rsidP="006D2F5F">
            <w:pPr>
              <w:pStyle w:val="Tabulka"/>
              <w:jc w:val="left"/>
            </w:pPr>
            <w:r w:rsidRPr="00DD47DF">
              <w:t>Rozvoj digitální gramotnosti občanů je také řešen v </w:t>
            </w:r>
            <w:r w:rsidR="00260EA3" w:rsidRPr="00DD47DF">
              <w:t xml:space="preserve">Národní </w:t>
            </w:r>
            <w:r w:rsidR="009D57C1" w:rsidRPr="00DD47DF">
              <w:t>RIS3</w:t>
            </w:r>
            <w:r w:rsidR="00260EA3" w:rsidRPr="00DD47DF">
              <w:t xml:space="preserve"> strategii</w:t>
            </w:r>
            <w:r w:rsidR="00260EA3" w:rsidRPr="00DD47DF">
              <w:rPr>
                <w:rFonts w:ascii="Tahoma" w:hAnsi="Tahoma" w:cs="Tahoma"/>
                <w:color w:val="303030"/>
              </w:rPr>
              <w:t xml:space="preserve"> (</w:t>
            </w:r>
            <w:r w:rsidR="00260EA3" w:rsidRPr="00DD47DF">
              <w:rPr>
                <w:color w:val="303030"/>
              </w:rPr>
              <w:t>usnesení vlády č. 1028/2014) , klíčová oblast změn  E</w:t>
            </w:r>
            <w:r w:rsidRPr="00DD47DF">
              <w:t>.</w:t>
            </w:r>
            <w:r w:rsidR="00260EA3" w:rsidRPr="00DD47DF" w:rsidDel="00260EA3">
              <w:t xml:space="preserve"> </w:t>
            </w:r>
            <w:bookmarkStart w:id="137" w:name="_Toc391886103"/>
            <w:r w:rsidRPr="00DD47DF">
              <w:t>Bude naplňováno prostřednictvím Strategického rámce rozvoje veřejné správy České republiky pro období 2014-2020, konkrétní opatření přijata v Implementačním plánu</w:t>
            </w:r>
            <w:r w:rsidR="00260EA3" w:rsidRPr="00DD47DF">
              <w:t xml:space="preserve"> č. 3</w:t>
            </w:r>
            <w:r w:rsidRPr="00DD47DF">
              <w:t xml:space="preserve"> k tomuto Strategickému rámci.</w:t>
            </w:r>
            <w:bookmarkEnd w:id="137"/>
          </w:p>
          <w:p w14:paraId="37A04E32" w14:textId="77777777" w:rsidR="009617DC" w:rsidRPr="00DD47DF" w:rsidRDefault="009617DC" w:rsidP="00A8674B">
            <w:pPr>
              <w:pStyle w:val="Tabulka"/>
              <w:jc w:val="left"/>
            </w:pPr>
            <w:r w:rsidRPr="00DD47DF">
              <w:lastRenderedPageBreak/>
              <w:t xml:space="preserve">Viz Akční plán </w:t>
            </w:r>
            <w:r w:rsidR="00A8674B" w:rsidRPr="00DD47DF">
              <w:t>(</w:t>
            </w:r>
            <w:r w:rsidRPr="00DD47DF">
              <w:t>Příloha II).</w:t>
            </w:r>
          </w:p>
        </w:tc>
      </w:tr>
      <w:tr w:rsidR="00790A0D" w:rsidRPr="00DD47DF" w14:paraId="7BB46F13" w14:textId="77777777" w:rsidTr="006D2F5F">
        <w:tc>
          <w:tcPr>
            <w:tcW w:w="1752" w:type="dxa"/>
            <w:vMerge/>
            <w:shd w:val="clear" w:color="auto" w:fill="auto"/>
          </w:tcPr>
          <w:p w14:paraId="2F86C771" w14:textId="77777777" w:rsidR="00790A0D" w:rsidRPr="00DD47DF" w:rsidRDefault="00790A0D" w:rsidP="006D2F5F">
            <w:pPr>
              <w:pStyle w:val="Tabulka"/>
              <w:jc w:val="left"/>
              <w:rPr>
                <w:rFonts w:cs="Calibri"/>
                <w:b/>
              </w:rPr>
            </w:pPr>
          </w:p>
        </w:tc>
        <w:tc>
          <w:tcPr>
            <w:tcW w:w="1701" w:type="dxa"/>
            <w:vMerge/>
            <w:shd w:val="clear" w:color="auto" w:fill="auto"/>
          </w:tcPr>
          <w:p w14:paraId="609E0115" w14:textId="77777777" w:rsidR="00790A0D" w:rsidRPr="00DD47DF" w:rsidRDefault="00790A0D" w:rsidP="006D2F5F">
            <w:pPr>
              <w:pStyle w:val="Tabulka"/>
              <w:jc w:val="left"/>
              <w:rPr>
                <w:rFonts w:cs="Calibri"/>
              </w:rPr>
            </w:pPr>
          </w:p>
        </w:tc>
        <w:tc>
          <w:tcPr>
            <w:tcW w:w="1276" w:type="dxa"/>
            <w:vMerge/>
            <w:shd w:val="clear" w:color="auto" w:fill="auto"/>
          </w:tcPr>
          <w:p w14:paraId="289C63F6" w14:textId="77777777" w:rsidR="00790A0D" w:rsidRPr="00DD47DF" w:rsidRDefault="00790A0D" w:rsidP="006D2F5F">
            <w:pPr>
              <w:pStyle w:val="Tabulka"/>
              <w:jc w:val="left"/>
              <w:rPr>
                <w:rFonts w:cs="Calibri"/>
              </w:rPr>
            </w:pPr>
          </w:p>
        </w:tc>
        <w:tc>
          <w:tcPr>
            <w:tcW w:w="1843" w:type="dxa"/>
            <w:shd w:val="clear" w:color="auto" w:fill="auto"/>
          </w:tcPr>
          <w:p w14:paraId="12B3AC56" w14:textId="77777777" w:rsidR="00790A0D" w:rsidRPr="00DD47DF" w:rsidRDefault="00790A0D" w:rsidP="006D2F5F">
            <w:pPr>
              <w:pStyle w:val="Tabulka"/>
              <w:jc w:val="left"/>
              <w:rPr>
                <w:rFonts w:cs="Calibri"/>
              </w:rPr>
            </w:pPr>
            <w:r w:rsidRPr="00DD47DF">
              <w:rPr>
                <w:rFonts w:cs="Calibri"/>
              </w:rPr>
              <w:t>• posouzení potřeb zvýšit budování kapacit v oblasti IKT.</w:t>
            </w:r>
          </w:p>
        </w:tc>
        <w:tc>
          <w:tcPr>
            <w:tcW w:w="1134" w:type="dxa"/>
            <w:shd w:val="clear" w:color="auto" w:fill="auto"/>
          </w:tcPr>
          <w:p w14:paraId="11E71C29" w14:textId="77777777" w:rsidR="00790A0D" w:rsidRPr="00DD47DF" w:rsidRDefault="00790A0D" w:rsidP="006D2F5F">
            <w:pPr>
              <w:pStyle w:val="Tabulka"/>
              <w:jc w:val="left"/>
              <w:rPr>
                <w:rFonts w:cs="Calibri"/>
              </w:rPr>
            </w:pPr>
            <w:r w:rsidRPr="00DD47DF">
              <w:rPr>
                <w:rFonts w:cs="Calibri"/>
              </w:rPr>
              <w:t xml:space="preserve"> ano</w:t>
            </w:r>
          </w:p>
        </w:tc>
        <w:tc>
          <w:tcPr>
            <w:tcW w:w="2126" w:type="dxa"/>
            <w:shd w:val="clear" w:color="auto" w:fill="auto"/>
          </w:tcPr>
          <w:p w14:paraId="6A301E38" w14:textId="77777777" w:rsidR="00790A0D" w:rsidRPr="00DD47DF" w:rsidRDefault="00580034" w:rsidP="006D2F5F">
            <w:pPr>
              <w:pStyle w:val="Tabulka"/>
              <w:jc w:val="left"/>
              <w:rPr>
                <w:rFonts w:cs="Calibri"/>
              </w:rPr>
            </w:pPr>
            <w:hyperlink r:id="rId125" w:history="1">
              <w:r w:rsidR="00790A0D" w:rsidRPr="00DD47DF">
                <w:rPr>
                  <w:rStyle w:val="Hypertextovodkaz"/>
                  <w:rFonts w:cs="Calibri"/>
                </w:rPr>
                <w:t>http://www.mpo.cz/assets/cz/e-komunikace-a-posta/Internet/2013/4/Digi_esko_v.2.0.pdf</w:t>
              </w:r>
            </w:hyperlink>
          </w:p>
          <w:p w14:paraId="53043591" w14:textId="77777777" w:rsidR="00790A0D" w:rsidRPr="00DD47DF" w:rsidRDefault="00790A0D" w:rsidP="006D2F5F">
            <w:pPr>
              <w:pStyle w:val="Tabulka"/>
              <w:jc w:val="left"/>
              <w:rPr>
                <w:rFonts w:cs="Calibri"/>
              </w:rPr>
            </w:pPr>
          </w:p>
          <w:p w14:paraId="6387D2BE" w14:textId="77777777" w:rsidR="00790A0D" w:rsidRPr="00DD47DF" w:rsidRDefault="00580034" w:rsidP="006D2F5F">
            <w:pPr>
              <w:pStyle w:val="Tabulka"/>
              <w:jc w:val="left"/>
              <w:rPr>
                <w:rFonts w:cs="Calibri"/>
              </w:rPr>
            </w:pPr>
            <w:hyperlink r:id="rId126" w:history="1">
              <w:r w:rsidR="00790A0D" w:rsidRPr="00DD47DF">
                <w:rPr>
                  <w:rStyle w:val="Hypertextovodkaz"/>
                  <w:rFonts w:cs="Calibri"/>
                </w:rPr>
                <w:t>http://www.mpo.cz/dokument119071.html</w:t>
              </w:r>
            </w:hyperlink>
          </w:p>
          <w:p w14:paraId="6CAC9F68" w14:textId="77777777" w:rsidR="00790A0D" w:rsidRPr="00DD47DF" w:rsidRDefault="00790A0D" w:rsidP="006D2F5F">
            <w:pPr>
              <w:pStyle w:val="Tabulka"/>
              <w:jc w:val="left"/>
              <w:rPr>
                <w:rFonts w:cs="Calibri"/>
              </w:rPr>
            </w:pPr>
          </w:p>
          <w:p w14:paraId="356C5790" w14:textId="77777777" w:rsidR="00790A0D" w:rsidRPr="00DD47DF" w:rsidRDefault="00580034" w:rsidP="006D2F5F">
            <w:pPr>
              <w:pStyle w:val="Tabulka"/>
              <w:jc w:val="left"/>
              <w:rPr>
                <w:rFonts w:cs="Calibri"/>
              </w:rPr>
            </w:pPr>
            <w:hyperlink r:id="rId127" w:history="1">
              <w:r w:rsidR="00790A0D" w:rsidRPr="00DD47DF">
                <w:rPr>
                  <w:rStyle w:val="Hypertextovodkaz"/>
                  <w:rFonts w:cs="Calibri"/>
                </w:rPr>
                <w:t>http://www.czso.cz/csu/redakce.nsf/i/informacni_ekonomika</w:t>
              </w:r>
            </w:hyperlink>
          </w:p>
        </w:tc>
        <w:tc>
          <w:tcPr>
            <w:tcW w:w="4394" w:type="dxa"/>
            <w:shd w:val="clear" w:color="auto" w:fill="auto"/>
          </w:tcPr>
          <w:p w14:paraId="1867EFAE" w14:textId="77777777" w:rsidR="00790A0D" w:rsidRPr="00DD47DF" w:rsidRDefault="00790A0D" w:rsidP="006D2F5F">
            <w:pPr>
              <w:pStyle w:val="Tabulka"/>
              <w:jc w:val="left"/>
              <w:rPr>
                <w:rFonts w:cs="Calibri"/>
              </w:rPr>
            </w:pPr>
            <w:r w:rsidRPr="00DD47DF">
              <w:rPr>
                <w:rFonts w:cs="Calibri"/>
              </w:rPr>
              <w:t xml:space="preserve">Oblast je součástí Digitálního Česka 2.0, které upozorňuje na problematické oblasti, zejména s ohledem na regulační rámec služeb a sítí elektronických komunikací. </w:t>
            </w:r>
          </w:p>
          <w:p w14:paraId="66629ACF" w14:textId="77777777" w:rsidR="00790A0D" w:rsidRPr="00DD47DF" w:rsidRDefault="00790A0D" w:rsidP="006D2F5F">
            <w:pPr>
              <w:pStyle w:val="Tabulka"/>
              <w:jc w:val="left"/>
              <w:rPr>
                <w:rFonts w:cs="Calibri"/>
              </w:rPr>
            </w:pPr>
            <w:r w:rsidRPr="00DD47DF">
              <w:rPr>
                <w:rFonts w:cs="Calibri"/>
              </w:rPr>
              <w:t>Opatření na podporu budování komunikační infrastruktury a dosažení účinné konkurence je třeba doplnit o iniciativy na straně podpory poptávky, které zvýší motivovanost spotřebitelů a podnikatelů využívat komunikační služby, vytvářet nové obchodní modely a začleňovat je do každodenního života. Aktivní roli musí hrát především významné podnikatelské subjekty a stát.</w:t>
            </w:r>
          </w:p>
          <w:p w14:paraId="6FD9E4AB" w14:textId="77777777" w:rsidR="00790A0D" w:rsidRPr="00DD47DF" w:rsidRDefault="00790A0D" w:rsidP="006D2F5F">
            <w:pPr>
              <w:pStyle w:val="Tabulka"/>
              <w:jc w:val="left"/>
              <w:rPr>
                <w:rFonts w:cs="Calibri"/>
              </w:rPr>
            </w:pPr>
            <w:r w:rsidRPr="00DD47DF">
              <w:rPr>
                <w:rFonts w:cs="Calibri"/>
              </w:rPr>
              <w:t>Koncepce podpory malých a středních podnikatelů na období let 2014 – 2020 (kapitola 4.9).</w:t>
            </w:r>
          </w:p>
          <w:p w14:paraId="15265C6D" w14:textId="77777777" w:rsidR="00790A0D" w:rsidRPr="00DD47DF" w:rsidRDefault="00790A0D" w:rsidP="006D2F5F">
            <w:pPr>
              <w:pStyle w:val="Tabulka"/>
              <w:jc w:val="left"/>
              <w:rPr>
                <w:rFonts w:cs="Calibri"/>
              </w:rPr>
            </w:pPr>
            <w:r w:rsidRPr="00DD47DF">
              <w:rPr>
                <w:rFonts w:cs="Calibri"/>
              </w:rPr>
              <w:t>Stěžejní jsou rovněž každoroční údaje od ČSÚ internetová ekonomika v číslech a Informace o vývoji trhu elektronických komunikací (zpracovává ČTÚ).</w:t>
            </w:r>
          </w:p>
        </w:tc>
      </w:tr>
      <w:tr w:rsidR="00790A0D" w:rsidRPr="00DD47DF" w14:paraId="5EF152A3" w14:textId="77777777" w:rsidTr="006D2F5F">
        <w:tc>
          <w:tcPr>
            <w:tcW w:w="1752" w:type="dxa"/>
            <w:vMerge w:val="restart"/>
            <w:shd w:val="clear" w:color="auto" w:fill="auto"/>
          </w:tcPr>
          <w:p w14:paraId="541635EB" w14:textId="77777777" w:rsidR="00790A0D" w:rsidRPr="00DD47DF" w:rsidRDefault="00790A0D" w:rsidP="006D2F5F">
            <w:pPr>
              <w:pStyle w:val="Tabulka"/>
              <w:jc w:val="left"/>
              <w:rPr>
                <w:rFonts w:cs="Calibri"/>
                <w:b/>
              </w:rPr>
            </w:pPr>
            <w:r w:rsidRPr="00DD47DF">
              <w:rPr>
                <w:rFonts w:cs="Calibri"/>
                <w:b/>
              </w:rPr>
              <w:t xml:space="preserve">2.2. Infrastruktura přístupových sítí nové generace: Existence celostátních nebo regionálních plánů přístupových sítí nové generace, </w:t>
            </w:r>
            <w:r w:rsidRPr="00DD47DF">
              <w:rPr>
                <w:rFonts w:cs="Calibri"/>
                <w:b/>
              </w:rPr>
              <w:lastRenderedPageBreak/>
              <w:t>které zohledňují regionální opatření k dosažení cílů Unie v oblasti vysokorychlostního přístupu k internetu se zaměřením na oblasti, kde trh není schopen poskytovat otevřenou infrastrukturu za dostupnou cenu a v kvalitě v souladu s pravidly Unie pro hospodářskou soutěž a státní podpory, a poskytují dostupné služby zranitelným skupinám.</w:t>
            </w:r>
          </w:p>
        </w:tc>
        <w:tc>
          <w:tcPr>
            <w:tcW w:w="1701" w:type="dxa"/>
            <w:vMerge w:val="restart"/>
            <w:shd w:val="clear" w:color="auto" w:fill="auto"/>
          </w:tcPr>
          <w:p w14:paraId="731F68B0" w14:textId="77777777" w:rsidR="00790A0D" w:rsidRPr="00DD47DF" w:rsidRDefault="00790A0D" w:rsidP="006D2F5F">
            <w:pPr>
              <w:pStyle w:val="Tabulka"/>
              <w:jc w:val="left"/>
              <w:rPr>
                <w:rFonts w:cs="Calibri"/>
              </w:rPr>
            </w:pPr>
            <w:r w:rsidRPr="00DD47DF">
              <w:rPr>
                <w:rFonts w:cs="Calibri"/>
              </w:rPr>
              <w:lastRenderedPageBreak/>
              <w:t>PO 4 - Rozvoj vysokorychlostních přístupových sítí k internetu a informačních a komunikačních technologií</w:t>
            </w:r>
          </w:p>
          <w:p w14:paraId="17000C7E" w14:textId="77777777" w:rsidR="00790A0D" w:rsidRPr="00DD47DF" w:rsidRDefault="00790A0D" w:rsidP="006D2F5F">
            <w:pPr>
              <w:pStyle w:val="Tabulka"/>
              <w:jc w:val="left"/>
              <w:rPr>
                <w:rFonts w:cs="Calibri"/>
              </w:rPr>
            </w:pPr>
          </w:p>
          <w:p w14:paraId="77EC0E9E" w14:textId="77777777" w:rsidR="00790A0D" w:rsidRPr="00DD47DF" w:rsidRDefault="00790A0D" w:rsidP="006D2F5F">
            <w:pPr>
              <w:pStyle w:val="Tabulka"/>
              <w:jc w:val="left"/>
              <w:rPr>
                <w:rFonts w:cs="Calibri"/>
              </w:rPr>
            </w:pPr>
          </w:p>
          <w:p w14:paraId="35F9C33A" w14:textId="77777777" w:rsidR="00790A0D" w:rsidRPr="00DD47DF" w:rsidRDefault="00790A0D" w:rsidP="006D2F5F">
            <w:pPr>
              <w:pStyle w:val="Tabulka"/>
              <w:jc w:val="left"/>
              <w:rPr>
                <w:rFonts w:cs="Calibri"/>
              </w:rPr>
            </w:pPr>
          </w:p>
          <w:p w14:paraId="49C35D6A" w14:textId="77777777" w:rsidR="00790A0D" w:rsidRPr="00DD47DF" w:rsidRDefault="00790A0D" w:rsidP="006D2F5F">
            <w:pPr>
              <w:pStyle w:val="Tabulka"/>
              <w:jc w:val="left"/>
              <w:rPr>
                <w:rFonts w:cs="Calibri"/>
              </w:rPr>
            </w:pPr>
          </w:p>
        </w:tc>
        <w:tc>
          <w:tcPr>
            <w:tcW w:w="1276" w:type="dxa"/>
            <w:vMerge w:val="restart"/>
            <w:shd w:val="clear" w:color="auto" w:fill="auto"/>
          </w:tcPr>
          <w:p w14:paraId="66E38113" w14:textId="77777777" w:rsidR="00790A0D" w:rsidRPr="00DD47DF" w:rsidRDefault="00793FDC" w:rsidP="006D2F5F">
            <w:pPr>
              <w:pStyle w:val="Tabulka"/>
              <w:jc w:val="left"/>
              <w:rPr>
                <w:rFonts w:cs="Calibri"/>
              </w:rPr>
            </w:pPr>
            <w:r w:rsidRPr="00DD47DF">
              <w:rPr>
                <w:rFonts w:cs="Calibri"/>
              </w:rPr>
              <w:lastRenderedPageBreak/>
              <w:t>ne</w:t>
            </w:r>
          </w:p>
          <w:p w14:paraId="40DBA060" w14:textId="77777777" w:rsidR="00790A0D" w:rsidRPr="00DD47DF" w:rsidRDefault="00790A0D" w:rsidP="006D2F5F">
            <w:pPr>
              <w:pStyle w:val="Tabulka"/>
              <w:jc w:val="left"/>
              <w:rPr>
                <w:rFonts w:cs="Calibri"/>
              </w:rPr>
            </w:pPr>
          </w:p>
          <w:p w14:paraId="44A460FC" w14:textId="77777777" w:rsidR="00790A0D" w:rsidRPr="00DD47DF" w:rsidRDefault="00790A0D" w:rsidP="006D2F5F">
            <w:pPr>
              <w:pStyle w:val="Tabulka"/>
              <w:jc w:val="left"/>
              <w:rPr>
                <w:rFonts w:cs="Calibri"/>
              </w:rPr>
            </w:pPr>
          </w:p>
          <w:p w14:paraId="712982C7" w14:textId="77777777" w:rsidR="00790A0D" w:rsidRPr="00DD47DF" w:rsidRDefault="00790A0D" w:rsidP="006D2F5F">
            <w:pPr>
              <w:pStyle w:val="Tabulka"/>
              <w:jc w:val="left"/>
              <w:rPr>
                <w:rFonts w:cs="Calibri"/>
              </w:rPr>
            </w:pPr>
          </w:p>
          <w:p w14:paraId="608B0753" w14:textId="77777777" w:rsidR="00790A0D" w:rsidRPr="00DD47DF" w:rsidRDefault="00790A0D" w:rsidP="006D2F5F">
            <w:pPr>
              <w:pStyle w:val="Tabulka"/>
              <w:jc w:val="left"/>
              <w:rPr>
                <w:rFonts w:cs="Calibri"/>
              </w:rPr>
            </w:pPr>
          </w:p>
          <w:p w14:paraId="50A4DEE2" w14:textId="77777777" w:rsidR="00790A0D" w:rsidRPr="00DD47DF" w:rsidRDefault="00790A0D" w:rsidP="006D2F5F">
            <w:pPr>
              <w:pStyle w:val="Tabulka"/>
              <w:jc w:val="left"/>
              <w:rPr>
                <w:rFonts w:cs="Calibri"/>
              </w:rPr>
            </w:pPr>
          </w:p>
          <w:p w14:paraId="600754DF" w14:textId="77777777" w:rsidR="00790A0D" w:rsidRPr="00DD47DF" w:rsidRDefault="00790A0D" w:rsidP="006D2F5F">
            <w:pPr>
              <w:pStyle w:val="Tabulka"/>
              <w:jc w:val="left"/>
              <w:rPr>
                <w:rFonts w:cs="Calibri"/>
              </w:rPr>
            </w:pPr>
          </w:p>
          <w:p w14:paraId="144FE7E0" w14:textId="77777777" w:rsidR="00790A0D" w:rsidRPr="00DD47DF" w:rsidRDefault="00790A0D" w:rsidP="006D2F5F">
            <w:pPr>
              <w:pStyle w:val="Tabulka"/>
              <w:jc w:val="left"/>
              <w:rPr>
                <w:rFonts w:cs="Calibri"/>
              </w:rPr>
            </w:pPr>
          </w:p>
          <w:p w14:paraId="587F2F53" w14:textId="77777777" w:rsidR="00790A0D" w:rsidRPr="00DD47DF" w:rsidRDefault="00790A0D" w:rsidP="006D2F5F">
            <w:pPr>
              <w:pStyle w:val="Tabulka"/>
              <w:jc w:val="left"/>
              <w:rPr>
                <w:rFonts w:cs="Calibri"/>
              </w:rPr>
            </w:pPr>
          </w:p>
          <w:p w14:paraId="224770C6" w14:textId="77777777" w:rsidR="00790A0D" w:rsidRPr="00DD47DF" w:rsidRDefault="00790A0D" w:rsidP="006D2F5F">
            <w:pPr>
              <w:pStyle w:val="Tabulka"/>
              <w:jc w:val="left"/>
              <w:rPr>
                <w:rFonts w:cs="Calibri"/>
              </w:rPr>
            </w:pPr>
          </w:p>
        </w:tc>
        <w:tc>
          <w:tcPr>
            <w:tcW w:w="1843" w:type="dxa"/>
            <w:shd w:val="clear" w:color="auto" w:fill="auto"/>
          </w:tcPr>
          <w:p w14:paraId="29BE2BCE" w14:textId="77777777" w:rsidR="00790A0D" w:rsidRPr="00DD47DF" w:rsidRDefault="00790A0D" w:rsidP="006D2F5F">
            <w:pPr>
              <w:pStyle w:val="Tabulka"/>
              <w:jc w:val="left"/>
              <w:rPr>
                <w:rFonts w:cs="Calibri"/>
              </w:rPr>
            </w:pPr>
            <w:r w:rsidRPr="00DD47DF">
              <w:rPr>
                <w:rFonts w:cs="Calibri"/>
              </w:rPr>
              <w:lastRenderedPageBreak/>
              <w:t>Je vypracován celostátní nebo regionální plán sítí nové generace (NGN), který obsahuje:</w:t>
            </w:r>
          </w:p>
        </w:tc>
        <w:tc>
          <w:tcPr>
            <w:tcW w:w="1134" w:type="dxa"/>
            <w:shd w:val="clear" w:color="auto" w:fill="auto"/>
          </w:tcPr>
          <w:p w14:paraId="7FA3496F"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36453218" w14:textId="77777777" w:rsidR="00790A0D" w:rsidRPr="00DD47DF" w:rsidRDefault="00580034" w:rsidP="006D2F5F">
            <w:pPr>
              <w:pStyle w:val="Tabulka"/>
              <w:jc w:val="left"/>
              <w:rPr>
                <w:rStyle w:val="Hypertextovodkaz"/>
                <w:rFonts w:cs="Calibri"/>
              </w:rPr>
            </w:pPr>
            <w:hyperlink r:id="rId128" w:history="1">
              <w:r w:rsidR="00790A0D" w:rsidRPr="00DD47DF">
                <w:rPr>
                  <w:rStyle w:val="Hypertextovodkaz"/>
                  <w:rFonts w:cs="Calibri"/>
                </w:rPr>
                <w:t>http://www.mpo.cz/dokument83642.html</w:t>
              </w:r>
            </w:hyperlink>
          </w:p>
          <w:p w14:paraId="179F857C" w14:textId="77777777" w:rsidR="00790A0D" w:rsidRPr="00DD47DF" w:rsidRDefault="00790A0D" w:rsidP="006D2F5F">
            <w:pPr>
              <w:pStyle w:val="Tabulka"/>
              <w:jc w:val="left"/>
              <w:rPr>
                <w:rFonts w:cs="Calibri"/>
              </w:rPr>
            </w:pPr>
          </w:p>
          <w:p w14:paraId="5DD09374" w14:textId="77777777" w:rsidR="00790A0D" w:rsidRPr="00DD47DF" w:rsidRDefault="00580034" w:rsidP="006D2F5F">
            <w:pPr>
              <w:pStyle w:val="Tabulka"/>
              <w:jc w:val="left"/>
              <w:rPr>
                <w:rFonts w:cs="Calibri"/>
              </w:rPr>
            </w:pPr>
            <w:hyperlink r:id="rId129" w:history="1">
              <w:r w:rsidR="00790A0D" w:rsidRPr="00DD47DF">
                <w:rPr>
                  <w:rStyle w:val="Hypertextovodkaz"/>
                  <w:rFonts w:cs="Calibri"/>
                </w:rPr>
                <w:t>http://www.mpo.cz/assets/cz/e-komunikace-a-posta/Internet/2013/4/Digi_esko_v.2.0.pdf</w:t>
              </w:r>
            </w:hyperlink>
          </w:p>
          <w:p w14:paraId="25B5A5D4" w14:textId="77777777" w:rsidR="00790A0D" w:rsidRPr="00DD47DF" w:rsidRDefault="00790A0D" w:rsidP="006D2F5F">
            <w:pPr>
              <w:pStyle w:val="Tabulka"/>
              <w:jc w:val="left"/>
              <w:rPr>
                <w:rFonts w:cs="Calibri"/>
              </w:rPr>
            </w:pPr>
          </w:p>
          <w:p w14:paraId="44A783F1" w14:textId="77777777" w:rsidR="00790A0D" w:rsidRPr="00DD47DF" w:rsidRDefault="00580034" w:rsidP="006D2F5F">
            <w:pPr>
              <w:pStyle w:val="Tabulka"/>
              <w:jc w:val="left"/>
              <w:rPr>
                <w:rFonts w:cs="Calibri"/>
              </w:rPr>
            </w:pPr>
            <w:hyperlink r:id="rId130" w:history="1">
              <w:r w:rsidR="00790A0D" w:rsidRPr="00DD47DF">
                <w:rPr>
                  <w:rStyle w:val="Hypertextovodkaz"/>
                  <w:rFonts w:cs="Calibri"/>
                </w:rPr>
                <w:t>http://www.mpo.cz/dokument119071.html</w:t>
              </w:r>
            </w:hyperlink>
          </w:p>
        </w:tc>
        <w:tc>
          <w:tcPr>
            <w:tcW w:w="4394" w:type="dxa"/>
            <w:shd w:val="clear" w:color="auto" w:fill="auto"/>
          </w:tcPr>
          <w:p w14:paraId="697D8ACB" w14:textId="77777777" w:rsidR="00790A0D" w:rsidRPr="00DD47DF" w:rsidRDefault="00790A0D" w:rsidP="006D2F5F">
            <w:pPr>
              <w:pStyle w:val="Tabulka"/>
              <w:jc w:val="left"/>
              <w:rPr>
                <w:rFonts w:cs="Calibri"/>
              </w:rPr>
            </w:pPr>
            <w:r w:rsidRPr="00DD47DF">
              <w:rPr>
                <w:rFonts w:cs="Calibri"/>
              </w:rPr>
              <w:lastRenderedPageBreak/>
              <w:t xml:space="preserve">Opatření jsou obsažena ve vládou schváleném dokumentu "Státní politika v elektronických komunikacích - Digitální Česko" a dokumentu "Digitální Česko 2.0 - Cesta k digitální ekonomice", který je schválen vládou a dále v Koncepci podpory malých a středních podnikatelů na období let 2014 – 2020. Jak vyplývá z Digitálního Česka 2, pro většinu lokalit ČR se považuje za vhodnou a dlouhodobě perspektivní infrastruktura </w:t>
            </w:r>
            <w:r w:rsidRPr="00DD47DF">
              <w:rPr>
                <w:rFonts w:cs="Calibri"/>
              </w:rPr>
              <w:lastRenderedPageBreak/>
              <w:t>umožňující vysokorychlostní přístup k internetu, která je založena na kabelové technologii s optickými vlákny.</w:t>
            </w:r>
          </w:p>
          <w:p w14:paraId="10426A36" w14:textId="77777777" w:rsidR="00790A0D" w:rsidRPr="00DD47DF" w:rsidRDefault="00790A0D" w:rsidP="006D2F5F">
            <w:pPr>
              <w:pStyle w:val="Tabulka"/>
              <w:jc w:val="left"/>
              <w:rPr>
                <w:rFonts w:cs="Calibri"/>
              </w:rPr>
            </w:pPr>
            <w:r w:rsidRPr="00DD47DF">
              <w:rPr>
                <w:rFonts w:cs="Calibri"/>
              </w:rPr>
              <w:t>Bude zpracován Národní plán rozvoje sítí nové generace, který bude založen na zmíněném Digitálním Česku v. 2.0 a na vyhodnocení mapování infrastruktury pro poskytování vysokorychlostního přístupu k internetu v ČR. Byl zpracován akční plán ke splnění podmínky.</w:t>
            </w:r>
          </w:p>
        </w:tc>
      </w:tr>
      <w:tr w:rsidR="00790A0D" w:rsidRPr="00DD47DF" w14:paraId="2E66D179" w14:textId="77777777" w:rsidTr="006D2F5F">
        <w:tc>
          <w:tcPr>
            <w:tcW w:w="1752" w:type="dxa"/>
            <w:vMerge/>
            <w:shd w:val="clear" w:color="auto" w:fill="auto"/>
          </w:tcPr>
          <w:p w14:paraId="6AFC19D1" w14:textId="77777777" w:rsidR="00790A0D" w:rsidRPr="00DD47DF" w:rsidRDefault="00790A0D" w:rsidP="006D2F5F">
            <w:pPr>
              <w:pStyle w:val="Tabulka"/>
              <w:rPr>
                <w:rFonts w:cs="Calibri"/>
                <w:b/>
              </w:rPr>
            </w:pPr>
          </w:p>
        </w:tc>
        <w:tc>
          <w:tcPr>
            <w:tcW w:w="1701" w:type="dxa"/>
            <w:vMerge/>
            <w:shd w:val="clear" w:color="auto" w:fill="auto"/>
          </w:tcPr>
          <w:p w14:paraId="647768A0" w14:textId="77777777" w:rsidR="00790A0D" w:rsidRPr="00DD47DF" w:rsidRDefault="00790A0D" w:rsidP="006D2F5F">
            <w:pPr>
              <w:pStyle w:val="Tabulka"/>
              <w:rPr>
                <w:rFonts w:cs="Calibri"/>
              </w:rPr>
            </w:pPr>
          </w:p>
        </w:tc>
        <w:tc>
          <w:tcPr>
            <w:tcW w:w="1276" w:type="dxa"/>
            <w:vMerge/>
            <w:shd w:val="clear" w:color="auto" w:fill="auto"/>
          </w:tcPr>
          <w:p w14:paraId="53F5AC26" w14:textId="77777777" w:rsidR="00790A0D" w:rsidRPr="00DD47DF" w:rsidRDefault="00790A0D" w:rsidP="006D2F5F">
            <w:pPr>
              <w:pStyle w:val="Tabulka"/>
              <w:rPr>
                <w:rFonts w:cs="Calibri"/>
              </w:rPr>
            </w:pPr>
          </w:p>
        </w:tc>
        <w:tc>
          <w:tcPr>
            <w:tcW w:w="1843" w:type="dxa"/>
            <w:shd w:val="clear" w:color="auto" w:fill="auto"/>
          </w:tcPr>
          <w:p w14:paraId="12DA0879" w14:textId="77777777" w:rsidR="00790A0D" w:rsidRPr="00DD47DF" w:rsidRDefault="00790A0D" w:rsidP="006D2F5F">
            <w:pPr>
              <w:pStyle w:val="Tabulka"/>
              <w:jc w:val="left"/>
              <w:rPr>
                <w:rFonts w:cs="Calibri"/>
              </w:rPr>
            </w:pPr>
            <w:r w:rsidRPr="00DD47DF">
              <w:rPr>
                <w:rFonts w:cs="Calibri"/>
              </w:rPr>
              <w:t>• plán investic do infrastruktury vycházející z ekonomické analýzy a zohledňující stávající soukromou a veřejnou infrastrukturu a plánované investice,</w:t>
            </w:r>
          </w:p>
        </w:tc>
        <w:tc>
          <w:tcPr>
            <w:tcW w:w="1134" w:type="dxa"/>
            <w:shd w:val="clear" w:color="auto" w:fill="auto"/>
          </w:tcPr>
          <w:p w14:paraId="5183B531"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44CAEB39" w14:textId="77777777" w:rsidR="00790A0D" w:rsidRPr="00DD47DF" w:rsidRDefault="00580034" w:rsidP="006D2F5F">
            <w:pPr>
              <w:pStyle w:val="Tabulka"/>
              <w:jc w:val="left"/>
              <w:rPr>
                <w:rFonts w:cs="Calibri"/>
              </w:rPr>
            </w:pPr>
            <w:hyperlink r:id="rId131" w:history="1">
              <w:r w:rsidR="00790A0D" w:rsidRPr="00DD47DF">
                <w:rPr>
                  <w:rStyle w:val="Hypertextovodkaz"/>
                  <w:rFonts w:cs="Calibri"/>
                </w:rPr>
                <w:t>http://www.mpo.cz/assets/cz/e-komunikace-a-posta/Internet/2013/4/Digi_esko_v.2.0.pdf</w:t>
              </w:r>
            </w:hyperlink>
          </w:p>
          <w:p w14:paraId="37AEBC0E" w14:textId="77777777" w:rsidR="00790A0D" w:rsidRPr="00DD47DF" w:rsidRDefault="00790A0D" w:rsidP="006D2F5F">
            <w:pPr>
              <w:pStyle w:val="Tabulka"/>
              <w:jc w:val="left"/>
              <w:rPr>
                <w:rFonts w:cs="Calibri"/>
              </w:rPr>
            </w:pPr>
          </w:p>
          <w:p w14:paraId="45713077" w14:textId="77777777" w:rsidR="00790A0D" w:rsidRPr="00DD47DF" w:rsidRDefault="00790A0D" w:rsidP="006D2F5F">
            <w:pPr>
              <w:pStyle w:val="Tabulka"/>
              <w:jc w:val="left"/>
              <w:rPr>
                <w:rFonts w:cs="Calibri"/>
              </w:rPr>
            </w:pPr>
          </w:p>
        </w:tc>
        <w:tc>
          <w:tcPr>
            <w:tcW w:w="4394" w:type="dxa"/>
            <w:shd w:val="clear" w:color="auto" w:fill="auto"/>
          </w:tcPr>
          <w:p w14:paraId="225D14BB" w14:textId="77777777" w:rsidR="00790A0D" w:rsidRPr="00DD47DF" w:rsidRDefault="00790A0D" w:rsidP="006D2F5F">
            <w:pPr>
              <w:pStyle w:val="Tabulka"/>
              <w:jc w:val="left"/>
              <w:rPr>
                <w:rFonts w:cs="Calibri"/>
              </w:rPr>
            </w:pPr>
            <w:r w:rsidRPr="00DD47DF">
              <w:rPr>
                <w:rFonts w:cs="Calibri"/>
              </w:rPr>
              <w:t>Digitální Česko 2.0 je postaveno na 3 pilířích (prioritách), jednou z nich je podpora rozvoje vysokorychlostních přístupových sítí k internetu.</w:t>
            </w:r>
          </w:p>
          <w:p w14:paraId="67F1190E" w14:textId="77777777" w:rsidR="00790A0D" w:rsidRPr="00DD47DF" w:rsidRDefault="00790A0D" w:rsidP="006D2F5F">
            <w:pPr>
              <w:pStyle w:val="Tabulka"/>
              <w:jc w:val="left"/>
              <w:rPr>
                <w:rFonts w:cs="Calibri"/>
              </w:rPr>
            </w:pPr>
            <w:r w:rsidRPr="00DD47DF">
              <w:rPr>
                <w:rFonts w:cs="Calibri"/>
              </w:rPr>
              <w:t>Bude zpracován Národní plán rozvoje sítí nové generace, který bude založen na zmíněném Digitálním Česku v. 2.0 a na vyhodnocení mapování infrastruktury pro poskytování vysokorychlostního přístupu k internetu v ČR. Byl zpracován akční plán ke splnění podmínky.</w:t>
            </w:r>
          </w:p>
          <w:p w14:paraId="275B2719" w14:textId="77777777" w:rsidR="00790A0D" w:rsidRPr="00DD47DF" w:rsidRDefault="00790A0D" w:rsidP="006D2F5F">
            <w:pPr>
              <w:pStyle w:val="Tabulka"/>
              <w:jc w:val="left"/>
              <w:rPr>
                <w:rFonts w:cs="Calibri"/>
              </w:rPr>
            </w:pPr>
            <w:r w:rsidRPr="00DD47DF">
              <w:rPr>
                <w:rFonts w:cs="Calibri"/>
              </w:rPr>
              <w:t>Dne 1. 7. 2014 zveřejnil ČTÚ výsledky</w:t>
            </w:r>
            <w:r w:rsidR="0055104A" w:rsidRPr="00DD47DF">
              <w:rPr>
                <w:rFonts w:cs="Calibri"/>
              </w:rPr>
              <w:t xml:space="preserve"> </w:t>
            </w:r>
            <w:r w:rsidRPr="00DD47DF">
              <w:rPr>
                <w:rFonts w:cs="Calibri"/>
              </w:rPr>
              <w:t>mapování existence relevantní infrastruktury pro stanovení podmínek programu na podporu projektů zaměřených na budování přístupových sítí nové generace.</w:t>
            </w:r>
          </w:p>
          <w:p w14:paraId="6EF7AAF8" w14:textId="77777777" w:rsidR="00790A0D" w:rsidRPr="00DD47DF" w:rsidRDefault="00790A0D" w:rsidP="006D2F5F">
            <w:pPr>
              <w:pStyle w:val="Tabulka"/>
              <w:jc w:val="left"/>
              <w:rPr>
                <w:rFonts w:cs="Calibri"/>
              </w:rPr>
            </w:pPr>
            <w:r w:rsidRPr="00DD47DF">
              <w:rPr>
                <w:rFonts w:cs="Calibri"/>
              </w:rPr>
              <w:t>http://www.ctu.cz/ctu-online/pruzkum-nga.html</w:t>
            </w:r>
          </w:p>
        </w:tc>
      </w:tr>
      <w:tr w:rsidR="00790A0D" w:rsidRPr="00DD47DF" w14:paraId="076F3011" w14:textId="77777777" w:rsidTr="006D2F5F">
        <w:tc>
          <w:tcPr>
            <w:tcW w:w="1752" w:type="dxa"/>
            <w:vMerge/>
            <w:shd w:val="clear" w:color="auto" w:fill="auto"/>
          </w:tcPr>
          <w:p w14:paraId="397EDFA8" w14:textId="77777777" w:rsidR="00790A0D" w:rsidRPr="00DD47DF" w:rsidRDefault="00790A0D" w:rsidP="006D2F5F">
            <w:pPr>
              <w:pStyle w:val="Tabulka"/>
              <w:rPr>
                <w:rFonts w:cs="Calibri"/>
                <w:b/>
              </w:rPr>
            </w:pPr>
          </w:p>
        </w:tc>
        <w:tc>
          <w:tcPr>
            <w:tcW w:w="1701" w:type="dxa"/>
            <w:vMerge/>
            <w:shd w:val="clear" w:color="auto" w:fill="auto"/>
          </w:tcPr>
          <w:p w14:paraId="5356FB8F" w14:textId="77777777" w:rsidR="00790A0D" w:rsidRPr="00DD47DF" w:rsidRDefault="00790A0D" w:rsidP="006D2F5F">
            <w:pPr>
              <w:pStyle w:val="Tabulka"/>
              <w:rPr>
                <w:rFonts w:cs="Calibri"/>
              </w:rPr>
            </w:pPr>
          </w:p>
        </w:tc>
        <w:tc>
          <w:tcPr>
            <w:tcW w:w="1276" w:type="dxa"/>
            <w:vMerge/>
            <w:shd w:val="clear" w:color="auto" w:fill="auto"/>
          </w:tcPr>
          <w:p w14:paraId="4AFD7A62" w14:textId="77777777" w:rsidR="00790A0D" w:rsidRPr="00DD47DF" w:rsidRDefault="00790A0D" w:rsidP="006D2F5F">
            <w:pPr>
              <w:pStyle w:val="Tabulka"/>
              <w:rPr>
                <w:rFonts w:cs="Calibri"/>
              </w:rPr>
            </w:pPr>
          </w:p>
        </w:tc>
        <w:tc>
          <w:tcPr>
            <w:tcW w:w="1843" w:type="dxa"/>
            <w:shd w:val="clear" w:color="auto" w:fill="auto"/>
          </w:tcPr>
          <w:p w14:paraId="794CEED8" w14:textId="77777777" w:rsidR="00790A0D" w:rsidRPr="00DD47DF" w:rsidRDefault="00790A0D" w:rsidP="006D2F5F">
            <w:pPr>
              <w:pStyle w:val="Tabulka"/>
              <w:jc w:val="left"/>
              <w:rPr>
                <w:rFonts w:cs="Calibri"/>
              </w:rPr>
            </w:pPr>
            <w:r w:rsidRPr="00DD47DF">
              <w:rPr>
                <w:rFonts w:cs="Calibri"/>
              </w:rPr>
              <w:t xml:space="preserve">• modely udržitelných investic, které posilují hospodářskou soutěž a zajišťují </w:t>
            </w:r>
            <w:r w:rsidRPr="00DD47DF">
              <w:rPr>
                <w:rFonts w:cs="Calibri"/>
              </w:rPr>
              <w:lastRenderedPageBreak/>
              <w:t>přístup k otevřeným, cenově dostupným, kvalitním a progresivním infrastrukturám a službám,</w:t>
            </w:r>
          </w:p>
        </w:tc>
        <w:tc>
          <w:tcPr>
            <w:tcW w:w="1134" w:type="dxa"/>
            <w:shd w:val="clear" w:color="auto" w:fill="auto"/>
          </w:tcPr>
          <w:p w14:paraId="1773CE3B" w14:textId="77777777" w:rsidR="00790A0D" w:rsidRPr="00DD47DF" w:rsidRDefault="008B1FD2" w:rsidP="006D2F5F">
            <w:pPr>
              <w:pStyle w:val="Tabulka"/>
              <w:jc w:val="left"/>
              <w:rPr>
                <w:rFonts w:cs="Calibri"/>
              </w:rPr>
            </w:pPr>
            <w:r w:rsidRPr="00DD47DF">
              <w:rPr>
                <w:rFonts w:cs="Calibri"/>
              </w:rPr>
              <w:lastRenderedPageBreak/>
              <w:t>ne</w:t>
            </w:r>
          </w:p>
        </w:tc>
        <w:tc>
          <w:tcPr>
            <w:tcW w:w="2126" w:type="dxa"/>
            <w:shd w:val="clear" w:color="auto" w:fill="auto"/>
          </w:tcPr>
          <w:p w14:paraId="50BB675A" w14:textId="77777777" w:rsidR="00790A0D" w:rsidRPr="00DD47DF" w:rsidRDefault="00580034" w:rsidP="006D2F5F">
            <w:pPr>
              <w:pStyle w:val="Tabulka"/>
              <w:jc w:val="left"/>
              <w:rPr>
                <w:rFonts w:cs="Calibri"/>
              </w:rPr>
            </w:pPr>
            <w:hyperlink r:id="rId132" w:history="1">
              <w:r w:rsidR="00790A0D" w:rsidRPr="00DD47DF">
                <w:rPr>
                  <w:rStyle w:val="Hypertextovodkaz"/>
                  <w:rFonts w:cs="Calibri"/>
                </w:rPr>
                <w:t>http://www.mpo.cz/assets/cz/e-komunikace-a-posta/Internet/2013/4/Digi_esko_v.2.0.pdf</w:t>
              </w:r>
            </w:hyperlink>
          </w:p>
          <w:p w14:paraId="4078D132" w14:textId="77777777" w:rsidR="00790A0D" w:rsidRPr="00DD47DF" w:rsidRDefault="00790A0D" w:rsidP="006D2F5F">
            <w:pPr>
              <w:pStyle w:val="Tabulka"/>
              <w:jc w:val="left"/>
              <w:rPr>
                <w:rFonts w:cs="Calibri"/>
              </w:rPr>
            </w:pPr>
          </w:p>
          <w:p w14:paraId="75FE3B69" w14:textId="77777777" w:rsidR="00790A0D" w:rsidRPr="00DD47DF" w:rsidRDefault="00790A0D" w:rsidP="006D2F5F">
            <w:pPr>
              <w:pStyle w:val="Tabulka"/>
              <w:jc w:val="left"/>
              <w:rPr>
                <w:rFonts w:cs="Calibri"/>
              </w:rPr>
            </w:pPr>
          </w:p>
        </w:tc>
        <w:tc>
          <w:tcPr>
            <w:tcW w:w="4394" w:type="dxa"/>
            <w:shd w:val="clear" w:color="auto" w:fill="auto"/>
          </w:tcPr>
          <w:p w14:paraId="353A1997" w14:textId="77777777" w:rsidR="00790A0D" w:rsidRPr="00DD47DF" w:rsidRDefault="00790A0D" w:rsidP="006D2F5F">
            <w:pPr>
              <w:pStyle w:val="Tabulka"/>
              <w:jc w:val="left"/>
              <w:rPr>
                <w:rFonts w:cs="Calibri"/>
              </w:rPr>
            </w:pPr>
            <w:r w:rsidRPr="00DD47DF">
              <w:rPr>
                <w:rFonts w:cs="Calibri"/>
              </w:rPr>
              <w:lastRenderedPageBreak/>
              <w:t>Digitální Česko 2.0 vyhodnocuje z hlediska vysokorychlostního přístupu k internetu jako problematické oblasti zejména malé obce a lokality s nízkou koncentrací obyvatel, tj. oblasti, ve kterých selhávají tržní mechanizmy.</w:t>
            </w:r>
          </w:p>
          <w:p w14:paraId="10F485CF" w14:textId="77777777" w:rsidR="00790A0D" w:rsidRPr="00DD47DF" w:rsidRDefault="00790A0D" w:rsidP="006D2F5F">
            <w:pPr>
              <w:pStyle w:val="Tabulka"/>
              <w:jc w:val="left"/>
              <w:rPr>
                <w:rFonts w:cs="Calibri"/>
              </w:rPr>
            </w:pPr>
            <w:r w:rsidRPr="00DD47DF">
              <w:rPr>
                <w:rFonts w:cs="Calibri"/>
              </w:rPr>
              <w:t xml:space="preserve">Bude zpracován Národní plán rozvoje sítí nové </w:t>
            </w:r>
            <w:r w:rsidRPr="00DD47DF">
              <w:rPr>
                <w:rFonts w:cs="Calibri"/>
              </w:rPr>
              <w:lastRenderedPageBreak/>
              <w:t>generace, který bude založen na zmíněném Digitálním Česku v. 2.0 a na vyhodnocení mapování infrastruktury pro poskytování vysokorychlostního přístupu k internetu v ČR. Byl zpracován akční plán ke splnění podmínky.</w:t>
            </w:r>
          </w:p>
          <w:p w14:paraId="0FBE0269" w14:textId="77777777" w:rsidR="00790A0D" w:rsidRPr="00DD47DF" w:rsidRDefault="00790A0D" w:rsidP="006D2F5F">
            <w:pPr>
              <w:pStyle w:val="Tabulka"/>
              <w:jc w:val="left"/>
              <w:rPr>
                <w:rFonts w:cs="Calibri"/>
              </w:rPr>
            </w:pPr>
            <w:r w:rsidRPr="00DD47DF">
              <w:rPr>
                <w:rFonts w:cs="Calibri"/>
              </w:rPr>
              <w:t>Lze se domnívat, že v podmínkách ČR bude stanoven jako výchozí nejvhodnější investiční model „Private design, build and operate“ (viz Guide to Broadband investments).</w:t>
            </w:r>
          </w:p>
        </w:tc>
      </w:tr>
      <w:tr w:rsidR="00790A0D" w:rsidRPr="00DD47DF" w14:paraId="7324DF76" w14:textId="77777777" w:rsidTr="006D2F5F">
        <w:tc>
          <w:tcPr>
            <w:tcW w:w="1752" w:type="dxa"/>
            <w:vMerge/>
            <w:shd w:val="clear" w:color="auto" w:fill="auto"/>
          </w:tcPr>
          <w:p w14:paraId="4F93BF50" w14:textId="77777777" w:rsidR="00790A0D" w:rsidRPr="00DD47DF" w:rsidRDefault="00790A0D" w:rsidP="006D2F5F">
            <w:pPr>
              <w:pStyle w:val="Tabulka"/>
              <w:jc w:val="left"/>
              <w:rPr>
                <w:rFonts w:cs="Calibri"/>
                <w:b/>
              </w:rPr>
            </w:pPr>
          </w:p>
        </w:tc>
        <w:tc>
          <w:tcPr>
            <w:tcW w:w="1701" w:type="dxa"/>
            <w:vMerge/>
            <w:shd w:val="clear" w:color="auto" w:fill="auto"/>
          </w:tcPr>
          <w:p w14:paraId="721F304F" w14:textId="77777777" w:rsidR="00790A0D" w:rsidRPr="00DD47DF" w:rsidRDefault="00790A0D" w:rsidP="006D2F5F">
            <w:pPr>
              <w:pStyle w:val="Tabulka"/>
              <w:jc w:val="left"/>
              <w:rPr>
                <w:rFonts w:cs="Calibri"/>
              </w:rPr>
            </w:pPr>
          </w:p>
        </w:tc>
        <w:tc>
          <w:tcPr>
            <w:tcW w:w="1276" w:type="dxa"/>
            <w:vMerge/>
            <w:shd w:val="clear" w:color="auto" w:fill="auto"/>
          </w:tcPr>
          <w:p w14:paraId="318D3525" w14:textId="77777777" w:rsidR="00790A0D" w:rsidRPr="00DD47DF" w:rsidRDefault="00790A0D" w:rsidP="006D2F5F">
            <w:pPr>
              <w:pStyle w:val="Tabulka"/>
              <w:jc w:val="left"/>
              <w:rPr>
                <w:rFonts w:cs="Calibri"/>
              </w:rPr>
            </w:pPr>
          </w:p>
        </w:tc>
        <w:tc>
          <w:tcPr>
            <w:tcW w:w="1843" w:type="dxa"/>
            <w:shd w:val="clear" w:color="auto" w:fill="auto"/>
          </w:tcPr>
          <w:p w14:paraId="113C9C65" w14:textId="77777777" w:rsidR="00790A0D" w:rsidRPr="00DD47DF" w:rsidRDefault="00790A0D" w:rsidP="006D2F5F">
            <w:pPr>
              <w:pStyle w:val="Tabulka"/>
              <w:jc w:val="left"/>
              <w:rPr>
                <w:rFonts w:cs="Calibri"/>
              </w:rPr>
            </w:pPr>
            <w:r w:rsidRPr="00DD47DF">
              <w:rPr>
                <w:rFonts w:cs="Calibri"/>
              </w:rPr>
              <w:t>• opatření k podnícení soukromých investic.</w:t>
            </w:r>
          </w:p>
        </w:tc>
        <w:tc>
          <w:tcPr>
            <w:tcW w:w="1134" w:type="dxa"/>
            <w:shd w:val="clear" w:color="auto" w:fill="auto"/>
          </w:tcPr>
          <w:p w14:paraId="5D487AE6"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409FA9D6" w14:textId="77777777" w:rsidR="00790A0D" w:rsidRPr="00DD47DF" w:rsidRDefault="00580034" w:rsidP="006D2F5F">
            <w:pPr>
              <w:pStyle w:val="Tabulka"/>
              <w:jc w:val="left"/>
              <w:rPr>
                <w:rFonts w:cs="Calibri"/>
              </w:rPr>
            </w:pPr>
            <w:hyperlink r:id="rId133" w:history="1">
              <w:r w:rsidR="00790A0D" w:rsidRPr="00DD47DF">
                <w:rPr>
                  <w:rStyle w:val="Hypertextovodkaz"/>
                  <w:rFonts w:cs="Calibri"/>
                </w:rPr>
                <w:t>http://www.mpo.cz/dokument83642.html</w:t>
              </w:r>
            </w:hyperlink>
          </w:p>
          <w:p w14:paraId="4843603E" w14:textId="77777777" w:rsidR="00790A0D" w:rsidRPr="00DD47DF" w:rsidRDefault="00580034" w:rsidP="006D2F5F">
            <w:pPr>
              <w:pStyle w:val="Tabulka"/>
              <w:jc w:val="left"/>
              <w:rPr>
                <w:rFonts w:cs="Calibri"/>
              </w:rPr>
            </w:pPr>
            <w:hyperlink r:id="rId134" w:history="1">
              <w:r w:rsidR="00790A0D" w:rsidRPr="00DD47DF">
                <w:rPr>
                  <w:rStyle w:val="Hypertextovodkaz"/>
                  <w:rFonts w:cs="Calibri"/>
                </w:rPr>
                <w:t>http://www.mpo.cz/assets/cz/e-komunikace-a-posta/Internet/2013/4/Digi_esko_v.2.0.pdf</w:t>
              </w:r>
            </w:hyperlink>
          </w:p>
        </w:tc>
        <w:tc>
          <w:tcPr>
            <w:tcW w:w="4394" w:type="dxa"/>
            <w:shd w:val="clear" w:color="auto" w:fill="auto"/>
          </w:tcPr>
          <w:p w14:paraId="5BCFFAC5" w14:textId="77777777" w:rsidR="00790A0D" w:rsidRPr="00DD47DF" w:rsidRDefault="00790A0D" w:rsidP="006D2F5F">
            <w:pPr>
              <w:pStyle w:val="Tabulka"/>
              <w:jc w:val="left"/>
              <w:rPr>
                <w:rFonts w:cs="Calibri"/>
              </w:rPr>
            </w:pPr>
            <w:r w:rsidRPr="00DD47DF">
              <w:rPr>
                <w:rFonts w:cs="Calibri"/>
              </w:rPr>
              <w:t>Opatření jsou obsažena ve vládou schváleném dokumentu "Státní politika v elektronických komunikacích - Digitální Česko".</w:t>
            </w:r>
            <w:r w:rsidRPr="00DD47DF">
              <w:rPr>
                <w:rFonts w:cs="Calibri"/>
              </w:rPr>
              <w:br/>
              <w:t xml:space="preserve">Aktualizovaná Státní politika Digitální Česko 2.0 obsahuje některé nástroje a kroky pro ulehčení soukromých investic do infrastruktury. </w:t>
            </w:r>
          </w:p>
          <w:p w14:paraId="54D44602" w14:textId="77777777" w:rsidR="00790A0D" w:rsidRPr="00DD47DF" w:rsidRDefault="00790A0D" w:rsidP="006D2F5F">
            <w:pPr>
              <w:pStyle w:val="Tabulka"/>
              <w:jc w:val="left"/>
              <w:rPr>
                <w:rFonts w:cs="Calibri"/>
              </w:rPr>
            </w:pPr>
            <w:r w:rsidRPr="00DD47DF">
              <w:rPr>
                <w:rFonts w:cs="Calibri"/>
              </w:rPr>
              <w:t>Bude zpracován Národní plán rozvoje sítí nové generace, který bude založen na zmíněném Digitálním Česku v. 2.0 a na vyhodnocení mapování infrastruktury pro poskytování vysokorychlostního přístupu k internetu v ČR. Byl zpracován akční plán ke splnění podmínky.</w:t>
            </w:r>
          </w:p>
          <w:p w14:paraId="6E8EB0E3" w14:textId="77777777" w:rsidR="00790A0D" w:rsidRPr="00DD47DF" w:rsidRDefault="00790A0D" w:rsidP="006D2F5F">
            <w:pPr>
              <w:pStyle w:val="Tabulka"/>
              <w:jc w:val="left"/>
              <w:rPr>
                <w:rFonts w:cs="Calibri"/>
              </w:rPr>
            </w:pPr>
            <w:r w:rsidRPr="00DD47DF">
              <w:rPr>
                <w:rFonts w:cs="Calibri"/>
              </w:rPr>
              <w:t>Klíčovým aspektem v této oblasti je dokončení legislativního procesu na evropské úrovni směrnice 2014/61/EU o opatřeních ke snížení nákladů na budování vysokorychlostních sítí elektronických komunikací. V současnosti probíhá příprava transpozice této směrnice do českého právního řádu. Lze se domnívat, že implementace této směrnice překoná některá navržená opatření v Digitálním Česku 1 a 2.</w:t>
            </w:r>
          </w:p>
        </w:tc>
      </w:tr>
      <w:tr w:rsidR="00790A0D" w:rsidRPr="00DD47DF" w14:paraId="5FF2C61F" w14:textId="77777777" w:rsidTr="006D2F5F">
        <w:tc>
          <w:tcPr>
            <w:tcW w:w="1752" w:type="dxa"/>
            <w:vMerge w:val="restart"/>
            <w:shd w:val="clear" w:color="auto" w:fill="auto"/>
          </w:tcPr>
          <w:p w14:paraId="689D9A64" w14:textId="77777777" w:rsidR="00790A0D" w:rsidRPr="00DD47DF" w:rsidRDefault="00790A0D" w:rsidP="006D2F5F">
            <w:pPr>
              <w:pStyle w:val="Tabulka"/>
              <w:jc w:val="left"/>
              <w:rPr>
                <w:rFonts w:cs="Calibri"/>
                <w:b/>
              </w:rPr>
            </w:pPr>
            <w:r w:rsidRPr="00DD47DF">
              <w:rPr>
                <w:rFonts w:cs="Calibri"/>
                <w:b/>
              </w:rPr>
              <w:t xml:space="preserve">3.1. Byla </w:t>
            </w:r>
            <w:r w:rsidRPr="00DD47DF">
              <w:rPr>
                <w:rFonts w:cs="Calibri"/>
                <w:b/>
              </w:rPr>
              <w:lastRenderedPageBreak/>
              <w:t>provedena zvláštní opatření, o něž se opírá podpora podnikání, zohledňující „Small Business Act“ (SBA).</w:t>
            </w:r>
          </w:p>
        </w:tc>
        <w:tc>
          <w:tcPr>
            <w:tcW w:w="1701" w:type="dxa"/>
            <w:vMerge w:val="restart"/>
            <w:shd w:val="clear" w:color="auto" w:fill="auto"/>
          </w:tcPr>
          <w:p w14:paraId="0138D728" w14:textId="77777777" w:rsidR="00790A0D" w:rsidRPr="00DD47DF" w:rsidRDefault="00790A0D" w:rsidP="006D2F5F">
            <w:pPr>
              <w:pStyle w:val="Tabulka"/>
              <w:jc w:val="left"/>
              <w:rPr>
                <w:rFonts w:cs="Calibri"/>
              </w:rPr>
            </w:pPr>
            <w:r w:rsidRPr="00DD47DF">
              <w:rPr>
                <w:rFonts w:cs="Calibri"/>
              </w:rPr>
              <w:lastRenderedPageBreak/>
              <w:t xml:space="preserve">PO 2 - Rozvoj </w:t>
            </w:r>
            <w:r w:rsidRPr="00DD47DF">
              <w:rPr>
                <w:rFonts w:cs="Calibri"/>
              </w:rPr>
              <w:lastRenderedPageBreak/>
              <w:t>podnikání a konkurenceschopnosti malých a středních podniků</w:t>
            </w:r>
          </w:p>
        </w:tc>
        <w:tc>
          <w:tcPr>
            <w:tcW w:w="1276" w:type="dxa"/>
            <w:vMerge w:val="restart"/>
            <w:shd w:val="clear" w:color="auto" w:fill="auto"/>
          </w:tcPr>
          <w:p w14:paraId="7CA2D16D" w14:textId="77777777" w:rsidR="00790A0D" w:rsidRPr="00DD47DF" w:rsidRDefault="00790A0D" w:rsidP="006D2F5F">
            <w:pPr>
              <w:pStyle w:val="Tabulka"/>
              <w:jc w:val="left"/>
              <w:rPr>
                <w:rFonts w:cs="Calibri"/>
              </w:rPr>
            </w:pPr>
            <w:r w:rsidRPr="00DD47DF">
              <w:rPr>
                <w:rFonts w:cs="Calibri"/>
              </w:rPr>
              <w:lastRenderedPageBreak/>
              <w:t>Částečně</w:t>
            </w:r>
          </w:p>
          <w:p w14:paraId="0D492FC6" w14:textId="77777777" w:rsidR="00790A0D" w:rsidRPr="00DD47DF" w:rsidRDefault="00790A0D" w:rsidP="006D2F5F">
            <w:pPr>
              <w:pStyle w:val="Tabulka"/>
              <w:jc w:val="left"/>
              <w:rPr>
                <w:rFonts w:cs="Calibri"/>
              </w:rPr>
            </w:pPr>
          </w:p>
          <w:p w14:paraId="4BBA709B" w14:textId="77777777" w:rsidR="00790A0D" w:rsidRPr="00DD47DF" w:rsidRDefault="00790A0D" w:rsidP="006D2F5F">
            <w:pPr>
              <w:pStyle w:val="Tabulka"/>
              <w:jc w:val="left"/>
              <w:rPr>
                <w:rFonts w:cs="Calibri"/>
              </w:rPr>
            </w:pPr>
          </w:p>
        </w:tc>
        <w:tc>
          <w:tcPr>
            <w:tcW w:w="1843" w:type="dxa"/>
            <w:shd w:val="clear" w:color="auto" w:fill="auto"/>
          </w:tcPr>
          <w:p w14:paraId="4A7ED48E" w14:textId="77777777" w:rsidR="00790A0D" w:rsidRPr="00DD47DF" w:rsidRDefault="00790A0D" w:rsidP="006D2F5F">
            <w:pPr>
              <w:pStyle w:val="Tabulka"/>
              <w:jc w:val="left"/>
              <w:rPr>
                <w:rFonts w:cs="Calibri"/>
              </w:rPr>
            </w:pPr>
            <w:r w:rsidRPr="00DD47DF">
              <w:rPr>
                <w:rFonts w:cs="Calibri"/>
              </w:rPr>
              <w:lastRenderedPageBreak/>
              <w:t xml:space="preserve">Zvláštními </w:t>
            </w:r>
            <w:r w:rsidRPr="00DD47DF">
              <w:rPr>
                <w:rFonts w:cs="Calibri"/>
              </w:rPr>
              <w:lastRenderedPageBreak/>
              <w:t>opatřeními jsou:</w:t>
            </w:r>
          </w:p>
        </w:tc>
        <w:tc>
          <w:tcPr>
            <w:tcW w:w="1134" w:type="dxa"/>
            <w:shd w:val="clear" w:color="auto" w:fill="auto"/>
          </w:tcPr>
          <w:p w14:paraId="7EAD3B27" w14:textId="77777777" w:rsidR="00790A0D" w:rsidRPr="00DD47DF" w:rsidRDefault="008B1FD2" w:rsidP="006D2F5F">
            <w:pPr>
              <w:pStyle w:val="Tabulka"/>
              <w:jc w:val="left"/>
              <w:rPr>
                <w:rFonts w:cs="Calibri"/>
              </w:rPr>
            </w:pPr>
            <w:r w:rsidRPr="00DD47DF">
              <w:rPr>
                <w:rFonts w:cs="Calibri"/>
              </w:rPr>
              <w:lastRenderedPageBreak/>
              <w:t>ne</w:t>
            </w:r>
          </w:p>
        </w:tc>
        <w:tc>
          <w:tcPr>
            <w:tcW w:w="2126" w:type="dxa"/>
            <w:shd w:val="clear" w:color="auto" w:fill="auto"/>
          </w:tcPr>
          <w:p w14:paraId="56C332C4" w14:textId="77777777" w:rsidR="00790A0D" w:rsidRPr="00DD47DF" w:rsidRDefault="00790A0D" w:rsidP="006D2F5F">
            <w:pPr>
              <w:pStyle w:val="Tabulka"/>
              <w:jc w:val="left"/>
              <w:rPr>
                <w:rFonts w:cs="Calibri"/>
              </w:rPr>
            </w:pPr>
          </w:p>
        </w:tc>
        <w:tc>
          <w:tcPr>
            <w:tcW w:w="4394" w:type="dxa"/>
            <w:shd w:val="clear" w:color="auto" w:fill="auto"/>
          </w:tcPr>
          <w:p w14:paraId="197F5CC0" w14:textId="77777777" w:rsidR="00790A0D" w:rsidRPr="00DD47DF" w:rsidRDefault="00790A0D" w:rsidP="006D2F5F">
            <w:pPr>
              <w:pStyle w:val="Tabulka"/>
              <w:jc w:val="left"/>
              <w:rPr>
                <w:rFonts w:cs="Calibri"/>
              </w:rPr>
            </w:pPr>
            <w:r w:rsidRPr="00DD47DF">
              <w:rPr>
                <w:rFonts w:cs="Calibri"/>
              </w:rPr>
              <w:t xml:space="preserve">Vládou byla schválena Strategie mezinárodní </w:t>
            </w:r>
            <w:r w:rsidRPr="00DD47DF">
              <w:rPr>
                <w:rFonts w:cs="Calibri"/>
              </w:rPr>
              <w:lastRenderedPageBreak/>
              <w:t>konkurenceschopnosti (SMK) v r. 2011.</w:t>
            </w:r>
          </w:p>
          <w:p w14:paraId="4615F988" w14:textId="77777777" w:rsidR="00790A0D" w:rsidRPr="00DD47DF" w:rsidRDefault="00580034" w:rsidP="006D2F5F">
            <w:pPr>
              <w:pStyle w:val="Tabulka"/>
              <w:jc w:val="left"/>
              <w:rPr>
                <w:rFonts w:cs="Calibri"/>
              </w:rPr>
            </w:pPr>
            <w:hyperlink r:id="rId135" w:history="1">
              <w:r w:rsidR="00790A0D" w:rsidRPr="00DD47DF">
                <w:rPr>
                  <w:rStyle w:val="Hypertextovodkaz"/>
                  <w:rFonts w:cs="Calibri"/>
                </w:rPr>
                <w:t>http://www.vlada.cz/assets/media-centrum/aktualne/Strategie-mezinarodni-konkurenceschopnosti-Ceske-republiky.pdf</w:t>
              </w:r>
            </w:hyperlink>
          </w:p>
          <w:p w14:paraId="5412B0B2" w14:textId="77777777" w:rsidR="00790A0D" w:rsidRPr="00DD47DF" w:rsidRDefault="00790A0D" w:rsidP="006D2F5F">
            <w:pPr>
              <w:pStyle w:val="Tabulka"/>
              <w:jc w:val="left"/>
              <w:rPr>
                <w:rFonts w:cs="Calibri"/>
              </w:rPr>
            </w:pPr>
            <w:r w:rsidRPr="00DD47DF">
              <w:rPr>
                <w:rFonts w:cs="Calibri"/>
              </w:rPr>
              <w:t xml:space="preserve">SMK implementaci opatření vedoucích k naplnění Small Business Act uvádí v projektovém záměru 36. </w:t>
            </w:r>
          </w:p>
          <w:p w14:paraId="6C1171C8" w14:textId="77777777" w:rsidR="00790A0D" w:rsidRPr="00DD47DF" w:rsidRDefault="00790A0D" w:rsidP="006D2F5F">
            <w:pPr>
              <w:pStyle w:val="Tabulka"/>
              <w:jc w:val="left"/>
              <w:rPr>
                <w:rFonts w:cs="Calibri"/>
              </w:rPr>
            </w:pPr>
            <w:r w:rsidRPr="00DD47DF">
              <w:rPr>
                <w:rFonts w:cs="Calibri"/>
              </w:rPr>
              <w:t>Opatření jsou též součástí Národního programu reforem (2014), kap. 4.2 (NPR neřeší přímo otázku implementace SBA).</w:t>
            </w:r>
          </w:p>
          <w:p w14:paraId="7446ECAE" w14:textId="77777777" w:rsidR="00790A0D" w:rsidRPr="00DD47DF" w:rsidRDefault="00580034" w:rsidP="006D2F5F">
            <w:pPr>
              <w:pStyle w:val="Tabulka"/>
              <w:jc w:val="left"/>
              <w:rPr>
                <w:rFonts w:cs="Calibri"/>
              </w:rPr>
            </w:pPr>
            <w:hyperlink r:id="rId136" w:history="1">
              <w:r w:rsidR="00790A0D" w:rsidRPr="00DD47DF">
                <w:rPr>
                  <w:rStyle w:val="Hypertextovodkaz"/>
                  <w:rFonts w:cs="Calibri"/>
                </w:rPr>
                <w:t>http://www.vlada.cz/assets/evropske-zalezitosti/aktualne/NPR-2014.pdf</w:t>
              </w:r>
            </w:hyperlink>
          </w:p>
        </w:tc>
      </w:tr>
      <w:tr w:rsidR="00790A0D" w:rsidRPr="00DD47DF" w14:paraId="3BE6B4C2" w14:textId="77777777" w:rsidTr="006D2F5F">
        <w:tc>
          <w:tcPr>
            <w:tcW w:w="1752" w:type="dxa"/>
            <w:vMerge/>
            <w:shd w:val="clear" w:color="auto" w:fill="auto"/>
          </w:tcPr>
          <w:p w14:paraId="7FA7774A" w14:textId="77777777" w:rsidR="00790A0D" w:rsidRPr="00DD47DF" w:rsidRDefault="00790A0D" w:rsidP="006D2F5F">
            <w:pPr>
              <w:pStyle w:val="Tabulka"/>
              <w:jc w:val="left"/>
              <w:rPr>
                <w:rFonts w:cs="Calibri"/>
                <w:b/>
              </w:rPr>
            </w:pPr>
          </w:p>
        </w:tc>
        <w:tc>
          <w:tcPr>
            <w:tcW w:w="1701" w:type="dxa"/>
            <w:vMerge/>
            <w:shd w:val="clear" w:color="auto" w:fill="auto"/>
          </w:tcPr>
          <w:p w14:paraId="56983E87" w14:textId="77777777" w:rsidR="00790A0D" w:rsidRPr="00DD47DF" w:rsidRDefault="00790A0D" w:rsidP="006D2F5F">
            <w:pPr>
              <w:pStyle w:val="Tabulka"/>
              <w:jc w:val="left"/>
              <w:rPr>
                <w:rFonts w:cs="Calibri"/>
              </w:rPr>
            </w:pPr>
          </w:p>
        </w:tc>
        <w:tc>
          <w:tcPr>
            <w:tcW w:w="1276" w:type="dxa"/>
            <w:vMerge/>
            <w:shd w:val="clear" w:color="auto" w:fill="auto"/>
          </w:tcPr>
          <w:p w14:paraId="29A3A992" w14:textId="77777777" w:rsidR="00790A0D" w:rsidRPr="00DD47DF" w:rsidRDefault="00790A0D" w:rsidP="006D2F5F">
            <w:pPr>
              <w:pStyle w:val="Tabulka"/>
              <w:jc w:val="left"/>
              <w:rPr>
                <w:rFonts w:cs="Calibri"/>
              </w:rPr>
            </w:pPr>
          </w:p>
        </w:tc>
        <w:tc>
          <w:tcPr>
            <w:tcW w:w="1843" w:type="dxa"/>
            <w:shd w:val="clear" w:color="auto" w:fill="auto"/>
          </w:tcPr>
          <w:p w14:paraId="06AD086E" w14:textId="77777777" w:rsidR="00790A0D" w:rsidRPr="00DD47DF" w:rsidRDefault="00790A0D" w:rsidP="006D2F5F">
            <w:pPr>
              <w:pStyle w:val="Tabulka"/>
              <w:jc w:val="left"/>
              <w:rPr>
                <w:rFonts w:cs="Calibri"/>
              </w:rPr>
            </w:pPr>
            <w:r w:rsidRPr="00DD47DF">
              <w:rPr>
                <w:rFonts w:cs="Calibri"/>
              </w:rPr>
              <w:t>• opatření zavedená s cílem zkrátit dobu potřebnou k založení firmy a snížit příslušné náklady, která zohledňují cíle SBA;</w:t>
            </w:r>
          </w:p>
        </w:tc>
        <w:tc>
          <w:tcPr>
            <w:tcW w:w="1134" w:type="dxa"/>
            <w:shd w:val="clear" w:color="auto" w:fill="auto"/>
          </w:tcPr>
          <w:p w14:paraId="372914E4" w14:textId="77777777" w:rsidR="00790A0D" w:rsidRPr="00DD47DF" w:rsidRDefault="008B1FD2" w:rsidP="006D2F5F">
            <w:pPr>
              <w:pStyle w:val="Tabulka"/>
              <w:jc w:val="left"/>
              <w:rPr>
                <w:rFonts w:cs="Calibri"/>
              </w:rPr>
            </w:pPr>
            <w:r w:rsidRPr="00DD47DF">
              <w:rPr>
                <w:rFonts w:cs="Calibri"/>
              </w:rPr>
              <w:t>ne</w:t>
            </w:r>
          </w:p>
          <w:p w14:paraId="3E1339C2" w14:textId="77777777" w:rsidR="00790A0D" w:rsidRPr="00DD47DF" w:rsidRDefault="00790A0D" w:rsidP="006D2F5F">
            <w:pPr>
              <w:pStyle w:val="Tabulka"/>
              <w:jc w:val="left"/>
              <w:rPr>
                <w:rFonts w:cs="Calibri"/>
              </w:rPr>
            </w:pPr>
          </w:p>
        </w:tc>
        <w:tc>
          <w:tcPr>
            <w:tcW w:w="2126" w:type="dxa"/>
            <w:shd w:val="clear" w:color="auto" w:fill="auto"/>
          </w:tcPr>
          <w:p w14:paraId="029B9388" w14:textId="77777777" w:rsidR="00790A0D" w:rsidRPr="00DD47DF" w:rsidRDefault="00790A0D" w:rsidP="006D2F5F">
            <w:pPr>
              <w:pStyle w:val="Tabulka"/>
              <w:jc w:val="left"/>
              <w:rPr>
                <w:rFonts w:cs="Calibri"/>
              </w:rPr>
            </w:pPr>
            <w:r w:rsidRPr="00DD47DF">
              <w:rPr>
                <w:rFonts w:cs="Calibri"/>
              </w:rPr>
              <w:t>Živnostenský zákon:</w:t>
            </w:r>
          </w:p>
          <w:p w14:paraId="257789E5" w14:textId="77777777" w:rsidR="00790A0D" w:rsidRPr="00DD47DF" w:rsidRDefault="00580034" w:rsidP="006D2F5F">
            <w:pPr>
              <w:pStyle w:val="Tabulka"/>
              <w:jc w:val="left"/>
              <w:rPr>
                <w:rFonts w:cs="Calibri"/>
              </w:rPr>
            </w:pPr>
            <w:hyperlink r:id="rId137" w:history="1">
              <w:r w:rsidR="00790A0D" w:rsidRPr="00DD47DF">
                <w:rPr>
                  <w:rStyle w:val="Hypertextovodkaz"/>
                  <w:rFonts w:cs="Calibri"/>
                </w:rPr>
                <w:t>http://www.mpo.cz/dokument144140.html</w:t>
              </w:r>
            </w:hyperlink>
          </w:p>
          <w:p w14:paraId="75F1E697" w14:textId="77777777" w:rsidR="00790A0D" w:rsidRPr="00DD47DF" w:rsidRDefault="00790A0D" w:rsidP="006D2F5F">
            <w:pPr>
              <w:pStyle w:val="Tabulka"/>
              <w:jc w:val="left"/>
              <w:rPr>
                <w:rFonts w:cs="Calibri"/>
              </w:rPr>
            </w:pPr>
            <w:r w:rsidRPr="00DD47DF">
              <w:rPr>
                <w:rFonts w:cs="Calibri"/>
              </w:rPr>
              <w:t>Zákon č.304/2013 Sb., o veřejných rejstřících právnických a fyzických osob platný od 30.9.2013, účinný od 1.1.2014.</w:t>
            </w:r>
          </w:p>
          <w:p w14:paraId="5C281BE0" w14:textId="77777777" w:rsidR="00790A0D" w:rsidRPr="00DD47DF" w:rsidRDefault="00580034" w:rsidP="006D2F5F">
            <w:pPr>
              <w:pStyle w:val="Tabulka"/>
              <w:jc w:val="left"/>
              <w:rPr>
                <w:rFonts w:cs="Calibri"/>
              </w:rPr>
            </w:pPr>
            <w:hyperlink r:id="rId138" w:history="1">
              <w:r w:rsidR="00790A0D" w:rsidRPr="00DD47DF">
                <w:rPr>
                  <w:rStyle w:val="Hypertextovodkaz"/>
                  <w:rFonts w:cs="Calibri"/>
                </w:rPr>
                <w:t>http://www.sbirka.cz/POSL4TYD/NOVE/13-304.htm</w:t>
              </w:r>
            </w:hyperlink>
            <w:r w:rsidR="00790A0D" w:rsidRPr="00DD47DF">
              <w:rPr>
                <w:rFonts w:cs="Calibri"/>
              </w:rPr>
              <w:t>)</w:t>
            </w:r>
          </w:p>
        </w:tc>
        <w:tc>
          <w:tcPr>
            <w:tcW w:w="4394" w:type="dxa"/>
            <w:shd w:val="clear" w:color="auto" w:fill="auto"/>
          </w:tcPr>
          <w:p w14:paraId="09C2454F" w14:textId="77777777" w:rsidR="00790A0D" w:rsidRPr="00DD47DF" w:rsidRDefault="00790A0D" w:rsidP="006D2F5F">
            <w:pPr>
              <w:pStyle w:val="Tabulka"/>
              <w:jc w:val="left"/>
              <w:rPr>
                <w:rFonts w:cs="Calibri"/>
              </w:rPr>
            </w:pPr>
            <w:r w:rsidRPr="00DD47DF">
              <w:rPr>
                <w:rFonts w:cs="Calibri"/>
              </w:rPr>
              <w:t xml:space="preserve">Pro oblast živnostenského podnikání (gesce MPO) zákonem č. 130/2008 Sb. došlo ke snížení nákladů na vstup do živnostenského podnikání a zkrátila se doba pro vydání dokladu o vzniku práva podnikat (z 15 na 5 pracovních dní). Oprávnění lze získat při splnění podmínek dle zákona i ve velmi krátké době (několik desítek minut, resp. na počkání). Vstupní náklady činí 1000 Kč. </w:t>
            </w:r>
          </w:p>
          <w:p w14:paraId="7CE98E82" w14:textId="77777777" w:rsidR="00790A0D" w:rsidRPr="00DD47DF" w:rsidRDefault="00790A0D" w:rsidP="006D2F5F">
            <w:pPr>
              <w:pStyle w:val="Tabulka"/>
              <w:jc w:val="left"/>
              <w:rPr>
                <w:rFonts w:cs="Calibri"/>
              </w:rPr>
            </w:pPr>
            <w:r w:rsidRPr="00DD47DF">
              <w:rPr>
                <w:rFonts w:cs="Calibri"/>
              </w:rPr>
              <w:t>Zákon č. 304/2013 Sb., stanovuje povinnost soudu zapsat společnost do 5 pracovních dní. Současně umožňuje, aby zápis provedl notář. Bude-li mít k dispozici všechny dokumenty, zápis provede během 1 dne.</w:t>
            </w:r>
          </w:p>
          <w:p w14:paraId="270D14E1" w14:textId="77777777" w:rsidR="00790A0D" w:rsidRPr="00DD47DF" w:rsidRDefault="00790A0D" w:rsidP="004229B0">
            <w:pPr>
              <w:pStyle w:val="Tabulka"/>
              <w:jc w:val="left"/>
              <w:rPr>
                <w:rFonts w:cs="Calibri"/>
              </w:rPr>
            </w:pPr>
            <w:r w:rsidRPr="00DD47DF">
              <w:rPr>
                <w:rFonts w:cs="Calibri"/>
              </w:rPr>
              <w:t>M</w:t>
            </w:r>
            <w:r w:rsidR="00AA6B7B" w:rsidRPr="00DD47DF">
              <w:rPr>
                <w:rFonts w:cs="Calibri"/>
              </w:rPr>
              <w:t>Sp</w:t>
            </w:r>
            <w:r w:rsidRPr="00DD47DF">
              <w:rPr>
                <w:rFonts w:cs="Calibri"/>
              </w:rPr>
              <w:t xml:space="preserve"> připravuje v souladu se zpracovaným akčním plánem legislativní řešení, které </w:t>
            </w:r>
            <w:r w:rsidR="005D3071" w:rsidRPr="00DD47DF">
              <w:rPr>
                <w:rFonts w:cs="Calibri"/>
              </w:rPr>
              <w:t xml:space="preserve">při splnění podmínek umožní založení s.r.o. za nižší náklady, které budou tvořeny pouze odměnou notáře. </w:t>
            </w:r>
            <w:r w:rsidR="00AA6B7B" w:rsidRPr="00DD47DF">
              <w:rPr>
                <w:rFonts w:cs="Calibri"/>
              </w:rPr>
              <w:t xml:space="preserve">Návrh zákona </w:t>
            </w:r>
            <w:r w:rsidR="004229B0" w:rsidRPr="00DD47DF">
              <w:rPr>
                <w:rFonts w:cs="Calibri"/>
              </w:rPr>
              <w:t xml:space="preserve">byl </w:t>
            </w:r>
            <w:r w:rsidR="00AA6B7B" w:rsidRPr="00DD47DF">
              <w:rPr>
                <w:rFonts w:cs="Calibri"/>
              </w:rPr>
              <w:t xml:space="preserve">vládě </w:t>
            </w:r>
            <w:r w:rsidR="00AA6B7B" w:rsidRPr="00DD47DF">
              <w:rPr>
                <w:rFonts w:cs="Calibri"/>
              </w:rPr>
              <w:lastRenderedPageBreak/>
              <w:t>předložen v prosinci 2014, účinnost se předpokládá v 2. polovině r. 2015.</w:t>
            </w:r>
            <w:r w:rsidRPr="00DD47DF">
              <w:rPr>
                <w:rFonts w:cs="Calibri"/>
              </w:rPr>
              <w:t>Viz Příloha č.II</w:t>
            </w:r>
            <w:r w:rsidR="00FD5951" w:rsidRPr="00DD47DF">
              <w:rPr>
                <w:rFonts w:cs="Calibri"/>
              </w:rPr>
              <w:t xml:space="preserve"> a Akční plán v gesci MSp</w:t>
            </w:r>
            <w:r w:rsidRPr="00DD47DF">
              <w:rPr>
                <w:rFonts w:cs="Calibri"/>
              </w:rPr>
              <w:t>.</w:t>
            </w:r>
          </w:p>
        </w:tc>
      </w:tr>
      <w:tr w:rsidR="00790A0D" w:rsidRPr="00DD47DF" w14:paraId="151217DA" w14:textId="77777777" w:rsidTr="006D2F5F">
        <w:tc>
          <w:tcPr>
            <w:tcW w:w="1752" w:type="dxa"/>
            <w:vMerge/>
            <w:shd w:val="clear" w:color="auto" w:fill="auto"/>
          </w:tcPr>
          <w:p w14:paraId="1CB15916" w14:textId="77777777" w:rsidR="00790A0D" w:rsidRPr="00DD47DF" w:rsidRDefault="00790A0D" w:rsidP="006D2F5F">
            <w:pPr>
              <w:pStyle w:val="Tabulka"/>
              <w:jc w:val="left"/>
              <w:rPr>
                <w:rFonts w:cs="Calibri"/>
                <w:b/>
              </w:rPr>
            </w:pPr>
          </w:p>
        </w:tc>
        <w:tc>
          <w:tcPr>
            <w:tcW w:w="1701" w:type="dxa"/>
            <w:vMerge/>
            <w:shd w:val="clear" w:color="auto" w:fill="auto"/>
          </w:tcPr>
          <w:p w14:paraId="5AB355F7" w14:textId="77777777" w:rsidR="00790A0D" w:rsidRPr="00DD47DF" w:rsidRDefault="00790A0D" w:rsidP="006D2F5F">
            <w:pPr>
              <w:pStyle w:val="Tabulka"/>
              <w:jc w:val="left"/>
              <w:rPr>
                <w:rFonts w:cs="Calibri"/>
              </w:rPr>
            </w:pPr>
          </w:p>
        </w:tc>
        <w:tc>
          <w:tcPr>
            <w:tcW w:w="1276" w:type="dxa"/>
            <w:vMerge/>
            <w:shd w:val="clear" w:color="auto" w:fill="auto"/>
          </w:tcPr>
          <w:p w14:paraId="2CF5CEAE" w14:textId="77777777" w:rsidR="00790A0D" w:rsidRPr="00DD47DF" w:rsidRDefault="00790A0D" w:rsidP="006D2F5F">
            <w:pPr>
              <w:pStyle w:val="Tabulka"/>
              <w:jc w:val="left"/>
              <w:rPr>
                <w:rFonts w:cs="Calibri"/>
              </w:rPr>
            </w:pPr>
          </w:p>
        </w:tc>
        <w:tc>
          <w:tcPr>
            <w:tcW w:w="1843" w:type="dxa"/>
            <w:shd w:val="clear" w:color="auto" w:fill="auto"/>
          </w:tcPr>
          <w:p w14:paraId="6D06BCE7" w14:textId="77777777" w:rsidR="00790A0D" w:rsidRPr="00DD47DF" w:rsidRDefault="00790A0D" w:rsidP="006D2F5F">
            <w:pPr>
              <w:pStyle w:val="Tabulka"/>
              <w:jc w:val="left"/>
              <w:rPr>
                <w:rFonts w:cs="Calibri"/>
              </w:rPr>
            </w:pPr>
            <w:r w:rsidRPr="00DD47DF">
              <w:rPr>
                <w:rFonts w:cs="Calibri"/>
              </w:rPr>
              <w:t>• opatření zavedená s cílem zkrátit dobu potřebnou k získání licencí a povolení k zahájení a provádění konkrétní činnosti podniku, která zohledňují cíle SBA;</w:t>
            </w:r>
          </w:p>
        </w:tc>
        <w:tc>
          <w:tcPr>
            <w:tcW w:w="1134" w:type="dxa"/>
            <w:shd w:val="clear" w:color="auto" w:fill="auto"/>
          </w:tcPr>
          <w:p w14:paraId="3689E600"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349600B" w14:textId="77777777" w:rsidR="00790A0D" w:rsidRPr="00DD47DF" w:rsidRDefault="00790A0D" w:rsidP="006D2F5F">
            <w:pPr>
              <w:pStyle w:val="Tabulka"/>
              <w:jc w:val="left"/>
              <w:rPr>
                <w:rFonts w:cs="Calibri"/>
              </w:rPr>
            </w:pPr>
            <w:r w:rsidRPr="00DD47DF">
              <w:rPr>
                <w:rFonts w:cs="Calibri"/>
              </w:rPr>
              <w:t>Živnostenský zákon:</w:t>
            </w:r>
          </w:p>
          <w:p w14:paraId="10F6823B" w14:textId="77777777" w:rsidR="00790A0D" w:rsidRPr="00DD47DF" w:rsidRDefault="00580034" w:rsidP="006D2F5F">
            <w:pPr>
              <w:pStyle w:val="Tabulka"/>
              <w:jc w:val="left"/>
              <w:rPr>
                <w:rFonts w:cs="Calibri"/>
              </w:rPr>
            </w:pPr>
            <w:hyperlink r:id="rId139" w:history="1">
              <w:r w:rsidR="00790A0D" w:rsidRPr="00DD47DF">
                <w:rPr>
                  <w:rStyle w:val="Hypertextovodkaz"/>
                  <w:rFonts w:cs="Calibri"/>
                </w:rPr>
                <w:t>http://www.mpo.cz/dokument144140.html</w:t>
              </w:r>
            </w:hyperlink>
          </w:p>
        </w:tc>
        <w:tc>
          <w:tcPr>
            <w:tcW w:w="4394" w:type="dxa"/>
            <w:shd w:val="clear" w:color="auto" w:fill="auto"/>
          </w:tcPr>
          <w:p w14:paraId="5BEECB0D" w14:textId="77777777" w:rsidR="00790A0D" w:rsidRPr="00DD47DF" w:rsidRDefault="00790A0D" w:rsidP="006D2F5F">
            <w:pPr>
              <w:pStyle w:val="Tabulka"/>
              <w:jc w:val="left"/>
              <w:rPr>
                <w:rFonts w:cs="Calibri"/>
              </w:rPr>
            </w:pPr>
            <w:r w:rsidRPr="00DD47DF">
              <w:rPr>
                <w:rFonts w:cs="Calibri"/>
              </w:rPr>
              <w:t>V oblasti živnostenského podnikání (gesce MPO) při splnění podmínek zákona může podnikatel od okamžiku ohlášení živnosti již podnikat. Pouze u koncesovaných živností je doba pro vznik oprávnění podnikat delší (cca 1 měsíc od podání žádosti). Zákonem č. 130/2008 Sb. došlo ke snížení nákladů na vstup do živnostenského podnikání a zkrátila se doba pro vydání dokladu o vzniku práva podnikat (z 15 dní na 5 pracovních dní).</w:t>
            </w:r>
          </w:p>
          <w:p w14:paraId="72F0A5B5" w14:textId="77777777" w:rsidR="00790A0D" w:rsidRPr="00DD47DF" w:rsidRDefault="00790A0D" w:rsidP="006D2F5F">
            <w:pPr>
              <w:pStyle w:val="Tabulka"/>
              <w:jc w:val="left"/>
              <w:rPr>
                <w:rFonts w:cs="Calibri"/>
              </w:rPr>
            </w:pPr>
            <w:r w:rsidRPr="00DD47DF">
              <w:rPr>
                <w:rFonts w:cs="Calibri"/>
              </w:rPr>
              <w:t>Podrobněji – viz Příloha č. II.</w:t>
            </w:r>
          </w:p>
        </w:tc>
      </w:tr>
      <w:tr w:rsidR="00790A0D" w:rsidRPr="00DD47DF" w14:paraId="5AA75410" w14:textId="77777777" w:rsidTr="006D2F5F">
        <w:tc>
          <w:tcPr>
            <w:tcW w:w="1752" w:type="dxa"/>
            <w:vMerge/>
            <w:shd w:val="clear" w:color="auto" w:fill="auto"/>
          </w:tcPr>
          <w:p w14:paraId="7229CCDA" w14:textId="77777777" w:rsidR="00790A0D" w:rsidRPr="00DD47DF" w:rsidRDefault="00790A0D" w:rsidP="006D2F5F">
            <w:pPr>
              <w:pStyle w:val="Tabulka"/>
              <w:jc w:val="left"/>
              <w:rPr>
                <w:rFonts w:cs="Calibri"/>
                <w:b/>
              </w:rPr>
            </w:pPr>
          </w:p>
        </w:tc>
        <w:tc>
          <w:tcPr>
            <w:tcW w:w="1701" w:type="dxa"/>
            <w:vMerge/>
            <w:shd w:val="clear" w:color="auto" w:fill="auto"/>
          </w:tcPr>
          <w:p w14:paraId="48A4AC0C" w14:textId="77777777" w:rsidR="00790A0D" w:rsidRPr="00DD47DF" w:rsidRDefault="00790A0D" w:rsidP="006D2F5F">
            <w:pPr>
              <w:pStyle w:val="Tabulka"/>
              <w:jc w:val="left"/>
              <w:rPr>
                <w:rFonts w:cs="Calibri"/>
              </w:rPr>
            </w:pPr>
          </w:p>
        </w:tc>
        <w:tc>
          <w:tcPr>
            <w:tcW w:w="1276" w:type="dxa"/>
            <w:vMerge/>
            <w:shd w:val="clear" w:color="auto" w:fill="auto"/>
          </w:tcPr>
          <w:p w14:paraId="70693514" w14:textId="77777777" w:rsidR="00790A0D" w:rsidRPr="00DD47DF" w:rsidRDefault="00790A0D" w:rsidP="006D2F5F">
            <w:pPr>
              <w:pStyle w:val="Tabulka"/>
              <w:jc w:val="left"/>
              <w:rPr>
                <w:rFonts w:cs="Calibri"/>
              </w:rPr>
            </w:pPr>
          </w:p>
        </w:tc>
        <w:tc>
          <w:tcPr>
            <w:tcW w:w="1843" w:type="dxa"/>
            <w:shd w:val="clear" w:color="auto" w:fill="auto"/>
          </w:tcPr>
          <w:p w14:paraId="0F262F9D" w14:textId="77777777" w:rsidR="00790A0D" w:rsidRPr="00DD47DF" w:rsidRDefault="00790A0D" w:rsidP="006D2F5F">
            <w:pPr>
              <w:pStyle w:val="Tabulka"/>
              <w:jc w:val="left"/>
              <w:rPr>
                <w:rFonts w:cs="Calibri"/>
              </w:rPr>
            </w:pPr>
            <w:r w:rsidRPr="00DD47DF">
              <w:rPr>
                <w:rFonts w:cs="Calibri"/>
              </w:rPr>
              <w:t>• mechanismus zavedený s cílem monitorovat provádění kroků spjatých s SBA, které byly podniknuty a posuzovat dopady právních předpisů na malé a střední podniky</w:t>
            </w:r>
          </w:p>
        </w:tc>
        <w:tc>
          <w:tcPr>
            <w:tcW w:w="1134" w:type="dxa"/>
            <w:shd w:val="clear" w:color="auto" w:fill="auto"/>
          </w:tcPr>
          <w:p w14:paraId="46FD4A83"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7E20716E" w14:textId="77777777" w:rsidR="00790A0D" w:rsidRPr="00DD47DF" w:rsidRDefault="00790A0D" w:rsidP="006D2F5F">
            <w:pPr>
              <w:pStyle w:val="Tabulka"/>
              <w:jc w:val="left"/>
              <w:rPr>
                <w:rFonts w:cs="Calibri"/>
              </w:rPr>
            </w:pPr>
            <w:r w:rsidRPr="00DD47DF">
              <w:rPr>
                <w:rFonts w:cs="Calibri"/>
              </w:rPr>
              <w:t>Proces RIA:</w:t>
            </w:r>
          </w:p>
          <w:p w14:paraId="3DAC941A" w14:textId="77777777" w:rsidR="00790A0D" w:rsidRPr="00DD47DF" w:rsidRDefault="00580034" w:rsidP="006D2F5F">
            <w:pPr>
              <w:pStyle w:val="Tabulka"/>
              <w:jc w:val="left"/>
              <w:rPr>
                <w:rFonts w:cs="Calibri"/>
              </w:rPr>
            </w:pPr>
            <w:hyperlink r:id="rId140" w:history="1">
              <w:r w:rsidR="00790A0D" w:rsidRPr="00DD47DF">
                <w:rPr>
                  <w:rStyle w:val="Hypertextovodkaz"/>
                  <w:rFonts w:cs="Calibri"/>
                </w:rPr>
                <w:t>http://www.vlada.cz/assets/ppov/lrv/ria/metodiky/Uplne-zneni-Obecnych-zasad-_ucinnost-od-1-2--2014_.pdf</w:t>
              </w:r>
            </w:hyperlink>
          </w:p>
        </w:tc>
        <w:tc>
          <w:tcPr>
            <w:tcW w:w="4394" w:type="dxa"/>
            <w:shd w:val="clear" w:color="auto" w:fill="auto"/>
          </w:tcPr>
          <w:p w14:paraId="20BA8F20" w14:textId="77777777" w:rsidR="00790A0D" w:rsidRPr="00DD47DF" w:rsidRDefault="00790A0D" w:rsidP="006D2F5F">
            <w:pPr>
              <w:pStyle w:val="Tabulka"/>
              <w:jc w:val="left"/>
              <w:rPr>
                <w:rFonts w:cs="Calibri"/>
              </w:rPr>
            </w:pPr>
            <w:r w:rsidRPr="00DD47DF">
              <w:rPr>
                <w:rFonts w:cs="Calibri"/>
              </w:rPr>
              <w:t>Monitoring implementace SBA bude zajištěn ve formě vypracovávání a hodnocení zpráv o implementaci opatření obsažených v SBA v působnosti jednotlivých resortů, v rámci aktivit národního zmocněnce pro MSP.</w:t>
            </w:r>
          </w:p>
          <w:p w14:paraId="301184C2" w14:textId="77777777" w:rsidR="00790A0D" w:rsidRPr="00DD47DF" w:rsidRDefault="00790A0D" w:rsidP="006D2F5F">
            <w:pPr>
              <w:pStyle w:val="Tabulka"/>
              <w:jc w:val="left"/>
              <w:rPr>
                <w:rFonts w:cs="Calibri"/>
              </w:rPr>
            </w:pPr>
            <w:r w:rsidRPr="00DD47DF">
              <w:rPr>
                <w:rFonts w:cs="Calibri"/>
              </w:rPr>
              <w:t xml:space="preserve">Hodnocení dopadů na podnikatelské prostředí ve vazbě na velikost podnikatelů je obsaženou v hodnocení dopadů regulace (RIA) a je součástí legislativního procesu. </w:t>
            </w:r>
          </w:p>
          <w:p w14:paraId="2B1EE0EB" w14:textId="77777777" w:rsidR="00790A0D" w:rsidRPr="00DD47DF" w:rsidRDefault="00790A0D" w:rsidP="006D2F5F">
            <w:pPr>
              <w:pStyle w:val="Tabulka"/>
              <w:jc w:val="left"/>
              <w:rPr>
                <w:rFonts w:cs="Calibri"/>
              </w:rPr>
            </w:pPr>
            <w:r w:rsidRPr="00DD47DF">
              <w:rPr>
                <w:rFonts w:cs="Calibri"/>
              </w:rPr>
              <w:t>Podrobněji – viz Příloha č.II.</w:t>
            </w:r>
          </w:p>
        </w:tc>
      </w:tr>
      <w:tr w:rsidR="00790A0D" w:rsidRPr="00DD47DF" w14:paraId="2B415B03" w14:textId="77777777" w:rsidTr="006D2F5F">
        <w:tc>
          <w:tcPr>
            <w:tcW w:w="1752" w:type="dxa"/>
            <w:vMerge w:val="restart"/>
            <w:shd w:val="clear" w:color="auto" w:fill="auto"/>
          </w:tcPr>
          <w:p w14:paraId="6050C898" w14:textId="77777777" w:rsidR="00790A0D" w:rsidRPr="00DD47DF" w:rsidRDefault="00790A0D" w:rsidP="006D2F5F">
            <w:pPr>
              <w:pStyle w:val="Tabulka"/>
              <w:jc w:val="left"/>
              <w:rPr>
                <w:rFonts w:cs="Calibri"/>
                <w:b/>
              </w:rPr>
            </w:pPr>
            <w:r w:rsidRPr="00DD47DF">
              <w:rPr>
                <w:rFonts w:cs="Calibri"/>
                <w:b/>
              </w:rPr>
              <w:t xml:space="preserve">4.1. Byla provedena opatření na podporu nákladově efektivního </w:t>
            </w:r>
            <w:r w:rsidRPr="00DD47DF">
              <w:rPr>
                <w:rFonts w:cs="Calibri"/>
                <w:b/>
              </w:rPr>
              <w:lastRenderedPageBreak/>
              <w:t>zvyšování energetické účinnosti u koncového uživatele a nákladově efektivních investic do energetické účinnosti při výstavbě a renovaci budov.</w:t>
            </w:r>
          </w:p>
        </w:tc>
        <w:tc>
          <w:tcPr>
            <w:tcW w:w="1701" w:type="dxa"/>
            <w:vMerge w:val="restart"/>
            <w:shd w:val="clear" w:color="auto" w:fill="auto"/>
          </w:tcPr>
          <w:p w14:paraId="162C66CF" w14:textId="77777777" w:rsidR="00790A0D" w:rsidRPr="00DD47DF" w:rsidRDefault="00790A0D" w:rsidP="006D2F5F">
            <w:pPr>
              <w:pStyle w:val="Tabulka"/>
              <w:jc w:val="left"/>
              <w:rPr>
                <w:rFonts w:cs="Calibri"/>
              </w:rPr>
            </w:pPr>
            <w:r w:rsidRPr="00DD47DF">
              <w:rPr>
                <w:rFonts w:cs="Calibri"/>
              </w:rPr>
              <w:lastRenderedPageBreak/>
              <w:t xml:space="preserve">PO 3 - Účinné nakládání energií, rozvoj energetické infrastruktury a obnovitelných </w:t>
            </w:r>
            <w:r w:rsidRPr="00DD47DF">
              <w:rPr>
                <w:rFonts w:cs="Calibri"/>
              </w:rPr>
              <w:lastRenderedPageBreak/>
              <w:t>zdrojů energie, podpora zavádění nových technologií v oblasti nakládání energií a druhotných surovin</w:t>
            </w:r>
          </w:p>
        </w:tc>
        <w:tc>
          <w:tcPr>
            <w:tcW w:w="1276" w:type="dxa"/>
            <w:vMerge w:val="restart"/>
            <w:shd w:val="clear" w:color="auto" w:fill="auto"/>
          </w:tcPr>
          <w:p w14:paraId="4070C2C7" w14:textId="77777777" w:rsidR="00790A0D" w:rsidRPr="00DD47DF" w:rsidRDefault="00793FDC" w:rsidP="006D2F5F">
            <w:pPr>
              <w:pStyle w:val="Tabulka"/>
              <w:jc w:val="left"/>
              <w:rPr>
                <w:rFonts w:cs="Calibri"/>
              </w:rPr>
            </w:pPr>
            <w:r w:rsidRPr="00DD47DF">
              <w:rPr>
                <w:rFonts w:cs="Calibri"/>
              </w:rPr>
              <w:lastRenderedPageBreak/>
              <w:t>ne</w:t>
            </w:r>
          </w:p>
          <w:p w14:paraId="40ED333F" w14:textId="77777777" w:rsidR="00790A0D" w:rsidRPr="00DD47DF" w:rsidRDefault="00790A0D" w:rsidP="006D2F5F">
            <w:pPr>
              <w:pStyle w:val="Tabulka"/>
              <w:jc w:val="left"/>
              <w:rPr>
                <w:rFonts w:cs="Calibri"/>
              </w:rPr>
            </w:pPr>
          </w:p>
          <w:p w14:paraId="66D3C164" w14:textId="77777777" w:rsidR="00790A0D" w:rsidRPr="00DD47DF" w:rsidRDefault="00790A0D" w:rsidP="006D2F5F">
            <w:pPr>
              <w:pStyle w:val="Tabulka"/>
              <w:jc w:val="left"/>
              <w:rPr>
                <w:rFonts w:cs="Calibri"/>
              </w:rPr>
            </w:pPr>
          </w:p>
          <w:p w14:paraId="64AEFA6F" w14:textId="77777777" w:rsidR="00790A0D" w:rsidRPr="00DD47DF" w:rsidRDefault="00790A0D" w:rsidP="006D2F5F">
            <w:pPr>
              <w:pStyle w:val="Tabulka"/>
              <w:jc w:val="left"/>
              <w:rPr>
                <w:rFonts w:cs="Calibri"/>
              </w:rPr>
            </w:pPr>
          </w:p>
          <w:p w14:paraId="27CA5DC0" w14:textId="77777777" w:rsidR="00790A0D" w:rsidRPr="00DD47DF" w:rsidRDefault="00790A0D" w:rsidP="006D2F5F">
            <w:pPr>
              <w:pStyle w:val="Tabulka"/>
              <w:jc w:val="left"/>
              <w:rPr>
                <w:rFonts w:cs="Calibri"/>
              </w:rPr>
            </w:pPr>
          </w:p>
          <w:p w14:paraId="197B5808" w14:textId="77777777" w:rsidR="00790A0D" w:rsidRPr="00DD47DF" w:rsidRDefault="00790A0D" w:rsidP="006D2F5F">
            <w:pPr>
              <w:pStyle w:val="Tabulka"/>
              <w:jc w:val="left"/>
              <w:rPr>
                <w:rFonts w:cs="Calibri"/>
              </w:rPr>
            </w:pPr>
          </w:p>
          <w:p w14:paraId="2BECF71C" w14:textId="77777777" w:rsidR="00790A0D" w:rsidRPr="00DD47DF" w:rsidRDefault="00790A0D" w:rsidP="006D2F5F">
            <w:pPr>
              <w:pStyle w:val="Tabulka"/>
              <w:jc w:val="left"/>
              <w:rPr>
                <w:rFonts w:cs="Calibri"/>
              </w:rPr>
            </w:pPr>
          </w:p>
          <w:p w14:paraId="3CD0BC99" w14:textId="77777777" w:rsidR="00790A0D" w:rsidRPr="00DD47DF" w:rsidRDefault="00790A0D" w:rsidP="006D2F5F">
            <w:pPr>
              <w:pStyle w:val="Tabulka"/>
              <w:jc w:val="left"/>
              <w:rPr>
                <w:rFonts w:cs="Calibri"/>
              </w:rPr>
            </w:pPr>
          </w:p>
          <w:p w14:paraId="2EE001BD" w14:textId="77777777" w:rsidR="00790A0D" w:rsidRPr="00DD47DF" w:rsidRDefault="00790A0D" w:rsidP="006D2F5F">
            <w:pPr>
              <w:pStyle w:val="Tabulka"/>
              <w:jc w:val="left"/>
              <w:rPr>
                <w:rFonts w:cs="Calibri"/>
              </w:rPr>
            </w:pPr>
          </w:p>
          <w:p w14:paraId="62AF866D" w14:textId="77777777" w:rsidR="00790A0D" w:rsidRPr="00DD47DF" w:rsidRDefault="00790A0D" w:rsidP="006D2F5F">
            <w:pPr>
              <w:pStyle w:val="Tabulka"/>
              <w:jc w:val="left"/>
              <w:rPr>
                <w:rFonts w:cs="Calibri"/>
              </w:rPr>
            </w:pPr>
          </w:p>
          <w:p w14:paraId="02C4EA7A" w14:textId="77777777" w:rsidR="00790A0D" w:rsidRPr="00DD47DF" w:rsidRDefault="00790A0D" w:rsidP="006D2F5F">
            <w:pPr>
              <w:pStyle w:val="Tabulka"/>
              <w:jc w:val="left"/>
              <w:rPr>
                <w:rFonts w:cs="Calibri"/>
              </w:rPr>
            </w:pPr>
          </w:p>
          <w:p w14:paraId="57640CDB" w14:textId="77777777" w:rsidR="00790A0D" w:rsidRPr="00DD47DF" w:rsidRDefault="00790A0D" w:rsidP="006D2F5F">
            <w:pPr>
              <w:pStyle w:val="Tabulka"/>
              <w:jc w:val="left"/>
              <w:rPr>
                <w:rFonts w:cs="Calibri"/>
              </w:rPr>
            </w:pPr>
          </w:p>
        </w:tc>
        <w:tc>
          <w:tcPr>
            <w:tcW w:w="1843" w:type="dxa"/>
            <w:shd w:val="clear" w:color="auto" w:fill="auto"/>
          </w:tcPr>
          <w:p w14:paraId="344E12CA" w14:textId="77777777" w:rsidR="00790A0D" w:rsidRPr="00DD47DF" w:rsidRDefault="00790A0D" w:rsidP="006D2F5F">
            <w:pPr>
              <w:pStyle w:val="Tabulka"/>
              <w:jc w:val="left"/>
              <w:rPr>
                <w:rFonts w:cs="Calibri"/>
              </w:rPr>
            </w:pPr>
            <w:r w:rsidRPr="00DD47DF">
              <w:rPr>
                <w:rFonts w:cs="Calibri"/>
              </w:rPr>
              <w:lastRenderedPageBreak/>
              <w:t>Těmito opatřeními jsou:</w:t>
            </w:r>
          </w:p>
          <w:p w14:paraId="3233A913" w14:textId="77777777" w:rsidR="00790A0D" w:rsidRPr="00DD47DF" w:rsidRDefault="00790A0D" w:rsidP="006D2F5F">
            <w:pPr>
              <w:pStyle w:val="Tabulka"/>
              <w:jc w:val="left"/>
              <w:rPr>
                <w:rFonts w:cs="Calibri"/>
              </w:rPr>
            </w:pPr>
            <w:r w:rsidRPr="00DD47DF">
              <w:rPr>
                <w:rFonts w:cs="Calibri"/>
              </w:rPr>
              <w:t xml:space="preserve">Opatření k zajištění minimálních požadavků týkajících se </w:t>
            </w:r>
            <w:r w:rsidRPr="00DD47DF">
              <w:rPr>
                <w:rFonts w:cs="Calibri"/>
              </w:rPr>
              <w:lastRenderedPageBreak/>
              <w:t>energetické náročnosti budov v souladu s články 3, 4 a 5 směrnice Evropského parlamentu a Rady 2010/31/EU</w:t>
            </w:r>
            <w:r w:rsidRPr="00DD47DF">
              <w:rPr>
                <w:rStyle w:val="Znakapoznpodarou"/>
                <w:rFonts w:cs="Calibri"/>
              </w:rPr>
              <w:footnoteReference w:id="97"/>
            </w:r>
            <w:r w:rsidRPr="00DD47DF">
              <w:rPr>
                <w:rFonts w:cs="Calibri"/>
              </w:rPr>
              <w:t>,</w:t>
            </w:r>
          </w:p>
        </w:tc>
        <w:tc>
          <w:tcPr>
            <w:tcW w:w="1134" w:type="dxa"/>
            <w:shd w:val="clear" w:color="auto" w:fill="auto"/>
          </w:tcPr>
          <w:p w14:paraId="02EA01A4" w14:textId="77777777" w:rsidR="00790A0D" w:rsidRPr="00DD47DF" w:rsidRDefault="008B1FD2" w:rsidP="006D2F5F">
            <w:pPr>
              <w:pStyle w:val="Tabulka"/>
              <w:jc w:val="left"/>
              <w:rPr>
                <w:rFonts w:cs="Calibri"/>
              </w:rPr>
            </w:pPr>
            <w:r w:rsidRPr="00DD47DF">
              <w:rPr>
                <w:rFonts w:cs="Calibri"/>
              </w:rPr>
              <w:lastRenderedPageBreak/>
              <w:t>ne</w:t>
            </w:r>
          </w:p>
        </w:tc>
        <w:tc>
          <w:tcPr>
            <w:tcW w:w="2126" w:type="dxa"/>
            <w:shd w:val="clear" w:color="auto" w:fill="auto"/>
          </w:tcPr>
          <w:p w14:paraId="664DABD8" w14:textId="77777777" w:rsidR="00790A0D" w:rsidRPr="00DD47DF" w:rsidRDefault="00580034" w:rsidP="006D2F5F">
            <w:pPr>
              <w:pStyle w:val="Tabulka"/>
              <w:jc w:val="left"/>
              <w:rPr>
                <w:rFonts w:cs="Calibri"/>
              </w:rPr>
            </w:pPr>
            <w:hyperlink r:id="rId141" w:anchor="local-content" w:history="1">
              <w:r w:rsidR="00790A0D" w:rsidRPr="00DD47DF">
                <w:rPr>
                  <w:rStyle w:val="Hypertextovodkaz"/>
                  <w:rFonts w:cs="Calibri"/>
                </w:rPr>
                <w:t>zákon č. 406/2000 Sb. o hospodaření energií</w:t>
              </w:r>
            </w:hyperlink>
            <w:r w:rsidR="00790A0D" w:rsidRPr="00DD47DF">
              <w:rPr>
                <w:rFonts w:cs="Calibri"/>
              </w:rPr>
              <w:t xml:space="preserve">, konkrétně novela </w:t>
            </w:r>
            <w:hyperlink r:id="rId142" w:anchor="local-content" w:history="1">
              <w:r w:rsidR="00790A0D" w:rsidRPr="00DD47DF">
                <w:rPr>
                  <w:rStyle w:val="Hypertextovodkaz"/>
                  <w:rFonts w:cs="Calibri"/>
                </w:rPr>
                <w:t>zákona č. 318/2012 Sb.</w:t>
              </w:r>
            </w:hyperlink>
          </w:p>
        </w:tc>
        <w:tc>
          <w:tcPr>
            <w:tcW w:w="4394" w:type="dxa"/>
            <w:shd w:val="clear" w:color="auto" w:fill="auto"/>
          </w:tcPr>
          <w:p w14:paraId="4CC6714F" w14:textId="77777777" w:rsidR="00790A0D" w:rsidRPr="00DD47DF" w:rsidRDefault="00790A0D" w:rsidP="006D2F5F">
            <w:pPr>
              <w:pStyle w:val="Tabulka"/>
              <w:jc w:val="left"/>
              <w:rPr>
                <w:rFonts w:cs="Calibri"/>
              </w:rPr>
            </w:pPr>
            <w:r w:rsidRPr="00DD47DF">
              <w:rPr>
                <w:rFonts w:cs="Calibri"/>
              </w:rPr>
              <w:t>Transpozice směrnice byla provedena implementaci do zákona č. 406/2000 Sb. o hospodaření energií, konkrétně novelou zákona č. 318/2012 Sb. ze dne 24. října 2012.</w:t>
            </w:r>
          </w:p>
          <w:p w14:paraId="73F5CD7F" w14:textId="77777777" w:rsidR="00790A0D" w:rsidRPr="00DD47DF" w:rsidRDefault="00790A0D" w:rsidP="006D2F5F">
            <w:pPr>
              <w:pStyle w:val="Tabulka"/>
              <w:jc w:val="left"/>
              <w:rPr>
                <w:rFonts w:cs="Calibri"/>
              </w:rPr>
            </w:pPr>
            <w:r w:rsidRPr="00DD47DF">
              <w:rPr>
                <w:rFonts w:cs="Calibri"/>
              </w:rPr>
              <w:t xml:space="preserve">V současné době je s ČR vedeno řízení pro porušení Smlouvy – řízení o nenotifikaci č. </w:t>
            </w:r>
            <w:r w:rsidRPr="00DD47DF">
              <w:rPr>
                <w:rFonts w:cs="Calibri"/>
              </w:rPr>
              <w:lastRenderedPageBreak/>
              <w:t>2012/0335 (zahájeno 25. 9. 2012). ČR na formální upozornění odpověděla dne 31. 10. 2012. Dne 18.10.2013 bylo ČR zasláno odůvodněné stanovisko EK. Odpověď ČR na odůvodněné stanovisko byla odeslána 20.12.2013.</w:t>
            </w:r>
          </w:p>
          <w:p w14:paraId="37D96D42" w14:textId="77777777" w:rsidR="00790A0D" w:rsidRPr="00DD47DF" w:rsidRDefault="00790A0D" w:rsidP="006D2F5F">
            <w:pPr>
              <w:pStyle w:val="Tabulka"/>
              <w:jc w:val="left"/>
              <w:rPr>
                <w:rFonts w:cs="Calibri"/>
              </w:rPr>
            </w:pPr>
            <w:r w:rsidRPr="00DD47DF">
              <w:rPr>
                <w:rFonts w:cs="Calibri"/>
              </w:rPr>
              <w:t xml:space="preserve">MPO zpracovalo akční plán k plnění podmínky. </w:t>
            </w:r>
          </w:p>
        </w:tc>
      </w:tr>
      <w:tr w:rsidR="00790A0D" w:rsidRPr="00DD47DF" w14:paraId="51618B59" w14:textId="77777777" w:rsidTr="006D2F5F">
        <w:tc>
          <w:tcPr>
            <w:tcW w:w="1752" w:type="dxa"/>
            <w:vMerge/>
            <w:shd w:val="clear" w:color="auto" w:fill="auto"/>
          </w:tcPr>
          <w:p w14:paraId="054D5A5C" w14:textId="77777777" w:rsidR="00790A0D" w:rsidRPr="00DD47DF" w:rsidRDefault="00790A0D" w:rsidP="006D2F5F">
            <w:pPr>
              <w:pStyle w:val="Tabulka"/>
              <w:rPr>
                <w:rFonts w:cs="Calibri"/>
                <w:b/>
              </w:rPr>
            </w:pPr>
          </w:p>
        </w:tc>
        <w:tc>
          <w:tcPr>
            <w:tcW w:w="1701" w:type="dxa"/>
            <w:vMerge/>
            <w:shd w:val="clear" w:color="auto" w:fill="auto"/>
          </w:tcPr>
          <w:p w14:paraId="03902DDA" w14:textId="77777777" w:rsidR="00790A0D" w:rsidRPr="00DD47DF" w:rsidRDefault="00790A0D" w:rsidP="006D2F5F">
            <w:pPr>
              <w:pStyle w:val="Tabulka"/>
              <w:rPr>
                <w:rFonts w:cs="Calibri"/>
              </w:rPr>
            </w:pPr>
          </w:p>
        </w:tc>
        <w:tc>
          <w:tcPr>
            <w:tcW w:w="1276" w:type="dxa"/>
            <w:vMerge/>
            <w:shd w:val="clear" w:color="auto" w:fill="auto"/>
          </w:tcPr>
          <w:p w14:paraId="4D3BC109" w14:textId="77777777" w:rsidR="00790A0D" w:rsidRPr="00DD47DF" w:rsidRDefault="00790A0D" w:rsidP="006D2F5F">
            <w:pPr>
              <w:pStyle w:val="Tabulka"/>
              <w:rPr>
                <w:rFonts w:cs="Calibri"/>
              </w:rPr>
            </w:pPr>
          </w:p>
        </w:tc>
        <w:tc>
          <w:tcPr>
            <w:tcW w:w="1843" w:type="dxa"/>
            <w:shd w:val="clear" w:color="auto" w:fill="auto"/>
          </w:tcPr>
          <w:p w14:paraId="086962FF" w14:textId="77777777" w:rsidR="00790A0D" w:rsidRPr="00DD47DF" w:rsidRDefault="00790A0D" w:rsidP="006D2F5F">
            <w:pPr>
              <w:pStyle w:val="Tabulka"/>
              <w:jc w:val="left"/>
              <w:rPr>
                <w:rFonts w:cs="Calibri"/>
              </w:rPr>
            </w:pPr>
            <w:r w:rsidRPr="00DD47DF">
              <w:rPr>
                <w:rFonts w:cs="Calibri"/>
              </w:rPr>
              <w:t>Opatření nezbytná pro zavedení systému certifikace energetické náročnosti budov v souladu s článkem 11 směrnice 2010/31/EU,</w:t>
            </w:r>
          </w:p>
        </w:tc>
        <w:tc>
          <w:tcPr>
            <w:tcW w:w="1134" w:type="dxa"/>
            <w:shd w:val="clear" w:color="auto" w:fill="auto"/>
          </w:tcPr>
          <w:p w14:paraId="4E077341"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0EDD5B4F" w14:textId="77777777" w:rsidR="00790A0D" w:rsidRPr="00DD47DF" w:rsidRDefault="00580034" w:rsidP="006D2F5F">
            <w:pPr>
              <w:pStyle w:val="Tabulka"/>
              <w:jc w:val="left"/>
              <w:rPr>
                <w:rFonts w:cs="Calibri"/>
              </w:rPr>
            </w:pPr>
            <w:hyperlink r:id="rId143" w:anchor="local-content" w:history="1">
              <w:r w:rsidR="00790A0D" w:rsidRPr="00DD47DF">
                <w:rPr>
                  <w:rStyle w:val="Hypertextovodkaz"/>
                  <w:rFonts w:cs="Calibri"/>
                </w:rPr>
                <w:t>zákon č. 406/2000 Sb. o hospodaření energií</w:t>
              </w:r>
            </w:hyperlink>
            <w:r w:rsidR="00790A0D" w:rsidRPr="00DD47DF">
              <w:rPr>
                <w:rFonts w:cs="Calibri"/>
              </w:rPr>
              <w:t xml:space="preserve">, konkrétně novela </w:t>
            </w:r>
            <w:hyperlink r:id="rId144" w:anchor="local-content" w:history="1">
              <w:r w:rsidR="00790A0D" w:rsidRPr="00DD47DF">
                <w:rPr>
                  <w:rStyle w:val="Hypertextovodkaz"/>
                  <w:rFonts w:cs="Calibri"/>
                </w:rPr>
                <w:t>zákona č. 318/2012 Sb.</w:t>
              </w:r>
            </w:hyperlink>
          </w:p>
        </w:tc>
        <w:tc>
          <w:tcPr>
            <w:tcW w:w="4394" w:type="dxa"/>
            <w:shd w:val="clear" w:color="auto" w:fill="auto"/>
          </w:tcPr>
          <w:p w14:paraId="5D049F3E" w14:textId="77777777" w:rsidR="00790A0D" w:rsidRPr="00DD47DF" w:rsidRDefault="00790A0D" w:rsidP="006D2F5F">
            <w:pPr>
              <w:pStyle w:val="Tabulka"/>
              <w:jc w:val="left"/>
              <w:rPr>
                <w:rFonts w:cs="Calibri"/>
              </w:rPr>
            </w:pPr>
            <w:r w:rsidRPr="00DD47DF">
              <w:rPr>
                <w:rFonts w:cs="Calibri"/>
              </w:rPr>
              <w:t>V současné době je s ČR vedeno řízení pro porušení Smlouvy – řízení o nenotifikaci č. 2012/0335 (zahájeno 25. 9. 2012). ČR na formální upozornění odpověděla dne 31. 10. 2012 (viz též výše). Dne 18.10.2013 bylo ČR zasláno odůvodněné stanovisko EK.  Odpověď ČR na odůvodněné stanovisko byla odeslána 20.12.2013.</w:t>
            </w:r>
          </w:p>
          <w:p w14:paraId="155DFA8C" w14:textId="77777777" w:rsidR="00790A0D" w:rsidRPr="00DD47DF" w:rsidRDefault="00790A0D" w:rsidP="006D2F5F">
            <w:pPr>
              <w:pStyle w:val="Tabulka"/>
              <w:jc w:val="left"/>
              <w:rPr>
                <w:rFonts w:cs="Calibri"/>
              </w:rPr>
            </w:pPr>
            <w:r w:rsidRPr="00DD47DF">
              <w:rPr>
                <w:rFonts w:cs="Calibri"/>
              </w:rPr>
              <w:t xml:space="preserve">MPO zpracovalo akční plán k plnění podmínky. </w:t>
            </w:r>
          </w:p>
        </w:tc>
      </w:tr>
      <w:tr w:rsidR="00790A0D" w:rsidRPr="00DD47DF" w14:paraId="0BCD3796" w14:textId="77777777" w:rsidTr="006D2F5F">
        <w:tc>
          <w:tcPr>
            <w:tcW w:w="1752" w:type="dxa"/>
            <w:vMerge/>
            <w:shd w:val="clear" w:color="auto" w:fill="auto"/>
          </w:tcPr>
          <w:p w14:paraId="262BC1E8" w14:textId="77777777" w:rsidR="00790A0D" w:rsidRPr="00DD47DF" w:rsidRDefault="00790A0D" w:rsidP="006D2F5F">
            <w:pPr>
              <w:pStyle w:val="Tabulka"/>
              <w:rPr>
                <w:rFonts w:cs="Calibri"/>
                <w:b/>
              </w:rPr>
            </w:pPr>
          </w:p>
        </w:tc>
        <w:tc>
          <w:tcPr>
            <w:tcW w:w="1701" w:type="dxa"/>
            <w:vMerge/>
            <w:shd w:val="clear" w:color="auto" w:fill="auto"/>
          </w:tcPr>
          <w:p w14:paraId="77BA9C52" w14:textId="77777777" w:rsidR="00790A0D" w:rsidRPr="00DD47DF" w:rsidRDefault="00790A0D" w:rsidP="006D2F5F">
            <w:pPr>
              <w:pStyle w:val="Tabulka"/>
              <w:rPr>
                <w:rFonts w:cs="Calibri"/>
              </w:rPr>
            </w:pPr>
          </w:p>
        </w:tc>
        <w:tc>
          <w:tcPr>
            <w:tcW w:w="1276" w:type="dxa"/>
            <w:vMerge/>
            <w:shd w:val="clear" w:color="auto" w:fill="auto"/>
          </w:tcPr>
          <w:p w14:paraId="4D0BFB16" w14:textId="77777777" w:rsidR="00790A0D" w:rsidRPr="00DD47DF" w:rsidRDefault="00790A0D" w:rsidP="006D2F5F">
            <w:pPr>
              <w:pStyle w:val="Tabulka"/>
              <w:rPr>
                <w:rFonts w:cs="Calibri"/>
              </w:rPr>
            </w:pPr>
          </w:p>
        </w:tc>
        <w:tc>
          <w:tcPr>
            <w:tcW w:w="1843" w:type="dxa"/>
            <w:shd w:val="clear" w:color="auto" w:fill="auto"/>
          </w:tcPr>
          <w:p w14:paraId="5FAC5A39" w14:textId="77777777" w:rsidR="00790A0D" w:rsidRPr="00DD47DF" w:rsidRDefault="00790A0D" w:rsidP="006D2F5F">
            <w:pPr>
              <w:pStyle w:val="Tabulka"/>
              <w:jc w:val="left"/>
              <w:rPr>
                <w:rFonts w:cs="Calibri"/>
              </w:rPr>
            </w:pPr>
            <w:r w:rsidRPr="00DD47DF">
              <w:rPr>
                <w:rFonts w:cs="Calibri"/>
              </w:rPr>
              <w:t>Opatření k zajištění strategického plánování v oblasti energetické účinnosti v souladu s čl. 3 směrnice 2012/27/EU</w:t>
            </w:r>
            <w:r w:rsidRPr="00DD47DF">
              <w:rPr>
                <w:rStyle w:val="Znakapoznpodarou"/>
                <w:rFonts w:cs="Calibri"/>
              </w:rPr>
              <w:footnoteReference w:id="98"/>
            </w:r>
            <w:r w:rsidRPr="00DD47DF">
              <w:rPr>
                <w:rFonts w:cs="Calibri"/>
                <w:vertAlign w:val="superscript"/>
              </w:rPr>
              <w:t xml:space="preserve"> </w:t>
            </w:r>
          </w:p>
        </w:tc>
        <w:tc>
          <w:tcPr>
            <w:tcW w:w="1134" w:type="dxa"/>
            <w:shd w:val="clear" w:color="auto" w:fill="auto"/>
          </w:tcPr>
          <w:p w14:paraId="720E37BD" w14:textId="77777777" w:rsidR="00790A0D" w:rsidRPr="00DD47DF" w:rsidRDefault="00790A0D" w:rsidP="006D2F5F">
            <w:pPr>
              <w:pStyle w:val="Tabulka"/>
              <w:jc w:val="left"/>
              <w:rPr>
                <w:rFonts w:cs="Calibri"/>
              </w:rPr>
            </w:pPr>
            <w:r w:rsidRPr="00DD47DF">
              <w:rPr>
                <w:rFonts w:cs="Calibri"/>
              </w:rPr>
              <w:t>ne</w:t>
            </w:r>
          </w:p>
        </w:tc>
        <w:tc>
          <w:tcPr>
            <w:tcW w:w="2126" w:type="dxa"/>
            <w:shd w:val="clear" w:color="auto" w:fill="auto"/>
          </w:tcPr>
          <w:p w14:paraId="267D313E" w14:textId="77777777" w:rsidR="00790A0D" w:rsidRPr="00DD47DF" w:rsidRDefault="00580034" w:rsidP="006D2F5F">
            <w:pPr>
              <w:pStyle w:val="Tabulka"/>
              <w:jc w:val="left"/>
              <w:rPr>
                <w:rStyle w:val="Hypertextovodkaz"/>
                <w:rFonts w:cs="Calibri"/>
              </w:rPr>
            </w:pPr>
            <w:hyperlink r:id="rId145" w:history="1">
              <w:r w:rsidR="00790A0D" w:rsidRPr="00DD47DF">
                <w:rPr>
                  <w:rStyle w:val="Hypertextovodkaz"/>
                  <w:rFonts w:cs="Calibri"/>
                </w:rPr>
                <w:t>1. Zpráva o pokroku v oblasti plnění vnitrostátních cílů energetické účinnosti v ČR</w:t>
              </w:r>
            </w:hyperlink>
          </w:p>
          <w:p w14:paraId="2BD6DA70" w14:textId="77777777" w:rsidR="00790A0D" w:rsidRPr="00DD47DF" w:rsidRDefault="00790A0D" w:rsidP="006D2F5F">
            <w:pPr>
              <w:pStyle w:val="Tabulka"/>
              <w:jc w:val="left"/>
              <w:rPr>
                <w:rFonts w:cs="Calibri"/>
              </w:rPr>
            </w:pPr>
          </w:p>
        </w:tc>
        <w:tc>
          <w:tcPr>
            <w:tcW w:w="4394" w:type="dxa"/>
            <w:shd w:val="clear" w:color="auto" w:fill="auto"/>
          </w:tcPr>
          <w:p w14:paraId="6C86B607" w14:textId="77777777" w:rsidR="00790A0D" w:rsidRPr="00DD47DF" w:rsidRDefault="00790A0D" w:rsidP="006D2F5F">
            <w:pPr>
              <w:pStyle w:val="Tabulka"/>
              <w:jc w:val="left"/>
              <w:rPr>
                <w:rFonts w:cs="Calibri"/>
              </w:rPr>
            </w:pPr>
            <w:r w:rsidRPr="00DD47DF">
              <w:rPr>
                <w:rFonts w:cs="Calibri"/>
              </w:rPr>
              <w:t>Zpráva byla zaslána Evropské komisi.</w:t>
            </w:r>
          </w:p>
          <w:p w14:paraId="0702255B" w14:textId="77777777" w:rsidR="00790A0D" w:rsidRPr="00DD47DF" w:rsidRDefault="00790A0D" w:rsidP="001D58DB">
            <w:pPr>
              <w:pStyle w:val="Tabulka"/>
              <w:jc w:val="left"/>
              <w:rPr>
                <w:rFonts w:cs="Calibri"/>
              </w:rPr>
            </w:pPr>
            <w:r w:rsidRPr="00DD47DF">
              <w:rPr>
                <w:rFonts w:cs="Calibri"/>
              </w:rPr>
              <w:t xml:space="preserve">V současné době je s ČR vedeno řízení o porušení Smlouvy o FEU č. 2014/0317. EK vytýká ČR nevčasnou transpozici směrnice 2012/27/EU. Transpoziční lhůta uplynula dne 5. 6. 2014. Dne 22. 7. 2014 obdržela ČR formální upozornění. </w:t>
            </w:r>
            <w:r w:rsidR="00EA0A31" w:rsidRPr="00DD47DF">
              <w:rPr>
                <w:rFonts w:cs="Calibri"/>
              </w:rPr>
              <w:t>O</w:t>
            </w:r>
            <w:r w:rsidRPr="00DD47DF">
              <w:rPr>
                <w:rFonts w:cs="Calibri"/>
              </w:rPr>
              <w:t xml:space="preserve">dpověď ČR na formální upozornění EK </w:t>
            </w:r>
            <w:r w:rsidR="00EA0A31" w:rsidRPr="00DD47DF">
              <w:rPr>
                <w:rFonts w:cs="Calibri"/>
              </w:rPr>
              <w:t>byla odeslána</w:t>
            </w:r>
            <w:r w:rsidRPr="00DD47DF">
              <w:rPr>
                <w:rFonts w:cs="Calibri"/>
              </w:rPr>
              <w:t xml:space="preserve"> 22. září 2014).</w:t>
            </w:r>
          </w:p>
          <w:p w14:paraId="785FBC71" w14:textId="77777777" w:rsidR="00790A0D" w:rsidRPr="00DD47DF" w:rsidRDefault="00790A0D" w:rsidP="006D2F5F">
            <w:pPr>
              <w:pStyle w:val="Tabulka"/>
              <w:jc w:val="left"/>
              <w:rPr>
                <w:rFonts w:cs="Calibri"/>
              </w:rPr>
            </w:pPr>
            <w:r w:rsidRPr="00DD47DF">
              <w:rPr>
                <w:rFonts w:cs="Calibri"/>
              </w:rPr>
              <w:t xml:space="preserve">MPO zpracovalo akční plán </w:t>
            </w:r>
            <w:r w:rsidR="00EA0A31" w:rsidRPr="00DD47DF">
              <w:rPr>
                <w:rFonts w:cs="Calibri"/>
              </w:rPr>
              <w:t xml:space="preserve"> </w:t>
            </w:r>
            <w:r w:rsidRPr="00DD47DF">
              <w:rPr>
                <w:rFonts w:cs="Calibri"/>
              </w:rPr>
              <w:t>k plnění podmínky.</w:t>
            </w:r>
          </w:p>
        </w:tc>
      </w:tr>
      <w:tr w:rsidR="00790A0D" w:rsidRPr="00DD47DF" w14:paraId="6DEBEB94" w14:textId="77777777" w:rsidTr="006D2F5F">
        <w:tc>
          <w:tcPr>
            <w:tcW w:w="1752" w:type="dxa"/>
            <w:vMerge/>
            <w:shd w:val="clear" w:color="auto" w:fill="auto"/>
          </w:tcPr>
          <w:p w14:paraId="5ADA24C5" w14:textId="77777777" w:rsidR="00790A0D" w:rsidRPr="00DD47DF" w:rsidRDefault="00790A0D" w:rsidP="006D2F5F">
            <w:pPr>
              <w:pStyle w:val="Tabulka"/>
              <w:rPr>
                <w:rFonts w:cs="Calibri"/>
                <w:b/>
              </w:rPr>
            </w:pPr>
          </w:p>
        </w:tc>
        <w:tc>
          <w:tcPr>
            <w:tcW w:w="1701" w:type="dxa"/>
            <w:vMerge/>
            <w:shd w:val="clear" w:color="auto" w:fill="auto"/>
          </w:tcPr>
          <w:p w14:paraId="7DC18B01" w14:textId="77777777" w:rsidR="00790A0D" w:rsidRPr="00DD47DF" w:rsidRDefault="00790A0D" w:rsidP="006D2F5F">
            <w:pPr>
              <w:pStyle w:val="Tabulka"/>
              <w:rPr>
                <w:rFonts w:cs="Calibri"/>
              </w:rPr>
            </w:pPr>
          </w:p>
        </w:tc>
        <w:tc>
          <w:tcPr>
            <w:tcW w:w="1276" w:type="dxa"/>
            <w:vMerge/>
            <w:shd w:val="clear" w:color="auto" w:fill="auto"/>
          </w:tcPr>
          <w:p w14:paraId="04FEA5B8" w14:textId="77777777" w:rsidR="00790A0D" w:rsidRPr="00DD47DF" w:rsidRDefault="00790A0D" w:rsidP="006D2F5F">
            <w:pPr>
              <w:pStyle w:val="Tabulka"/>
              <w:rPr>
                <w:rFonts w:cs="Calibri"/>
              </w:rPr>
            </w:pPr>
          </w:p>
        </w:tc>
        <w:tc>
          <w:tcPr>
            <w:tcW w:w="1843" w:type="dxa"/>
            <w:shd w:val="clear" w:color="auto" w:fill="auto"/>
          </w:tcPr>
          <w:p w14:paraId="38283D2A" w14:textId="77777777" w:rsidR="00790A0D" w:rsidRPr="00DD47DF" w:rsidRDefault="00790A0D" w:rsidP="006D2F5F">
            <w:pPr>
              <w:pStyle w:val="Tabulka"/>
              <w:jc w:val="left"/>
              <w:rPr>
                <w:rFonts w:cs="Calibri"/>
              </w:rPr>
            </w:pPr>
            <w:r w:rsidRPr="00DD47DF">
              <w:rPr>
                <w:rFonts w:cs="Calibri"/>
              </w:rPr>
              <w:t>Opatření v souladu s článkem 13 směrnice Evropského parlamentu a Rady 2006/32/ES</w:t>
            </w:r>
            <w:r w:rsidRPr="00DD47DF">
              <w:rPr>
                <w:rStyle w:val="Znakapoznpodarou"/>
                <w:rFonts w:cs="Calibri"/>
              </w:rPr>
              <w:footnoteReference w:id="99"/>
            </w:r>
            <w:r w:rsidRPr="00DD47DF">
              <w:rPr>
                <w:rFonts w:cs="Calibri"/>
              </w:rPr>
              <w:t xml:space="preserve"> zajišťující, aby pokud je to technicky možné, finančně únosné a úměrné potenciálním úsporám energie, byli koneční zákazníci vybaveni individuálními měřiči.</w:t>
            </w:r>
          </w:p>
        </w:tc>
        <w:tc>
          <w:tcPr>
            <w:tcW w:w="1134" w:type="dxa"/>
            <w:shd w:val="clear" w:color="auto" w:fill="auto"/>
          </w:tcPr>
          <w:p w14:paraId="7ABF4C5F"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17E1C9BB" w14:textId="77777777" w:rsidR="00790A0D" w:rsidRPr="00DD47DF" w:rsidRDefault="00580034" w:rsidP="006D2F5F">
            <w:pPr>
              <w:pStyle w:val="Tabulka"/>
              <w:jc w:val="left"/>
              <w:rPr>
                <w:rFonts w:cs="Calibri"/>
              </w:rPr>
            </w:pPr>
            <w:hyperlink r:id="rId146" w:anchor="local-content" w:history="1">
              <w:r w:rsidR="00790A0D" w:rsidRPr="00DD47DF">
                <w:rPr>
                  <w:rStyle w:val="Hypertextovodkaz"/>
                  <w:rFonts w:cs="Calibri"/>
                </w:rPr>
                <w:t>zákon č. 406/2000 Sb. o hospodaření energií</w:t>
              </w:r>
            </w:hyperlink>
            <w:r w:rsidR="00790A0D" w:rsidRPr="00DD47DF">
              <w:rPr>
                <w:rFonts w:cs="Calibri"/>
              </w:rPr>
              <w:t xml:space="preserve"> a </w:t>
            </w:r>
            <w:hyperlink r:id="rId147" w:anchor="local-content" w:history="1">
              <w:r w:rsidR="00790A0D" w:rsidRPr="00DD47DF">
                <w:rPr>
                  <w:rStyle w:val="Hypertextovodkaz"/>
                  <w:rFonts w:cs="Calibri"/>
                </w:rPr>
                <w:t>zákon č. 458/2000 Sb.</w:t>
              </w:r>
            </w:hyperlink>
            <w:r w:rsidR="00790A0D" w:rsidRPr="00DD47DF">
              <w:rPr>
                <w:rFonts w:cs="Calibri"/>
              </w:rPr>
              <w:t xml:space="preserve"> a jeho </w:t>
            </w:r>
            <w:hyperlink r:id="rId148" w:history="1">
              <w:r w:rsidR="00790A0D" w:rsidRPr="00DD47DF">
                <w:rPr>
                  <w:rStyle w:val="Hypertextovodkaz"/>
                  <w:rFonts w:cs="Calibri"/>
                </w:rPr>
                <w:t>prováděcí vyhlášky</w:t>
              </w:r>
            </w:hyperlink>
          </w:p>
        </w:tc>
        <w:tc>
          <w:tcPr>
            <w:tcW w:w="4394" w:type="dxa"/>
            <w:shd w:val="clear" w:color="auto" w:fill="auto"/>
          </w:tcPr>
          <w:p w14:paraId="4C04D018" w14:textId="77777777" w:rsidR="00790A0D" w:rsidRPr="00DD47DF" w:rsidRDefault="00790A0D" w:rsidP="006D2F5F">
            <w:pPr>
              <w:pStyle w:val="Tabulka"/>
              <w:jc w:val="left"/>
              <w:rPr>
                <w:rFonts w:cs="Calibri"/>
              </w:rPr>
            </w:pPr>
            <w:r w:rsidRPr="00DD47DF">
              <w:rPr>
                <w:rFonts w:cs="Calibri"/>
              </w:rPr>
              <w:t>V současné době je s ČR vedeno řízení pro porušení Smlouvy – věcné řízení z důvodu namítané nesprávné transpozice čl. 13 směrnice 2006/32/ES (směrnice o energetické účinnosti u konečného uživatele a o energetických službách), které bylo zahájeno 22.3.2013 (řízení č. 2013/4007). Řízení je ve fázi odůvodněného stanoviska, odpověď ČR na odůvodněné stanovisko byla zaslána EK dne 27.3.2014.</w:t>
            </w:r>
          </w:p>
          <w:p w14:paraId="6FAFF54B" w14:textId="77777777" w:rsidR="00790A0D" w:rsidRPr="00DD47DF" w:rsidRDefault="00790A0D" w:rsidP="006D2F5F">
            <w:pPr>
              <w:pStyle w:val="Tabulka"/>
              <w:jc w:val="left"/>
              <w:rPr>
                <w:rFonts w:cs="Calibri"/>
              </w:rPr>
            </w:pPr>
            <w:r w:rsidRPr="00DD47DF">
              <w:rPr>
                <w:rFonts w:cs="Calibri"/>
              </w:rPr>
              <w:t xml:space="preserve">MPO zpracovalo akční plán </w:t>
            </w:r>
            <w:r w:rsidR="001E0697" w:rsidRPr="00DD47DF">
              <w:rPr>
                <w:rFonts w:cs="Calibri"/>
              </w:rPr>
              <w:t xml:space="preserve"> </w:t>
            </w:r>
            <w:r w:rsidRPr="00DD47DF">
              <w:rPr>
                <w:rFonts w:cs="Calibri"/>
              </w:rPr>
              <w:t xml:space="preserve">k plnění podmínky. </w:t>
            </w:r>
          </w:p>
          <w:p w14:paraId="4C623083" w14:textId="77777777" w:rsidR="00790A0D" w:rsidRPr="00DD47DF" w:rsidRDefault="00790A0D" w:rsidP="006D2F5F">
            <w:pPr>
              <w:pStyle w:val="Tabulka"/>
              <w:jc w:val="left"/>
              <w:rPr>
                <w:rFonts w:cs="Calibri"/>
              </w:rPr>
            </w:pPr>
          </w:p>
        </w:tc>
      </w:tr>
      <w:tr w:rsidR="00790A0D" w:rsidRPr="00DD47DF" w14:paraId="74D7B826" w14:textId="77777777" w:rsidTr="006D2F5F">
        <w:tc>
          <w:tcPr>
            <w:tcW w:w="1752" w:type="dxa"/>
            <w:shd w:val="clear" w:color="auto" w:fill="auto"/>
          </w:tcPr>
          <w:p w14:paraId="0EB96C61" w14:textId="77777777" w:rsidR="00790A0D" w:rsidRPr="00DD47DF" w:rsidRDefault="00790A0D" w:rsidP="006D2F5F">
            <w:pPr>
              <w:pStyle w:val="Tabulka"/>
              <w:jc w:val="left"/>
              <w:rPr>
                <w:rFonts w:cs="Calibri"/>
                <w:b/>
              </w:rPr>
            </w:pPr>
            <w:r w:rsidRPr="00DD47DF">
              <w:rPr>
                <w:rFonts w:cs="Calibri"/>
                <w:b/>
              </w:rPr>
              <w:t>4.2. Byla provedena opatření na podporu vysoce účinné kombinované výroby tepla a elektřiny.</w:t>
            </w:r>
          </w:p>
        </w:tc>
        <w:tc>
          <w:tcPr>
            <w:tcW w:w="1701" w:type="dxa"/>
            <w:shd w:val="clear" w:color="auto" w:fill="auto"/>
          </w:tcPr>
          <w:p w14:paraId="7A7F7005" w14:textId="77777777" w:rsidR="00790A0D" w:rsidRPr="00DD47DF" w:rsidRDefault="00790A0D" w:rsidP="006D2F5F">
            <w:pPr>
              <w:pStyle w:val="Tabulka"/>
              <w:jc w:val="left"/>
              <w:rPr>
                <w:rFonts w:cs="Calibri"/>
              </w:rPr>
            </w:pPr>
            <w:r w:rsidRPr="00DD47DF">
              <w:rPr>
                <w:rFonts w:cs="Calibri"/>
              </w:rPr>
              <w:t xml:space="preserve">PO 3 - Účinné nakládání energií, rozvoj energetické infrastruktury a obnovitelných zdrojů energie, podpora zavádění nových technologií v oblasti nakládání </w:t>
            </w:r>
            <w:r w:rsidRPr="00DD47DF">
              <w:rPr>
                <w:rFonts w:cs="Calibri"/>
              </w:rPr>
              <w:lastRenderedPageBreak/>
              <w:t>energií a druhotných surovin</w:t>
            </w:r>
          </w:p>
        </w:tc>
        <w:tc>
          <w:tcPr>
            <w:tcW w:w="1276" w:type="dxa"/>
            <w:shd w:val="clear" w:color="auto" w:fill="auto"/>
          </w:tcPr>
          <w:p w14:paraId="05F96528" w14:textId="77777777" w:rsidR="00790A0D" w:rsidRPr="00DD47DF" w:rsidRDefault="00790A0D" w:rsidP="006D2F5F">
            <w:pPr>
              <w:pStyle w:val="Tabulka"/>
              <w:jc w:val="left"/>
              <w:rPr>
                <w:rFonts w:cs="Calibri"/>
              </w:rPr>
            </w:pPr>
            <w:r w:rsidRPr="00DD47DF">
              <w:rPr>
                <w:rFonts w:cs="Calibri"/>
              </w:rPr>
              <w:lastRenderedPageBreak/>
              <w:t>Ano</w:t>
            </w:r>
          </w:p>
        </w:tc>
        <w:tc>
          <w:tcPr>
            <w:tcW w:w="1843" w:type="dxa"/>
            <w:shd w:val="clear" w:color="auto" w:fill="auto"/>
          </w:tcPr>
          <w:p w14:paraId="4BAA7464" w14:textId="77777777" w:rsidR="00790A0D" w:rsidRPr="00DD47DF" w:rsidRDefault="00790A0D" w:rsidP="006D2F5F">
            <w:pPr>
              <w:pStyle w:val="Tabulka"/>
              <w:jc w:val="left"/>
              <w:rPr>
                <w:rFonts w:cs="Calibri"/>
              </w:rPr>
            </w:pPr>
            <w:r w:rsidRPr="00DD47DF">
              <w:rPr>
                <w:rFonts w:cs="Calibri"/>
              </w:rPr>
              <w:t>Těmito opatřeními jsou:</w:t>
            </w:r>
          </w:p>
          <w:p w14:paraId="653FF765" w14:textId="77777777" w:rsidR="00790A0D" w:rsidRPr="00DD47DF" w:rsidRDefault="00790A0D" w:rsidP="006D2F5F">
            <w:pPr>
              <w:pStyle w:val="Tabulka"/>
              <w:jc w:val="left"/>
              <w:rPr>
                <w:rFonts w:cs="Calibri"/>
              </w:rPr>
            </w:pPr>
            <w:r w:rsidRPr="00DD47DF">
              <w:rPr>
                <w:rFonts w:cs="Calibri"/>
              </w:rPr>
              <w:t xml:space="preserve">Podpora kombinované výroby tepla a elektřiny je založena na poptávce po užitečném teple a úsporách primární energie v souladu s </w:t>
            </w:r>
            <w:r w:rsidRPr="00DD47DF">
              <w:rPr>
                <w:rFonts w:cs="Calibri"/>
              </w:rPr>
              <w:lastRenderedPageBreak/>
              <w:t>čl. 7 odst. 1 a čl. 9 odst. 1 písm. a) a b) směrnice 2004/8/ES, členské státy nebo jejich příslušné subjekty posoudily stávající právní a regulační rámec pro postupy schvalování nebo jiné postupy s cílem:</w:t>
            </w:r>
            <w:r w:rsidRPr="00DD47DF">
              <w:rPr>
                <w:rFonts w:cs="Calibri"/>
              </w:rPr>
              <w:br/>
              <w:t>a) podpořit navrhování jednotek pro kombinovanou výrobu tepla a elektřiny s cílem přizpůsobit se z hospodářského hlediska výstupu opodstatněné poptávky po užitečném teple a zabránit výrobě většího množství tepla než je užitečné teplo;</w:t>
            </w:r>
            <w:r w:rsidRPr="00DD47DF">
              <w:rPr>
                <w:rFonts w:cs="Calibri"/>
              </w:rPr>
              <w:br/>
              <w:t xml:space="preserve">b) omezit právní a jiné překážky pro zvýšení kombinované výroby tepla a </w:t>
            </w:r>
            <w:r w:rsidRPr="00DD47DF">
              <w:rPr>
                <w:rFonts w:cs="Calibri"/>
              </w:rPr>
              <w:lastRenderedPageBreak/>
              <w:t>elektřiny.</w:t>
            </w:r>
          </w:p>
        </w:tc>
        <w:tc>
          <w:tcPr>
            <w:tcW w:w="1134" w:type="dxa"/>
            <w:shd w:val="clear" w:color="auto" w:fill="auto"/>
          </w:tcPr>
          <w:p w14:paraId="6202BA14"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1DA969AF" w14:textId="77777777" w:rsidR="00790A0D" w:rsidRPr="00DD47DF" w:rsidRDefault="00580034" w:rsidP="006D2F5F">
            <w:pPr>
              <w:pStyle w:val="Tabulka"/>
              <w:jc w:val="left"/>
              <w:rPr>
                <w:rFonts w:cs="Calibri"/>
              </w:rPr>
            </w:pPr>
            <w:hyperlink r:id="rId149" w:anchor="local-content" w:history="1">
              <w:r w:rsidR="00790A0D" w:rsidRPr="00DD47DF">
                <w:rPr>
                  <w:rStyle w:val="Hypertextovodkaz"/>
                  <w:rFonts w:cs="Calibri"/>
                </w:rPr>
                <w:t>zákon č. 406/2000 Sb. o hospodaření energií</w:t>
              </w:r>
            </w:hyperlink>
            <w:r w:rsidR="00790A0D" w:rsidRPr="00DD47DF">
              <w:rPr>
                <w:rFonts w:cs="Calibri"/>
              </w:rPr>
              <w:t xml:space="preserve"> a </w:t>
            </w:r>
            <w:hyperlink r:id="rId150" w:anchor="local-content" w:history="1">
              <w:r w:rsidR="00790A0D" w:rsidRPr="00DD47DF">
                <w:rPr>
                  <w:rStyle w:val="Hypertextovodkaz"/>
                  <w:rFonts w:cs="Calibri"/>
                </w:rPr>
                <w:t>zákon č. 458/2000 Sb.</w:t>
              </w:r>
            </w:hyperlink>
            <w:r w:rsidR="00790A0D" w:rsidRPr="00DD47DF">
              <w:rPr>
                <w:rFonts w:cs="Calibri"/>
              </w:rPr>
              <w:t xml:space="preserve"> a jeho </w:t>
            </w:r>
            <w:hyperlink r:id="rId151" w:history="1">
              <w:r w:rsidR="00790A0D" w:rsidRPr="00DD47DF">
                <w:rPr>
                  <w:rStyle w:val="Hypertextovodkaz"/>
                  <w:rFonts w:cs="Calibri"/>
                </w:rPr>
                <w:t>prováděcí vyhlášky</w:t>
              </w:r>
            </w:hyperlink>
          </w:p>
        </w:tc>
        <w:tc>
          <w:tcPr>
            <w:tcW w:w="4394" w:type="dxa"/>
            <w:shd w:val="clear" w:color="auto" w:fill="auto"/>
          </w:tcPr>
          <w:p w14:paraId="07481EF1" w14:textId="77777777" w:rsidR="00790A0D" w:rsidRPr="00DD47DF" w:rsidRDefault="00790A0D" w:rsidP="006D2F5F">
            <w:pPr>
              <w:pStyle w:val="Tabulka"/>
              <w:jc w:val="left"/>
              <w:rPr>
                <w:rFonts w:cs="Calibri"/>
              </w:rPr>
            </w:pPr>
          </w:p>
        </w:tc>
      </w:tr>
      <w:tr w:rsidR="00790A0D" w:rsidRPr="00DD47DF" w14:paraId="2F243B55" w14:textId="77777777" w:rsidTr="006D2F5F">
        <w:tc>
          <w:tcPr>
            <w:tcW w:w="1752" w:type="dxa"/>
            <w:vMerge w:val="restart"/>
            <w:shd w:val="clear" w:color="auto" w:fill="auto"/>
          </w:tcPr>
          <w:p w14:paraId="12C07747" w14:textId="77777777" w:rsidR="00790A0D" w:rsidRPr="00DD47DF" w:rsidRDefault="00790A0D" w:rsidP="006D2F5F">
            <w:pPr>
              <w:pStyle w:val="Tabulka"/>
              <w:jc w:val="left"/>
              <w:rPr>
                <w:rFonts w:cs="Calibri"/>
                <w:b/>
              </w:rPr>
            </w:pPr>
            <w:r w:rsidRPr="00DD47DF">
              <w:rPr>
                <w:rFonts w:cs="Calibri"/>
                <w:b/>
              </w:rPr>
              <w:lastRenderedPageBreak/>
              <w:t>4.3. Byla provedena opatření na podporu výroby a distribuce energie z obnovitelných zdrojů</w:t>
            </w:r>
            <w:r w:rsidRPr="00DD47DF">
              <w:rPr>
                <w:rStyle w:val="Znakapoznpodarou"/>
                <w:rFonts w:cs="Calibri"/>
              </w:rPr>
              <w:footnoteReference w:id="100"/>
            </w:r>
            <w:r w:rsidRPr="00DD47DF">
              <w:rPr>
                <w:rFonts w:cs="Calibri"/>
                <w:b/>
              </w:rPr>
              <w:t>.</w:t>
            </w:r>
          </w:p>
          <w:p w14:paraId="7CACA0CD" w14:textId="77777777" w:rsidR="00790A0D" w:rsidRPr="00DD47DF" w:rsidRDefault="00790A0D" w:rsidP="006D2F5F">
            <w:pPr>
              <w:pStyle w:val="Tabulka"/>
              <w:jc w:val="left"/>
              <w:rPr>
                <w:rFonts w:cs="Calibri"/>
                <w:b/>
              </w:rPr>
            </w:pPr>
          </w:p>
        </w:tc>
        <w:tc>
          <w:tcPr>
            <w:tcW w:w="1701" w:type="dxa"/>
            <w:vMerge w:val="restart"/>
            <w:shd w:val="clear" w:color="auto" w:fill="auto"/>
          </w:tcPr>
          <w:p w14:paraId="05A1D9A7" w14:textId="77777777" w:rsidR="00790A0D" w:rsidRPr="00DD47DF" w:rsidRDefault="00790A0D" w:rsidP="006D2F5F">
            <w:pPr>
              <w:pStyle w:val="Tabulka"/>
              <w:jc w:val="left"/>
              <w:rPr>
                <w:rFonts w:cs="Calibri"/>
              </w:rPr>
            </w:pPr>
            <w:r w:rsidRPr="00DD47DF">
              <w:rPr>
                <w:rFonts w:cs="Calibri"/>
              </w:rPr>
              <w:t>PO 3 - Účinné nakládání energií, rozvoj energetické infrastruktury a obnovitelných zdrojů energie, podpora zavádění nových technologií v oblasti nakládání energií a druhotných surovin</w:t>
            </w:r>
          </w:p>
          <w:p w14:paraId="2D2794D7" w14:textId="77777777" w:rsidR="00790A0D" w:rsidRPr="00DD47DF" w:rsidRDefault="00790A0D" w:rsidP="006D2F5F">
            <w:pPr>
              <w:pStyle w:val="Tabulka"/>
              <w:jc w:val="left"/>
              <w:rPr>
                <w:rFonts w:cs="Calibri"/>
              </w:rPr>
            </w:pPr>
            <w:r w:rsidRPr="00DD47DF">
              <w:rPr>
                <w:rFonts w:cs="Calibri"/>
              </w:rPr>
              <w:t> </w:t>
            </w:r>
          </w:p>
        </w:tc>
        <w:tc>
          <w:tcPr>
            <w:tcW w:w="1276" w:type="dxa"/>
            <w:vMerge w:val="restart"/>
            <w:shd w:val="clear" w:color="auto" w:fill="auto"/>
          </w:tcPr>
          <w:p w14:paraId="6285C648" w14:textId="77777777" w:rsidR="00790A0D" w:rsidRPr="00DD47DF" w:rsidRDefault="00790A0D" w:rsidP="006D2F5F">
            <w:pPr>
              <w:pStyle w:val="Tabulka"/>
              <w:jc w:val="left"/>
              <w:rPr>
                <w:rFonts w:cs="Calibri"/>
              </w:rPr>
            </w:pPr>
            <w:r w:rsidRPr="00DD47DF">
              <w:rPr>
                <w:rFonts w:cs="Calibri"/>
              </w:rPr>
              <w:t>Ano</w:t>
            </w:r>
          </w:p>
          <w:p w14:paraId="4114B19E" w14:textId="77777777" w:rsidR="00790A0D" w:rsidRPr="00DD47DF" w:rsidRDefault="00790A0D" w:rsidP="006D2F5F">
            <w:pPr>
              <w:pStyle w:val="Tabulka"/>
              <w:jc w:val="left"/>
              <w:rPr>
                <w:rFonts w:cs="Calibri"/>
              </w:rPr>
            </w:pPr>
          </w:p>
        </w:tc>
        <w:tc>
          <w:tcPr>
            <w:tcW w:w="1843" w:type="dxa"/>
            <w:shd w:val="clear" w:color="auto" w:fill="auto"/>
          </w:tcPr>
          <w:p w14:paraId="51EEBEBB" w14:textId="77777777" w:rsidR="00790A0D" w:rsidRPr="00DD47DF" w:rsidRDefault="00790A0D" w:rsidP="006D2F5F">
            <w:pPr>
              <w:pStyle w:val="Tabulka"/>
              <w:jc w:val="left"/>
              <w:rPr>
                <w:rFonts w:cs="Calibri"/>
              </w:rPr>
            </w:pPr>
            <w:r w:rsidRPr="00DD47DF">
              <w:rPr>
                <w:rFonts w:cs="Calibri"/>
              </w:rPr>
              <w:t>V souladu s čl. 14 odst. 1, čl. 16 odst. 2 a 3 směrnice Evropského parlamentu a a Rady 2009/28/ES jsou k dispozici transparentní režimy podpory, přednostní přístup k distribuční soustavě či zaručený přístup a přednost při spouštění zařízení, jakož i jednotná pravidla pro hrazení a sdílení nákladů na technické úpravy, jež byla zveřejněna.</w:t>
            </w:r>
          </w:p>
        </w:tc>
        <w:tc>
          <w:tcPr>
            <w:tcW w:w="1134" w:type="dxa"/>
            <w:shd w:val="clear" w:color="auto" w:fill="auto"/>
          </w:tcPr>
          <w:p w14:paraId="4F17FEF3"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69C8325" w14:textId="77777777" w:rsidR="00790A0D" w:rsidRPr="00DD47DF" w:rsidRDefault="00580034" w:rsidP="006D2F5F">
            <w:pPr>
              <w:pStyle w:val="Tabulka"/>
              <w:jc w:val="left"/>
              <w:rPr>
                <w:rFonts w:cs="Calibri"/>
              </w:rPr>
            </w:pPr>
            <w:hyperlink r:id="rId152" w:anchor="local-content" w:history="1">
              <w:r w:rsidR="00790A0D" w:rsidRPr="00DD47DF">
                <w:rPr>
                  <w:rStyle w:val="Hypertextovodkaz"/>
                  <w:rFonts w:cs="Calibri"/>
                </w:rPr>
                <w:t>zákon č. 165/2012 Sb., o podporovaných zdrojích energie</w:t>
              </w:r>
            </w:hyperlink>
            <w:r w:rsidR="00790A0D" w:rsidRPr="00DD47DF">
              <w:rPr>
                <w:rFonts w:cs="Calibri"/>
              </w:rPr>
              <w:t xml:space="preserve"> a </w:t>
            </w:r>
            <w:hyperlink r:id="rId153" w:history="1">
              <w:r w:rsidR="00790A0D" w:rsidRPr="00DD47DF">
                <w:rPr>
                  <w:rStyle w:val="Hypertextovodkaz"/>
                  <w:rFonts w:cs="Calibri"/>
                </w:rPr>
                <w:t>prováděcí právní předpisy</w:t>
              </w:r>
            </w:hyperlink>
          </w:p>
          <w:p w14:paraId="1D601E9A" w14:textId="77777777" w:rsidR="00790A0D" w:rsidRPr="00DD47DF" w:rsidRDefault="00790A0D" w:rsidP="006D2F5F">
            <w:pPr>
              <w:pStyle w:val="Tabulka"/>
              <w:jc w:val="left"/>
              <w:rPr>
                <w:rFonts w:cs="Calibri"/>
              </w:rPr>
            </w:pPr>
          </w:p>
        </w:tc>
        <w:tc>
          <w:tcPr>
            <w:tcW w:w="4394" w:type="dxa"/>
            <w:shd w:val="clear" w:color="auto" w:fill="auto"/>
          </w:tcPr>
          <w:p w14:paraId="0B82AC9A" w14:textId="77777777" w:rsidR="00790A0D" w:rsidRPr="00DD47DF" w:rsidRDefault="00790A0D" w:rsidP="006D2F5F">
            <w:pPr>
              <w:pStyle w:val="Tabulka"/>
              <w:jc w:val="left"/>
              <w:rPr>
                <w:rFonts w:cs="Calibri"/>
              </w:rPr>
            </w:pPr>
          </w:p>
        </w:tc>
      </w:tr>
      <w:tr w:rsidR="00790A0D" w:rsidRPr="00DD47DF" w14:paraId="5E9B8781" w14:textId="77777777" w:rsidTr="006D2F5F">
        <w:tc>
          <w:tcPr>
            <w:tcW w:w="1752" w:type="dxa"/>
            <w:vMerge/>
            <w:shd w:val="clear" w:color="auto" w:fill="auto"/>
          </w:tcPr>
          <w:p w14:paraId="1C04E5E0" w14:textId="77777777" w:rsidR="00790A0D" w:rsidRPr="00DD47DF" w:rsidRDefault="00790A0D" w:rsidP="006D2F5F">
            <w:pPr>
              <w:pStyle w:val="Tabulka"/>
              <w:rPr>
                <w:rFonts w:cs="Calibri"/>
                <w:b/>
              </w:rPr>
            </w:pPr>
          </w:p>
        </w:tc>
        <w:tc>
          <w:tcPr>
            <w:tcW w:w="1701" w:type="dxa"/>
            <w:vMerge/>
            <w:shd w:val="clear" w:color="auto" w:fill="auto"/>
          </w:tcPr>
          <w:p w14:paraId="02F38C7C" w14:textId="77777777" w:rsidR="00790A0D" w:rsidRPr="00DD47DF" w:rsidRDefault="00790A0D" w:rsidP="006D2F5F">
            <w:pPr>
              <w:pStyle w:val="Tabulka"/>
              <w:rPr>
                <w:rFonts w:cs="Calibri"/>
              </w:rPr>
            </w:pPr>
          </w:p>
        </w:tc>
        <w:tc>
          <w:tcPr>
            <w:tcW w:w="1276" w:type="dxa"/>
            <w:vMerge/>
            <w:shd w:val="clear" w:color="auto" w:fill="auto"/>
          </w:tcPr>
          <w:p w14:paraId="546116CF" w14:textId="77777777" w:rsidR="00790A0D" w:rsidRPr="00DD47DF" w:rsidRDefault="00790A0D" w:rsidP="006D2F5F">
            <w:pPr>
              <w:pStyle w:val="Tabulka"/>
              <w:rPr>
                <w:rFonts w:cs="Calibri"/>
              </w:rPr>
            </w:pPr>
          </w:p>
        </w:tc>
        <w:tc>
          <w:tcPr>
            <w:tcW w:w="1843" w:type="dxa"/>
            <w:shd w:val="clear" w:color="auto" w:fill="auto"/>
          </w:tcPr>
          <w:p w14:paraId="2BB4F206" w14:textId="77777777" w:rsidR="00790A0D" w:rsidRPr="00DD47DF" w:rsidRDefault="00790A0D" w:rsidP="006D2F5F">
            <w:pPr>
              <w:pStyle w:val="Tabulka"/>
              <w:jc w:val="left"/>
              <w:rPr>
                <w:rFonts w:cs="Calibri"/>
              </w:rPr>
            </w:pPr>
            <w:r w:rsidRPr="00DD47DF">
              <w:rPr>
                <w:rFonts w:cs="Calibri"/>
              </w:rPr>
              <w:t xml:space="preserve">Členský stát přijal národní akční plán pro energii z obnovitelných zdrojů shodně s </w:t>
            </w:r>
            <w:r w:rsidRPr="00DD47DF">
              <w:rPr>
                <w:rFonts w:cs="Calibri"/>
              </w:rPr>
              <w:lastRenderedPageBreak/>
              <w:t>článkem 4 směrnice 2009/28/ES.</w:t>
            </w:r>
          </w:p>
        </w:tc>
        <w:tc>
          <w:tcPr>
            <w:tcW w:w="1134" w:type="dxa"/>
            <w:shd w:val="clear" w:color="auto" w:fill="auto"/>
          </w:tcPr>
          <w:p w14:paraId="57B58D18" w14:textId="77777777" w:rsidR="00790A0D" w:rsidRPr="00DD47DF" w:rsidRDefault="00790A0D" w:rsidP="006D2F5F">
            <w:pPr>
              <w:pStyle w:val="Tabulka"/>
              <w:jc w:val="left"/>
              <w:rPr>
                <w:rFonts w:cs="Calibri"/>
              </w:rPr>
            </w:pPr>
            <w:r w:rsidRPr="00DD47DF">
              <w:rPr>
                <w:rFonts w:cs="Calibri"/>
              </w:rPr>
              <w:lastRenderedPageBreak/>
              <w:t xml:space="preserve"> ano</w:t>
            </w:r>
          </w:p>
        </w:tc>
        <w:tc>
          <w:tcPr>
            <w:tcW w:w="2126" w:type="dxa"/>
            <w:shd w:val="clear" w:color="auto" w:fill="auto"/>
          </w:tcPr>
          <w:p w14:paraId="6AF2C568" w14:textId="77777777" w:rsidR="00790A0D" w:rsidRPr="00DD47DF" w:rsidRDefault="00580034" w:rsidP="006D2F5F">
            <w:pPr>
              <w:pStyle w:val="Tabulka"/>
              <w:jc w:val="left"/>
              <w:rPr>
                <w:rFonts w:cs="Calibri"/>
              </w:rPr>
            </w:pPr>
            <w:hyperlink r:id="rId154" w:history="1">
              <w:r w:rsidR="00790A0D" w:rsidRPr="00DD47DF">
                <w:rPr>
                  <w:rStyle w:val="Hypertextovodkaz"/>
                  <w:rFonts w:cs="Calibri"/>
                </w:rPr>
                <w:t>Národní akční plán ČR pro energii z obnovitelných zdrojů 2010-2020</w:t>
              </w:r>
            </w:hyperlink>
          </w:p>
        </w:tc>
        <w:tc>
          <w:tcPr>
            <w:tcW w:w="4394" w:type="dxa"/>
            <w:shd w:val="clear" w:color="auto" w:fill="auto"/>
          </w:tcPr>
          <w:p w14:paraId="7E8C1200" w14:textId="77777777" w:rsidR="00790A0D" w:rsidRPr="00DD47DF" w:rsidRDefault="00790A0D" w:rsidP="006D2F5F">
            <w:pPr>
              <w:pStyle w:val="Tabulka"/>
              <w:jc w:val="left"/>
              <w:rPr>
                <w:rFonts w:cs="Calibri"/>
              </w:rPr>
            </w:pPr>
          </w:p>
        </w:tc>
      </w:tr>
      <w:tr w:rsidR="00790A0D" w:rsidRPr="00DD47DF" w14:paraId="458DE1D5" w14:textId="77777777" w:rsidTr="006D2F5F">
        <w:tc>
          <w:tcPr>
            <w:tcW w:w="1752" w:type="dxa"/>
            <w:vMerge w:val="restart"/>
            <w:shd w:val="clear" w:color="auto" w:fill="auto"/>
          </w:tcPr>
          <w:p w14:paraId="0FAA434C" w14:textId="77777777" w:rsidR="00790A0D" w:rsidRPr="00DD47DF" w:rsidRDefault="00790A0D" w:rsidP="006D2F5F">
            <w:pPr>
              <w:pStyle w:val="Tabulka"/>
              <w:jc w:val="left"/>
              <w:rPr>
                <w:rFonts w:cs="Calibri"/>
                <w:b/>
              </w:rPr>
            </w:pPr>
            <w:r w:rsidRPr="00DD47DF">
              <w:rPr>
                <w:rFonts w:cs="Calibri"/>
                <w:b/>
              </w:rPr>
              <w:t>7.4 Rozvoj systémů inteligentní pro distribuci, skladování a přenos energie.</w:t>
            </w:r>
          </w:p>
          <w:p w14:paraId="11E46F83" w14:textId="77777777" w:rsidR="00790A0D" w:rsidRPr="00DD47DF" w:rsidRDefault="00790A0D" w:rsidP="006D2F5F">
            <w:pPr>
              <w:pStyle w:val="Tabulka"/>
              <w:jc w:val="left"/>
              <w:rPr>
                <w:rFonts w:cs="Calibri"/>
                <w:b/>
              </w:rPr>
            </w:pPr>
            <w:r w:rsidRPr="00DD47DF">
              <w:rPr>
                <w:rFonts w:cs="Calibri"/>
                <w:b/>
              </w:rPr>
              <w:t>Existence komplexních plánů pro investice do inteligentní energetické infrastruktury a regulačních opatření, která přispívají ke zlepšení energetické účinnosti a zabezpečení dodávek.</w:t>
            </w:r>
          </w:p>
          <w:p w14:paraId="0396B136" w14:textId="77777777" w:rsidR="00790A0D" w:rsidRPr="00DD47DF" w:rsidRDefault="00790A0D" w:rsidP="006D2F5F">
            <w:pPr>
              <w:pStyle w:val="Tabulka"/>
              <w:jc w:val="left"/>
              <w:rPr>
                <w:rFonts w:cs="Calibri"/>
                <w:b/>
              </w:rPr>
            </w:pPr>
          </w:p>
        </w:tc>
        <w:tc>
          <w:tcPr>
            <w:tcW w:w="1701" w:type="dxa"/>
            <w:vMerge w:val="restart"/>
            <w:shd w:val="clear" w:color="auto" w:fill="auto"/>
          </w:tcPr>
          <w:p w14:paraId="47191612" w14:textId="77777777" w:rsidR="00790A0D" w:rsidRPr="00DD47DF" w:rsidRDefault="00790A0D" w:rsidP="006D2F5F">
            <w:pPr>
              <w:pStyle w:val="Tabulka"/>
              <w:jc w:val="left"/>
              <w:rPr>
                <w:rFonts w:cs="Calibri"/>
              </w:rPr>
            </w:pPr>
            <w:r w:rsidRPr="00DD47DF">
              <w:rPr>
                <w:rFonts w:cs="Calibri"/>
              </w:rPr>
              <w:t>PO 3 – Účinné nakládání energií, rozvoj energetické infrastruktury a obnovitelných zdrojů energie, podpora zavádění nových technologií v oblasti nakládání energií a druhotných surovin</w:t>
            </w:r>
          </w:p>
        </w:tc>
        <w:tc>
          <w:tcPr>
            <w:tcW w:w="1276" w:type="dxa"/>
            <w:vMerge w:val="restart"/>
            <w:shd w:val="clear" w:color="auto" w:fill="auto"/>
          </w:tcPr>
          <w:p w14:paraId="287085E2" w14:textId="77777777" w:rsidR="00790A0D" w:rsidRPr="00DD47DF" w:rsidRDefault="00790A0D" w:rsidP="006D2F5F">
            <w:pPr>
              <w:pStyle w:val="Tabulka"/>
              <w:jc w:val="left"/>
              <w:rPr>
                <w:rFonts w:cs="Calibri"/>
              </w:rPr>
            </w:pPr>
            <w:r w:rsidRPr="00DD47DF">
              <w:rPr>
                <w:rFonts w:cs="Calibri"/>
              </w:rPr>
              <w:t>Ano</w:t>
            </w:r>
          </w:p>
          <w:p w14:paraId="7FCD04AB" w14:textId="77777777" w:rsidR="00790A0D" w:rsidRPr="00DD47DF" w:rsidRDefault="00790A0D" w:rsidP="006D2F5F">
            <w:pPr>
              <w:pStyle w:val="Tabulka"/>
              <w:jc w:val="left"/>
              <w:rPr>
                <w:rFonts w:cs="Calibri"/>
              </w:rPr>
            </w:pPr>
          </w:p>
        </w:tc>
        <w:tc>
          <w:tcPr>
            <w:tcW w:w="1843" w:type="dxa"/>
            <w:shd w:val="clear" w:color="auto" w:fill="auto"/>
          </w:tcPr>
          <w:p w14:paraId="7738FE97" w14:textId="77777777" w:rsidR="00790A0D" w:rsidRPr="00DD47DF" w:rsidRDefault="00790A0D" w:rsidP="006D2F5F">
            <w:pPr>
              <w:pStyle w:val="Tabulka"/>
              <w:jc w:val="left"/>
              <w:rPr>
                <w:rFonts w:cs="Calibri"/>
              </w:rPr>
            </w:pPr>
            <w:r w:rsidRPr="00DD47DF">
              <w:rPr>
                <w:rFonts w:cs="Calibri"/>
              </w:rPr>
              <w:t>Jsou zavedeny komplexní plány popisující priority vnitrostátní energetické infrastruktury:</w:t>
            </w:r>
          </w:p>
        </w:tc>
        <w:tc>
          <w:tcPr>
            <w:tcW w:w="1134" w:type="dxa"/>
            <w:shd w:val="clear" w:color="auto" w:fill="auto"/>
          </w:tcPr>
          <w:p w14:paraId="608BEB67" w14:textId="77777777" w:rsidR="00790A0D" w:rsidRPr="00DD47DF" w:rsidRDefault="00790A0D" w:rsidP="006D2F5F">
            <w:pPr>
              <w:pStyle w:val="Tabulka"/>
              <w:jc w:val="left"/>
              <w:rPr>
                <w:rFonts w:cs="Calibri"/>
              </w:rPr>
            </w:pPr>
            <w:r w:rsidRPr="00DD47DF">
              <w:rPr>
                <w:rFonts w:cs="Calibri"/>
              </w:rPr>
              <w:t>ano</w:t>
            </w:r>
          </w:p>
          <w:p w14:paraId="72D2B4B1" w14:textId="77777777" w:rsidR="00790A0D" w:rsidRPr="00DD47DF" w:rsidRDefault="00790A0D" w:rsidP="006D2F5F">
            <w:pPr>
              <w:pStyle w:val="Tabulka"/>
              <w:jc w:val="left"/>
              <w:rPr>
                <w:rFonts w:cs="Calibri"/>
              </w:rPr>
            </w:pPr>
          </w:p>
        </w:tc>
        <w:tc>
          <w:tcPr>
            <w:tcW w:w="2126" w:type="dxa"/>
            <w:shd w:val="clear" w:color="auto" w:fill="auto"/>
          </w:tcPr>
          <w:p w14:paraId="186AE82F" w14:textId="77777777" w:rsidR="00790A0D" w:rsidRPr="00DD47DF" w:rsidRDefault="00790A0D" w:rsidP="006D2F5F">
            <w:pPr>
              <w:pStyle w:val="Tabulka"/>
              <w:jc w:val="left"/>
              <w:rPr>
                <w:rFonts w:cs="Calibri"/>
              </w:rPr>
            </w:pPr>
            <w:r w:rsidRPr="00DD47DF">
              <w:rPr>
                <w:rFonts w:cs="Calibri"/>
              </w:rPr>
              <w:t>Energetický zákon (EZ):</w:t>
            </w:r>
          </w:p>
          <w:p w14:paraId="585A0C8B" w14:textId="77777777" w:rsidR="00790A0D" w:rsidRPr="00DD47DF" w:rsidRDefault="00580034" w:rsidP="006D2F5F">
            <w:pPr>
              <w:pStyle w:val="Tabulka"/>
              <w:jc w:val="left"/>
              <w:rPr>
                <w:rFonts w:cs="Calibri"/>
              </w:rPr>
            </w:pPr>
            <w:hyperlink r:id="rId155" w:anchor="local-content" w:history="1">
              <w:r w:rsidR="00790A0D" w:rsidRPr="00DD47DF">
                <w:rPr>
                  <w:rStyle w:val="Hypertextovodkaz"/>
                  <w:rFonts w:cs="Calibri"/>
                </w:rPr>
                <w:t>http://portal.gov.cz/app/zakony/zakonPar.jsp?idBiblio=49962&amp;fulltext=&amp;nr=458~2F2000&amp;part=&amp;name=&amp;rpp=15#local-content</w:t>
              </w:r>
            </w:hyperlink>
          </w:p>
        </w:tc>
        <w:tc>
          <w:tcPr>
            <w:tcW w:w="4394" w:type="dxa"/>
            <w:shd w:val="clear" w:color="auto" w:fill="auto"/>
          </w:tcPr>
          <w:p w14:paraId="11A0168D" w14:textId="77777777" w:rsidR="00790A0D" w:rsidRPr="00DD47DF" w:rsidRDefault="00790A0D" w:rsidP="006D2F5F">
            <w:pPr>
              <w:pStyle w:val="Tabulka"/>
              <w:jc w:val="left"/>
              <w:rPr>
                <w:rFonts w:cs="Calibri"/>
              </w:rPr>
            </w:pPr>
            <w:r w:rsidRPr="00DD47DF">
              <w:rPr>
                <w:rFonts w:cs="Calibri"/>
              </w:rPr>
              <w:t>Obecná poznámka: ČR má v případě elektroenergetiky majetkové oddělení provozovatele přenosové soustavy</w:t>
            </w:r>
          </w:p>
        </w:tc>
      </w:tr>
      <w:tr w:rsidR="00790A0D" w:rsidRPr="00DD47DF" w14:paraId="6B66404F" w14:textId="77777777" w:rsidTr="006D2F5F">
        <w:tc>
          <w:tcPr>
            <w:tcW w:w="1752" w:type="dxa"/>
            <w:vMerge/>
            <w:shd w:val="clear" w:color="auto" w:fill="auto"/>
          </w:tcPr>
          <w:p w14:paraId="6F1D9493" w14:textId="77777777" w:rsidR="00790A0D" w:rsidRPr="00DD47DF" w:rsidRDefault="00790A0D" w:rsidP="006D2F5F">
            <w:pPr>
              <w:pStyle w:val="Tabulka"/>
              <w:jc w:val="left"/>
              <w:rPr>
                <w:rFonts w:cs="Calibri"/>
                <w:b/>
              </w:rPr>
            </w:pPr>
          </w:p>
        </w:tc>
        <w:tc>
          <w:tcPr>
            <w:tcW w:w="1701" w:type="dxa"/>
            <w:vMerge/>
            <w:shd w:val="clear" w:color="auto" w:fill="auto"/>
          </w:tcPr>
          <w:p w14:paraId="5CD9B054" w14:textId="77777777" w:rsidR="00790A0D" w:rsidRPr="00DD47DF" w:rsidRDefault="00790A0D" w:rsidP="006D2F5F">
            <w:pPr>
              <w:pStyle w:val="Tabulka"/>
              <w:jc w:val="left"/>
              <w:rPr>
                <w:rFonts w:cs="Calibri"/>
              </w:rPr>
            </w:pPr>
          </w:p>
        </w:tc>
        <w:tc>
          <w:tcPr>
            <w:tcW w:w="1276" w:type="dxa"/>
            <w:vMerge/>
            <w:shd w:val="clear" w:color="auto" w:fill="auto"/>
          </w:tcPr>
          <w:p w14:paraId="264E7A22" w14:textId="77777777" w:rsidR="00790A0D" w:rsidRPr="00DD47DF" w:rsidRDefault="00790A0D" w:rsidP="006D2F5F">
            <w:pPr>
              <w:pStyle w:val="Tabulka"/>
              <w:jc w:val="left"/>
              <w:rPr>
                <w:rFonts w:cs="Calibri"/>
              </w:rPr>
            </w:pPr>
          </w:p>
        </w:tc>
        <w:tc>
          <w:tcPr>
            <w:tcW w:w="1843" w:type="dxa"/>
            <w:shd w:val="clear" w:color="auto" w:fill="auto"/>
          </w:tcPr>
          <w:p w14:paraId="2BB0283E" w14:textId="77777777" w:rsidR="00790A0D" w:rsidRPr="00DD47DF" w:rsidRDefault="00790A0D" w:rsidP="006D2F5F">
            <w:pPr>
              <w:pStyle w:val="Tabulka"/>
              <w:jc w:val="left"/>
              <w:rPr>
                <w:rFonts w:cs="Calibri"/>
              </w:rPr>
            </w:pPr>
            <w:r w:rsidRPr="00DD47DF">
              <w:rPr>
                <w:rFonts w:cs="Calibri"/>
              </w:rPr>
              <w:t>v souladu s článkem 22 směrnice 2009/72/EC a směrnice 2009/73/EC, nebo</w:t>
            </w:r>
          </w:p>
        </w:tc>
        <w:tc>
          <w:tcPr>
            <w:tcW w:w="1134" w:type="dxa"/>
            <w:shd w:val="clear" w:color="auto" w:fill="auto"/>
          </w:tcPr>
          <w:p w14:paraId="2004ADB7"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E88FB20" w14:textId="77777777" w:rsidR="00790A0D" w:rsidRPr="00DD47DF" w:rsidRDefault="002756E7" w:rsidP="006D2F5F">
            <w:pPr>
              <w:pStyle w:val="Tabulka"/>
              <w:jc w:val="left"/>
              <w:rPr>
                <w:rStyle w:val="Hypertextovodkaz"/>
                <w:rFonts w:cs="Calibri"/>
              </w:rPr>
            </w:pPr>
            <w:r w:rsidRPr="00DD47DF">
              <w:rPr>
                <w:rFonts w:eastAsia="Calibri" w:cs="Calibri"/>
              </w:rPr>
              <w:fldChar w:fldCharType="begin"/>
            </w:r>
            <w:r w:rsidR="00790A0D" w:rsidRPr="00DD47DF">
              <w:rPr>
                <w:rFonts w:cs="Calibri"/>
              </w:rPr>
              <w:instrText xml:space="preserve"> HYPERLINK "http://portal.gov.cz/app/zakony/zakonPar.jsp?idBiblio=49962&amp;fulltext=&amp;nr=458~2F2000&amp;part=&amp;name=&amp;rpp=15" \l "local-content" </w:instrText>
            </w:r>
            <w:r w:rsidRPr="00DD47DF">
              <w:rPr>
                <w:rFonts w:eastAsia="Calibri" w:cs="Calibri"/>
              </w:rPr>
              <w:fldChar w:fldCharType="separate"/>
            </w:r>
            <w:r w:rsidR="00790A0D" w:rsidRPr="00DD47DF">
              <w:rPr>
                <w:rStyle w:val="Hypertextovodkaz"/>
                <w:rFonts w:cs="Calibri"/>
              </w:rPr>
              <w:t>§ 24 odst. 10 písm. j),</w:t>
            </w:r>
          </w:p>
          <w:p w14:paraId="1816FCEE" w14:textId="77777777" w:rsidR="00790A0D" w:rsidRPr="00DD47DF" w:rsidRDefault="00790A0D" w:rsidP="006D2F5F">
            <w:pPr>
              <w:pStyle w:val="Tabulka"/>
              <w:jc w:val="left"/>
              <w:rPr>
                <w:rFonts w:cs="Calibri"/>
              </w:rPr>
            </w:pPr>
            <w:r w:rsidRPr="00DD47DF">
              <w:rPr>
                <w:rStyle w:val="Hypertextovodkaz"/>
                <w:rFonts w:cs="Calibri"/>
              </w:rPr>
              <w:t>A § 58k odst.(3), (5), § 58l zákona č. 458/2000 Sb.</w:t>
            </w:r>
            <w:r w:rsidR="002756E7" w:rsidRPr="00DD47DF">
              <w:rPr>
                <w:rFonts w:cs="Calibri"/>
              </w:rPr>
              <w:fldChar w:fldCharType="end"/>
            </w:r>
          </w:p>
          <w:p w14:paraId="44F1E524" w14:textId="77777777" w:rsidR="00790A0D" w:rsidRPr="00DD47DF" w:rsidRDefault="00790A0D" w:rsidP="006D2F5F">
            <w:pPr>
              <w:pStyle w:val="Tabulka"/>
              <w:jc w:val="left"/>
              <w:rPr>
                <w:rFonts w:cs="Calibri"/>
              </w:rPr>
            </w:pPr>
            <w:r w:rsidRPr="00DD47DF">
              <w:rPr>
                <w:rFonts w:cs="Calibri"/>
              </w:rPr>
              <w:t>ve znění zákona č. 211/2011 Sb. (dále jen EZ)</w:t>
            </w:r>
          </w:p>
        </w:tc>
        <w:tc>
          <w:tcPr>
            <w:tcW w:w="4394" w:type="dxa"/>
            <w:shd w:val="clear" w:color="auto" w:fill="auto"/>
          </w:tcPr>
          <w:p w14:paraId="0EF07624" w14:textId="77777777" w:rsidR="00790A0D" w:rsidRPr="00DD47DF" w:rsidRDefault="00790A0D" w:rsidP="006D2F5F">
            <w:pPr>
              <w:pStyle w:val="Tabulka"/>
              <w:jc w:val="left"/>
              <w:rPr>
                <w:rFonts w:cs="Calibri"/>
              </w:rPr>
            </w:pPr>
            <w:r w:rsidRPr="00DD47DF">
              <w:rPr>
                <w:rFonts w:cs="Calibri"/>
              </w:rPr>
              <w:t>(10) Provozovatel přenosové soustavy je dále povinen</w:t>
            </w:r>
          </w:p>
          <w:p w14:paraId="39F0F14F" w14:textId="77777777" w:rsidR="00790A0D" w:rsidRPr="00DD47DF" w:rsidRDefault="00790A0D" w:rsidP="006D2F5F">
            <w:pPr>
              <w:pStyle w:val="Tabulka"/>
              <w:jc w:val="left"/>
              <w:rPr>
                <w:rFonts w:cs="Calibri"/>
              </w:rPr>
            </w:pPr>
            <w:r w:rsidRPr="00DD47DF">
              <w:rPr>
                <w:rFonts w:cs="Calibri"/>
              </w:rPr>
              <w:t>j) každoročně zpracovávat plán rozvoje přenosové soustavy včetně plánu investičního v rozsahu podle § 58k odst. (3) a po jeho schválení jej zveřejňovat; ustanovení § 58l odst. (5) se použije obdobně,</w:t>
            </w:r>
          </w:p>
        </w:tc>
      </w:tr>
      <w:tr w:rsidR="00790A0D" w:rsidRPr="00DD47DF" w14:paraId="5C0C2F2A" w14:textId="77777777" w:rsidTr="006D2F5F">
        <w:tc>
          <w:tcPr>
            <w:tcW w:w="1752" w:type="dxa"/>
            <w:vMerge/>
            <w:shd w:val="clear" w:color="auto" w:fill="auto"/>
          </w:tcPr>
          <w:p w14:paraId="4CBE0405" w14:textId="77777777" w:rsidR="00790A0D" w:rsidRPr="00DD47DF" w:rsidRDefault="00790A0D" w:rsidP="006D2F5F">
            <w:pPr>
              <w:pStyle w:val="Tabulka"/>
              <w:jc w:val="left"/>
              <w:rPr>
                <w:rFonts w:cs="Calibri"/>
                <w:b/>
              </w:rPr>
            </w:pPr>
          </w:p>
        </w:tc>
        <w:tc>
          <w:tcPr>
            <w:tcW w:w="1701" w:type="dxa"/>
            <w:vMerge/>
            <w:shd w:val="clear" w:color="auto" w:fill="auto"/>
          </w:tcPr>
          <w:p w14:paraId="30AD0E42" w14:textId="77777777" w:rsidR="00790A0D" w:rsidRPr="00DD47DF" w:rsidRDefault="00790A0D" w:rsidP="006D2F5F">
            <w:pPr>
              <w:pStyle w:val="Tabulka"/>
              <w:jc w:val="left"/>
              <w:rPr>
                <w:rFonts w:cs="Calibri"/>
              </w:rPr>
            </w:pPr>
          </w:p>
        </w:tc>
        <w:tc>
          <w:tcPr>
            <w:tcW w:w="1276" w:type="dxa"/>
            <w:vMerge/>
            <w:shd w:val="clear" w:color="auto" w:fill="auto"/>
          </w:tcPr>
          <w:p w14:paraId="7A08B6AA" w14:textId="77777777" w:rsidR="00790A0D" w:rsidRPr="00DD47DF" w:rsidRDefault="00790A0D" w:rsidP="006D2F5F">
            <w:pPr>
              <w:pStyle w:val="Tabulka"/>
              <w:jc w:val="left"/>
              <w:rPr>
                <w:rFonts w:cs="Calibri"/>
              </w:rPr>
            </w:pPr>
          </w:p>
        </w:tc>
        <w:tc>
          <w:tcPr>
            <w:tcW w:w="1843" w:type="dxa"/>
            <w:shd w:val="clear" w:color="auto" w:fill="auto"/>
          </w:tcPr>
          <w:p w14:paraId="3B549CE8" w14:textId="77777777" w:rsidR="00790A0D" w:rsidRPr="00DD47DF" w:rsidRDefault="00790A0D" w:rsidP="006D2F5F">
            <w:pPr>
              <w:pStyle w:val="Tabulka"/>
              <w:jc w:val="left"/>
              <w:rPr>
                <w:rFonts w:cs="Calibri"/>
              </w:rPr>
            </w:pPr>
            <w:r w:rsidRPr="00DD47DF">
              <w:rPr>
                <w:rFonts w:cs="Calibri"/>
              </w:rPr>
              <w:t xml:space="preserve">v souladu s příslušnými regionálními plány investic podle článku 12 a s celounijním desetiletým plánem rozvoje sítí v souladu s písm. čl. 8 odst. 3 písm. b) (3) nařízení Evropského parlamentu a Rady </w:t>
            </w:r>
            <w:r w:rsidRPr="00DD47DF">
              <w:rPr>
                <w:rFonts w:cs="Calibri"/>
              </w:rPr>
              <w:lastRenderedPageBreak/>
              <w:t>(ES) č. 714/2009</w:t>
            </w:r>
            <w:r w:rsidRPr="00DD47DF">
              <w:rPr>
                <w:rStyle w:val="Znakapoznpodarou"/>
                <w:rFonts w:cs="Calibri"/>
              </w:rPr>
              <w:footnoteReference w:id="101"/>
            </w:r>
            <w:r w:rsidRPr="00DD47DF">
              <w:rPr>
                <w:rFonts w:cs="Calibri"/>
              </w:rPr>
              <w:t xml:space="preserve"> a s nařízením Evropského parlamentu a Rady (ES) č. 715/2009</w:t>
            </w:r>
            <w:r w:rsidRPr="00DD47DF">
              <w:rPr>
                <w:rStyle w:val="Znakapoznpodarou"/>
                <w:rFonts w:cs="Calibri"/>
              </w:rPr>
              <w:footnoteReference w:id="102"/>
            </w:r>
            <w:r w:rsidRPr="00DD47DF">
              <w:rPr>
                <w:rFonts w:cs="Calibri"/>
              </w:rPr>
              <w:t xml:space="preserve">, nebo  </w:t>
            </w:r>
          </w:p>
        </w:tc>
        <w:tc>
          <w:tcPr>
            <w:tcW w:w="1134" w:type="dxa"/>
            <w:shd w:val="clear" w:color="auto" w:fill="auto"/>
          </w:tcPr>
          <w:p w14:paraId="38144194"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7C24A7AC" w14:textId="77777777" w:rsidR="00790A0D" w:rsidRPr="00DD47DF" w:rsidRDefault="00580034" w:rsidP="006D2F5F">
            <w:pPr>
              <w:pStyle w:val="Tabulka"/>
              <w:jc w:val="left"/>
              <w:rPr>
                <w:rFonts w:cs="Calibri"/>
              </w:rPr>
            </w:pPr>
            <w:hyperlink r:id="rId156" w:anchor="local-content" w:history="1">
              <w:r w:rsidR="00790A0D" w:rsidRPr="00DD47DF">
                <w:rPr>
                  <w:rStyle w:val="Hypertextovodkaz"/>
                  <w:rFonts w:cs="Calibri"/>
                </w:rPr>
                <w:t>§ 58k, zejména odst. (3); § 58l odst. (5) EZ</w:t>
              </w:r>
            </w:hyperlink>
          </w:p>
        </w:tc>
        <w:tc>
          <w:tcPr>
            <w:tcW w:w="4394" w:type="dxa"/>
            <w:shd w:val="clear" w:color="auto" w:fill="auto"/>
          </w:tcPr>
          <w:p w14:paraId="25417AAE" w14:textId="77777777" w:rsidR="00790A0D" w:rsidRPr="00DD47DF" w:rsidRDefault="00790A0D" w:rsidP="006D2F5F">
            <w:pPr>
              <w:pStyle w:val="Tabulka"/>
              <w:jc w:val="left"/>
              <w:rPr>
                <w:rFonts w:cs="Calibri"/>
              </w:rPr>
            </w:pPr>
            <w:r w:rsidRPr="00DD47DF">
              <w:rPr>
                <w:rFonts w:cs="Calibri"/>
              </w:rPr>
              <w:t>ERU posuzuje soulad (konzistentnost) s plánem rozvoje soustavy pro celou EU podle nařízení o podmínkách přístupu</w:t>
            </w:r>
          </w:p>
        </w:tc>
      </w:tr>
      <w:tr w:rsidR="00790A0D" w:rsidRPr="00DD47DF" w14:paraId="78881675" w14:textId="77777777" w:rsidTr="006D2F5F">
        <w:tc>
          <w:tcPr>
            <w:tcW w:w="1752" w:type="dxa"/>
            <w:vMerge/>
            <w:shd w:val="clear" w:color="auto" w:fill="auto"/>
          </w:tcPr>
          <w:p w14:paraId="5A7A42CF" w14:textId="77777777" w:rsidR="00790A0D" w:rsidRPr="00DD47DF" w:rsidRDefault="00790A0D" w:rsidP="006D2F5F">
            <w:pPr>
              <w:pStyle w:val="Tabulka"/>
              <w:jc w:val="left"/>
              <w:rPr>
                <w:rFonts w:cs="Calibri"/>
                <w:b/>
              </w:rPr>
            </w:pPr>
          </w:p>
        </w:tc>
        <w:tc>
          <w:tcPr>
            <w:tcW w:w="1701" w:type="dxa"/>
            <w:vMerge/>
            <w:shd w:val="clear" w:color="auto" w:fill="auto"/>
          </w:tcPr>
          <w:p w14:paraId="1F61F643" w14:textId="77777777" w:rsidR="00790A0D" w:rsidRPr="00DD47DF" w:rsidRDefault="00790A0D" w:rsidP="006D2F5F">
            <w:pPr>
              <w:pStyle w:val="Tabulka"/>
              <w:jc w:val="left"/>
              <w:rPr>
                <w:rFonts w:cs="Calibri"/>
              </w:rPr>
            </w:pPr>
          </w:p>
        </w:tc>
        <w:tc>
          <w:tcPr>
            <w:tcW w:w="1276" w:type="dxa"/>
            <w:vMerge/>
            <w:shd w:val="clear" w:color="auto" w:fill="auto"/>
          </w:tcPr>
          <w:p w14:paraId="0C3133DF" w14:textId="77777777" w:rsidR="00790A0D" w:rsidRPr="00DD47DF" w:rsidRDefault="00790A0D" w:rsidP="006D2F5F">
            <w:pPr>
              <w:pStyle w:val="Tabulka"/>
              <w:jc w:val="left"/>
              <w:rPr>
                <w:rFonts w:cs="Calibri"/>
              </w:rPr>
            </w:pPr>
          </w:p>
        </w:tc>
        <w:tc>
          <w:tcPr>
            <w:tcW w:w="1843" w:type="dxa"/>
            <w:shd w:val="clear" w:color="auto" w:fill="auto"/>
          </w:tcPr>
          <w:p w14:paraId="569FA915" w14:textId="77777777" w:rsidR="00790A0D" w:rsidRPr="00DD47DF" w:rsidRDefault="00790A0D" w:rsidP="006D2F5F">
            <w:pPr>
              <w:pStyle w:val="Tabulka"/>
              <w:jc w:val="left"/>
              <w:rPr>
                <w:rFonts w:cs="Calibri"/>
              </w:rPr>
            </w:pPr>
            <w:r w:rsidRPr="00DD47DF">
              <w:rPr>
                <w:rFonts w:cs="Calibri"/>
              </w:rPr>
              <w:t>v souladu s čl. 3 odst. 4 nařízení Evropského parlamentu a Rady č. 347/2013</w:t>
            </w:r>
            <w:r w:rsidRPr="00DD47DF">
              <w:rPr>
                <w:rStyle w:val="Znakapoznpodarou"/>
                <w:rFonts w:cs="Calibri"/>
              </w:rPr>
              <w:footnoteReference w:id="103"/>
            </w:r>
            <w:r w:rsidRPr="00DD47DF">
              <w:rPr>
                <w:rFonts w:cs="Calibri"/>
              </w:rPr>
              <w:t>;</w:t>
            </w:r>
          </w:p>
        </w:tc>
        <w:tc>
          <w:tcPr>
            <w:tcW w:w="1134" w:type="dxa"/>
            <w:shd w:val="clear" w:color="auto" w:fill="auto"/>
          </w:tcPr>
          <w:p w14:paraId="462677E0"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4CD19FC5" w14:textId="77777777" w:rsidR="00790A0D" w:rsidRPr="00DD47DF" w:rsidRDefault="00580034" w:rsidP="006D2F5F">
            <w:pPr>
              <w:pStyle w:val="Tabulka"/>
              <w:jc w:val="left"/>
              <w:rPr>
                <w:rFonts w:cs="Calibri"/>
              </w:rPr>
            </w:pPr>
            <w:hyperlink r:id="rId157" w:anchor="local-content" w:history="1">
              <w:r w:rsidR="00790A0D" w:rsidRPr="00DD47DF">
                <w:rPr>
                  <w:rStyle w:val="Hypertextovodkaz"/>
                  <w:rFonts w:cs="Calibri"/>
                </w:rPr>
                <w:t>§ 58k, zejména odst. (3) a (8) EZ</w:t>
              </w:r>
            </w:hyperlink>
          </w:p>
        </w:tc>
        <w:tc>
          <w:tcPr>
            <w:tcW w:w="4394" w:type="dxa"/>
            <w:shd w:val="clear" w:color="auto" w:fill="auto"/>
          </w:tcPr>
          <w:p w14:paraId="20EB28C7" w14:textId="77777777" w:rsidR="00790A0D" w:rsidRPr="00DD47DF" w:rsidRDefault="00790A0D" w:rsidP="006D2F5F">
            <w:pPr>
              <w:pStyle w:val="Tabulka"/>
              <w:jc w:val="left"/>
              <w:rPr>
                <w:rFonts w:cs="Calibri"/>
              </w:rPr>
            </w:pPr>
            <w:r w:rsidRPr="00DD47DF">
              <w:rPr>
                <w:rFonts w:cs="Calibri"/>
              </w:rPr>
              <w:t>Požadavky dle čl. 3.4 Nařízení č. 347/2013 zajišťují TSO a kontroluje ERÚ</w:t>
            </w:r>
          </w:p>
        </w:tc>
      </w:tr>
      <w:tr w:rsidR="00790A0D" w:rsidRPr="00DD47DF" w14:paraId="618E2D16" w14:textId="77777777" w:rsidTr="006D2F5F">
        <w:tc>
          <w:tcPr>
            <w:tcW w:w="1752" w:type="dxa"/>
            <w:vMerge/>
            <w:shd w:val="clear" w:color="auto" w:fill="auto"/>
          </w:tcPr>
          <w:p w14:paraId="17D2813D" w14:textId="77777777" w:rsidR="00790A0D" w:rsidRPr="00DD47DF" w:rsidRDefault="00790A0D" w:rsidP="006D2F5F">
            <w:pPr>
              <w:pStyle w:val="Tabulka"/>
              <w:jc w:val="left"/>
              <w:rPr>
                <w:rFonts w:cs="Calibri"/>
                <w:b/>
              </w:rPr>
            </w:pPr>
          </w:p>
        </w:tc>
        <w:tc>
          <w:tcPr>
            <w:tcW w:w="1701" w:type="dxa"/>
            <w:vMerge/>
            <w:shd w:val="clear" w:color="auto" w:fill="auto"/>
          </w:tcPr>
          <w:p w14:paraId="01B4C905" w14:textId="77777777" w:rsidR="00790A0D" w:rsidRPr="00DD47DF" w:rsidRDefault="00790A0D" w:rsidP="006D2F5F">
            <w:pPr>
              <w:pStyle w:val="Tabulka"/>
              <w:jc w:val="left"/>
              <w:rPr>
                <w:rFonts w:cs="Calibri"/>
              </w:rPr>
            </w:pPr>
          </w:p>
        </w:tc>
        <w:tc>
          <w:tcPr>
            <w:tcW w:w="1276" w:type="dxa"/>
            <w:vMerge/>
            <w:shd w:val="clear" w:color="auto" w:fill="auto"/>
          </w:tcPr>
          <w:p w14:paraId="0F907FB7" w14:textId="77777777" w:rsidR="00790A0D" w:rsidRPr="00DD47DF" w:rsidRDefault="00790A0D" w:rsidP="006D2F5F">
            <w:pPr>
              <w:pStyle w:val="Tabulka"/>
              <w:jc w:val="left"/>
              <w:rPr>
                <w:rFonts w:cs="Calibri"/>
              </w:rPr>
            </w:pPr>
          </w:p>
        </w:tc>
        <w:tc>
          <w:tcPr>
            <w:tcW w:w="1843" w:type="dxa"/>
            <w:shd w:val="clear" w:color="auto" w:fill="auto"/>
          </w:tcPr>
          <w:p w14:paraId="35803A1E" w14:textId="77777777" w:rsidR="00790A0D" w:rsidRPr="00DD47DF" w:rsidRDefault="00790A0D" w:rsidP="006D2F5F">
            <w:pPr>
              <w:pStyle w:val="Tabulka"/>
              <w:jc w:val="left"/>
              <w:rPr>
                <w:rFonts w:cs="Calibri"/>
              </w:rPr>
            </w:pPr>
            <w:r w:rsidRPr="00DD47DF">
              <w:rPr>
                <w:rFonts w:cs="Calibri"/>
              </w:rPr>
              <w:t>Tyto plány obsahují:</w:t>
            </w:r>
          </w:p>
          <w:p w14:paraId="134268F1" w14:textId="77777777" w:rsidR="00790A0D" w:rsidRPr="00DD47DF" w:rsidRDefault="00790A0D" w:rsidP="006D2F5F">
            <w:pPr>
              <w:pStyle w:val="Tabulka"/>
              <w:jc w:val="left"/>
              <w:rPr>
                <w:rFonts w:cs="Calibri"/>
              </w:rPr>
            </w:pPr>
            <w:r w:rsidRPr="00DD47DF">
              <w:rPr>
                <w:rFonts w:cs="Calibri"/>
              </w:rPr>
              <w:t>realistický a vyspělý plán provádění projektů, u nichž se předpokládá podpora z ERDF;</w:t>
            </w:r>
          </w:p>
        </w:tc>
        <w:tc>
          <w:tcPr>
            <w:tcW w:w="1134" w:type="dxa"/>
            <w:shd w:val="clear" w:color="auto" w:fill="auto"/>
          </w:tcPr>
          <w:p w14:paraId="75C0A96F"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7B30F6E4" w14:textId="77777777" w:rsidR="00790A0D" w:rsidRPr="00DD47DF" w:rsidRDefault="00580034" w:rsidP="006D2F5F">
            <w:pPr>
              <w:pStyle w:val="Tabulka"/>
              <w:jc w:val="left"/>
              <w:rPr>
                <w:rFonts w:cs="Calibri"/>
              </w:rPr>
            </w:pPr>
            <w:hyperlink r:id="rId158" w:anchor="local-content" w:history="1">
              <w:r w:rsidR="00790A0D" w:rsidRPr="00DD47DF">
                <w:rPr>
                  <w:rStyle w:val="Hypertextovodkaz"/>
                  <w:rFonts w:cs="Calibri"/>
                </w:rPr>
                <w:t>§ 58k, zejm. odst. (3) a (9) EZ</w:t>
              </w:r>
            </w:hyperlink>
          </w:p>
        </w:tc>
        <w:tc>
          <w:tcPr>
            <w:tcW w:w="4394" w:type="dxa"/>
            <w:shd w:val="clear" w:color="auto" w:fill="auto"/>
          </w:tcPr>
          <w:p w14:paraId="207C7481" w14:textId="77777777" w:rsidR="00790A0D" w:rsidRPr="00DD47DF" w:rsidRDefault="00790A0D" w:rsidP="006D2F5F">
            <w:pPr>
              <w:pStyle w:val="Tabulka"/>
              <w:jc w:val="left"/>
              <w:rPr>
                <w:rFonts w:cs="Calibri"/>
              </w:rPr>
            </w:pPr>
            <w:r w:rsidRPr="00DD47DF">
              <w:rPr>
                <w:rFonts w:cs="Calibri"/>
              </w:rPr>
              <w:t>Kontrola opodstatněnosti a „zralosti“ plánovaných investic je zajišťována ERÚ</w:t>
            </w:r>
          </w:p>
        </w:tc>
      </w:tr>
      <w:tr w:rsidR="00790A0D" w:rsidRPr="00DD47DF" w14:paraId="31FFB7DB" w14:textId="77777777" w:rsidTr="006D2F5F">
        <w:tc>
          <w:tcPr>
            <w:tcW w:w="1752" w:type="dxa"/>
            <w:vMerge/>
            <w:shd w:val="clear" w:color="auto" w:fill="auto"/>
          </w:tcPr>
          <w:p w14:paraId="266495FC" w14:textId="77777777" w:rsidR="00790A0D" w:rsidRPr="00DD47DF" w:rsidRDefault="00790A0D" w:rsidP="006D2F5F">
            <w:pPr>
              <w:pStyle w:val="Tabulka"/>
              <w:jc w:val="left"/>
              <w:rPr>
                <w:rFonts w:cs="Calibri"/>
                <w:b/>
              </w:rPr>
            </w:pPr>
          </w:p>
        </w:tc>
        <w:tc>
          <w:tcPr>
            <w:tcW w:w="1701" w:type="dxa"/>
            <w:vMerge/>
            <w:shd w:val="clear" w:color="auto" w:fill="auto"/>
          </w:tcPr>
          <w:p w14:paraId="7BDABB16" w14:textId="77777777" w:rsidR="00790A0D" w:rsidRPr="00DD47DF" w:rsidRDefault="00790A0D" w:rsidP="006D2F5F">
            <w:pPr>
              <w:pStyle w:val="Tabulka"/>
              <w:jc w:val="left"/>
              <w:rPr>
                <w:rFonts w:cs="Calibri"/>
              </w:rPr>
            </w:pPr>
          </w:p>
        </w:tc>
        <w:tc>
          <w:tcPr>
            <w:tcW w:w="1276" w:type="dxa"/>
            <w:vMerge/>
            <w:shd w:val="clear" w:color="auto" w:fill="auto"/>
          </w:tcPr>
          <w:p w14:paraId="11483355" w14:textId="77777777" w:rsidR="00790A0D" w:rsidRPr="00DD47DF" w:rsidRDefault="00790A0D" w:rsidP="006D2F5F">
            <w:pPr>
              <w:pStyle w:val="Tabulka"/>
              <w:jc w:val="left"/>
              <w:rPr>
                <w:rFonts w:cs="Calibri"/>
              </w:rPr>
            </w:pPr>
          </w:p>
        </w:tc>
        <w:tc>
          <w:tcPr>
            <w:tcW w:w="1843" w:type="dxa"/>
            <w:shd w:val="clear" w:color="auto" w:fill="auto"/>
          </w:tcPr>
          <w:p w14:paraId="19E5EC91" w14:textId="77777777" w:rsidR="00790A0D" w:rsidRPr="00DD47DF" w:rsidRDefault="00790A0D" w:rsidP="006D2F5F">
            <w:pPr>
              <w:pStyle w:val="Tabulka"/>
              <w:jc w:val="left"/>
              <w:rPr>
                <w:rFonts w:cs="Calibri"/>
              </w:rPr>
            </w:pPr>
            <w:r w:rsidRPr="00DD47DF">
              <w:rPr>
                <w:rFonts w:cs="Calibri"/>
              </w:rPr>
              <w:t xml:space="preserve">opatření pro dosažení cílů v oblasti sociální </w:t>
            </w:r>
            <w:r w:rsidRPr="00DD47DF">
              <w:rPr>
                <w:rFonts w:cs="Calibri"/>
              </w:rPr>
              <w:lastRenderedPageBreak/>
              <w:t>a hospodářské soudržnosti a ochrany životního prostředí v souladu s čl. 3 odst. 10 směrnice 2009/72/ES a čl. 3 odst. 7 směrnice 2009/73/ES;</w:t>
            </w:r>
          </w:p>
        </w:tc>
        <w:tc>
          <w:tcPr>
            <w:tcW w:w="1134" w:type="dxa"/>
            <w:shd w:val="clear" w:color="auto" w:fill="auto"/>
          </w:tcPr>
          <w:p w14:paraId="24B1425B"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3F4B6211" w14:textId="77777777" w:rsidR="00790A0D" w:rsidRPr="00DD47DF" w:rsidRDefault="00580034" w:rsidP="006D2F5F">
            <w:pPr>
              <w:pStyle w:val="Tabulka"/>
              <w:jc w:val="left"/>
              <w:rPr>
                <w:rFonts w:cs="Calibri"/>
              </w:rPr>
            </w:pPr>
            <w:hyperlink r:id="rId159" w:anchor="local-content" w:history="1">
              <w:r w:rsidR="00790A0D" w:rsidRPr="00DD47DF">
                <w:rPr>
                  <w:rStyle w:val="Hypertextovodkaz"/>
                  <w:rFonts w:cs="Calibri"/>
                </w:rPr>
                <w:t>§12a EZ</w:t>
              </w:r>
            </w:hyperlink>
          </w:p>
        </w:tc>
        <w:tc>
          <w:tcPr>
            <w:tcW w:w="4394" w:type="dxa"/>
            <w:shd w:val="clear" w:color="auto" w:fill="auto"/>
          </w:tcPr>
          <w:p w14:paraId="49FE0B2E" w14:textId="77777777" w:rsidR="00790A0D" w:rsidRPr="00DD47DF" w:rsidRDefault="00790A0D" w:rsidP="006D2F5F">
            <w:pPr>
              <w:pStyle w:val="Tabulka"/>
              <w:jc w:val="left"/>
              <w:rPr>
                <w:rFonts w:cs="Calibri"/>
              </w:rPr>
            </w:pPr>
          </w:p>
        </w:tc>
      </w:tr>
      <w:tr w:rsidR="00790A0D" w:rsidRPr="00DD47DF" w14:paraId="05B8BDC4" w14:textId="77777777" w:rsidTr="006D2F5F">
        <w:tc>
          <w:tcPr>
            <w:tcW w:w="1752" w:type="dxa"/>
            <w:vMerge/>
            <w:shd w:val="clear" w:color="auto" w:fill="auto"/>
          </w:tcPr>
          <w:p w14:paraId="3A3D25B9" w14:textId="77777777" w:rsidR="00790A0D" w:rsidRPr="00DD47DF" w:rsidRDefault="00790A0D" w:rsidP="006D2F5F">
            <w:pPr>
              <w:pStyle w:val="Tabulka"/>
              <w:jc w:val="left"/>
              <w:rPr>
                <w:rFonts w:cs="Calibri"/>
                <w:b/>
              </w:rPr>
            </w:pPr>
          </w:p>
        </w:tc>
        <w:tc>
          <w:tcPr>
            <w:tcW w:w="1701" w:type="dxa"/>
            <w:vMerge/>
            <w:shd w:val="clear" w:color="auto" w:fill="auto"/>
          </w:tcPr>
          <w:p w14:paraId="56DD09E4" w14:textId="77777777" w:rsidR="00790A0D" w:rsidRPr="00DD47DF" w:rsidRDefault="00790A0D" w:rsidP="006D2F5F">
            <w:pPr>
              <w:pStyle w:val="Tabulka"/>
              <w:jc w:val="left"/>
              <w:rPr>
                <w:rFonts w:cs="Calibri"/>
              </w:rPr>
            </w:pPr>
          </w:p>
        </w:tc>
        <w:tc>
          <w:tcPr>
            <w:tcW w:w="1276" w:type="dxa"/>
            <w:vMerge/>
            <w:shd w:val="clear" w:color="auto" w:fill="auto"/>
          </w:tcPr>
          <w:p w14:paraId="78D147F1" w14:textId="77777777" w:rsidR="00790A0D" w:rsidRPr="00DD47DF" w:rsidRDefault="00790A0D" w:rsidP="006D2F5F">
            <w:pPr>
              <w:pStyle w:val="Tabulka"/>
              <w:jc w:val="left"/>
              <w:rPr>
                <w:rFonts w:cs="Calibri"/>
              </w:rPr>
            </w:pPr>
          </w:p>
        </w:tc>
        <w:tc>
          <w:tcPr>
            <w:tcW w:w="1843" w:type="dxa"/>
            <w:shd w:val="clear" w:color="auto" w:fill="auto"/>
          </w:tcPr>
          <w:p w14:paraId="0FC1D9C5" w14:textId="77777777" w:rsidR="00790A0D" w:rsidRPr="00DD47DF" w:rsidRDefault="00790A0D" w:rsidP="006D2F5F">
            <w:pPr>
              <w:pStyle w:val="Tabulka"/>
              <w:jc w:val="left"/>
              <w:rPr>
                <w:rFonts w:cs="Calibri"/>
              </w:rPr>
            </w:pPr>
            <w:r w:rsidRPr="00DD47DF">
              <w:rPr>
                <w:rFonts w:cs="Calibri"/>
              </w:rPr>
              <w:t>opatření pro optimalizaci využití energie a podporu energetické účinnosti v souladu s čl. 3 odst.11 směrnice 2009/72/ES a čl. 3 odst. 8 směrnice 2009/73/ES.</w:t>
            </w:r>
          </w:p>
        </w:tc>
        <w:tc>
          <w:tcPr>
            <w:tcW w:w="1134" w:type="dxa"/>
            <w:shd w:val="clear" w:color="auto" w:fill="auto"/>
          </w:tcPr>
          <w:p w14:paraId="1ACC1FBA"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23E9EF26" w14:textId="77777777" w:rsidR="00790A0D" w:rsidRPr="00DD47DF" w:rsidRDefault="002756E7" w:rsidP="006D2F5F">
            <w:pPr>
              <w:pStyle w:val="Tabulka"/>
              <w:jc w:val="left"/>
              <w:rPr>
                <w:rStyle w:val="Hypertextovodkaz"/>
                <w:rFonts w:cs="Calibri"/>
              </w:rPr>
            </w:pPr>
            <w:r w:rsidRPr="00DD47DF">
              <w:rPr>
                <w:rFonts w:cs="Calibri"/>
              </w:rPr>
              <w:fldChar w:fldCharType="begin"/>
            </w:r>
            <w:r w:rsidR="00790A0D" w:rsidRPr="00DD47DF">
              <w:rPr>
                <w:rFonts w:cs="Calibri"/>
              </w:rPr>
              <w:instrText xml:space="preserve"> HYPERLINK "http://portal.gov.cz/app/zakony/zakonPar.jsp?idBiblio=49962&amp;fulltext=&amp;nr=458~2F2000&amp;part=&amp;name=&amp;rpp=15" \l "local-content" </w:instrText>
            </w:r>
            <w:r w:rsidRPr="00DD47DF">
              <w:rPr>
                <w:rFonts w:cs="Calibri"/>
              </w:rPr>
              <w:fldChar w:fldCharType="separate"/>
            </w:r>
            <w:r w:rsidR="00790A0D" w:rsidRPr="00DD47DF">
              <w:rPr>
                <w:rStyle w:val="Hypertextovodkaz"/>
                <w:rFonts w:cs="Calibri"/>
              </w:rPr>
              <w:t>§16k EZ - AMM,</w:t>
            </w:r>
          </w:p>
          <w:p w14:paraId="608850B5" w14:textId="77777777" w:rsidR="00790A0D" w:rsidRPr="00DD47DF" w:rsidRDefault="00790A0D" w:rsidP="006D2F5F">
            <w:pPr>
              <w:pStyle w:val="Tabulka"/>
              <w:jc w:val="left"/>
              <w:rPr>
                <w:rFonts w:cs="Calibri"/>
              </w:rPr>
            </w:pPr>
            <w:r w:rsidRPr="00DD47DF">
              <w:rPr>
                <w:rStyle w:val="Hypertextovodkaz"/>
                <w:rFonts w:cs="Calibri"/>
              </w:rPr>
              <w:t>§49 EZ – měření jako takové</w:t>
            </w:r>
            <w:r w:rsidR="002756E7" w:rsidRPr="00DD47DF">
              <w:rPr>
                <w:rFonts w:cs="Calibri"/>
              </w:rPr>
              <w:fldChar w:fldCharType="end"/>
            </w:r>
          </w:p>
        </w:tc>
        <w:tc>
          <w:tcPr>
            <w:tcW w:w="4394" w:type="dxa"/>
            <w:shd w:val="clear" w:color="auto" w:fill="auto"/>
          </w:tcPr>
          <w:p w14:paraId="688D09AA" w14:textId="77777777" w:rsidR="00790A0D" w:rsidRPr="00DD47DF" w:rsidRDefault="00790A0D" w:rsidP="006D2F5F">
            <w:pPr>
              <w:pStyle w:val="Tabulka"/>
              <w:jc w:val="left"/>
              <w:rPr>
                <w:rFonts w:cs="Calibri"/>
              </w:rPr>
            </w:pPr>
            <w:r w:rsidRPr="00DD47DF">
              <w:rPr>
                <w:rFonts w:cs="Calibri"/>
              </w:rPr>
              <w:t>Opatření k optimalizaci využití energie, inteligentní systémy měření - Advanced Metering Management – dále AMM - analýzy zavádění AMM zajištěné MPO</w:t>
            </w:r>
          </w:p>
        </w:tc>
      </w:tr>
      <w:tr w:rsidR="00790A0D" w:rsidRPr="00DD47DF" w14:paraId="2C1AA0FC" w14:textId="77777777" w:rsidTr="006D2F5F">
        <w:tc>
          <w:tcPr>
            <w:tcW w:w="1752" w:type="dxa"/>
            <w:tcBorders>
              <w:top w:val="single" w:sz="4" w:space="0" w:color="auto"/>
              <w:left w:val="single" w:sz="4" w:space="0" w:color="auto"/>
              <w:bottom w:val="single" w:sz="4" w:space="0" w:color="auto"/>
              <w:right w:val="single" w:sz="4" w:space="0" w:color="auto"/>
            </w:tcBorders>
            <w:shd w:val="clear" w:color="auto" w:fill="auto"/>
          </w:tcPr>
          <w:p w14:paraId="1B54B71C" w14:textId="77777777" w:rsidR="00790A0D" w:rsidRPr="00DD47DF" w:rsidRDefault="00790A0D" w:rsidP="006D2F5F">
            <w:pPr>
              <w:pStyle w:val="Tabulka"/>
              <w:jc w:val="left"/>
              <w:rPr>
                <w:rFonts w:cs="Calibri"/>
                <w:b/>
              </w:rPr>
            </w:pPr>
            <w:r w:rsidRPr="00DD47DF">
              <w:rPr>
                <w:rFonts w:cs="Calibri"/>
                <w:b/>
              </w:rPr>
              <w:t xml:space="preserve">8.2. </w:t>
            </w:r>
          </w:p>
          <w:p w14:paraId="1C017BC6" w14:textId="77777777" w:rsidR="00790A0D" w:rsidRPr="00DD47DF" w:rsidRDefault="00790A0D" w:rsidP="006D2F5F">
            <w:pPr>
              <w:pStyle w:val="Tabulka"/>
              <w:jc w:val="left"/>
              <w:rPr>
                <w:rFonts w:cs="Calibri"/>
                <w:b/>
              </w:rPr>
            </w:pPr>
            <w:r w:rsidRPr="00DD47DF">
              <w:rPr>
                <w:rFonts w:cs="Calibri"/>
                <w:b/>
              </w:rPr>
              <w:t xml:space="preserve">Samostatná výdělečná činnost, podnikání a zakládání firem: existence strategického rámce politiky podpory začínajících podniků </w:t>
            </w:r>
            <w:r w:rsidRPr="00DD47DF">
              <w:rPr>
                <w:rFonts w:cs="Calibri"/>
                <w:b/>
              </w:rPr>
              <w:lastRenderedPageBreak/>
              <w:t xml:space="preserve">přispívající k začlenění. </w:t>
            </w:r>
          </w:p>
          <w:p w14:paraId="7FF62328" w14:textId="77777777" w:rsidR="00790A0D" w:rsidRPr="00DD47DF" w:rsidRDefault="00790A0D" w:rsidP="006D2F5F">
            <w:pPr>
              <w:pStyle w:val="Tabulka"/>
              <w:jc w:val="left"/>
              <w:rPr>
                <w:rFonts w:cs="Calibri"/>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AFB9A2" w14:textId="77777777" w:rsidR="00790A0D" w:rsidRPr="00DD47DF" w:rsidRDefault="00790A0D" w:rsidP="006D2F5F">
            <w:pPr>
              <w:pStyle w:val="Tabulka"/>
              <w:jc w:val="left"/>
              <w:rPr>
                <w:rFonts w:cs="Calibri"/>
              </w:rPr>
            </w:pPr>
            <w:r w:rsidRPr="00DD47DF">
              <w:rPr>
                <w:rFonts w:cs="Calibri"/>
              </w:rPr>
              <w:lastRenderedPageBreak/>
              <w:t>PO 2 - Rozvoj podnikání a konkurenceschopnosti malých a středních podniků</w:t>
            </w:r>
          </w:p>
          <w:p w14:paraId="10713852" w14:textId="77777777" w:rsidR="00790A0D" w:rsidRPr="00DD47DF" w:rsidRDefault="00790A0D" w:rsidP="006D2F5F">
            <w:pPr>
              <w:pStyle w:val="Tabulka"/>
              <w:jc w:val="left"/>
              <w:rPr>
                <w:rFonts w:cs="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8A6BAB" w14:textId="77777777" w:rsidR="00790A0D" w:rsidRPr="00DD47DF" w:rsidRDefault="00790A0D" w:rsidP="006D2F5F">
            <w:pPr>
              <w:pStyle w:val="Tabulka"/>
              <w:jc w:val="left"/>
              <w:rPr>
                <w:rFonts w:cs="Calibri"/>
              </w:rPr>
            </w:pPr>
            <w:r w:rsidRPr="00DD47DF">
              <w:rPr>
                <w:rFonts w:cs="Calibri"/>
              </w:rPr>
              <w:t>Částečně</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515CB4" w14:textId="77777777" w:rsidR="00790A0D" w:rsidRPr="00DD47DF" w:rsidRDefault="00790A0D" w:rsidP="006D2F5F">
            <w:pPr>
              <w:pStyle w:val="Tabulka"/>
              <w:jc w:val="left"/>
              <w:rPr>
                <w:rFonts w:cs="Calibri"/>
              </w:rPr>
            </w:pPr>
            <w:r w:rsidRPr="00DD47DF">
              <w:rPr>
                <w:rFonts w:cs="Calibri"/>
              </w:rPr>
              <w:t>Je zaveden strategický rámec politiky podpory začínajících podniků přispívající k začlenění, obsahující tyto prvky: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5E6093" w14:textId="77777777" w:rsidR="00790A0D" w:rsidRPr="00DD47DF" w:rsidRDefault="00790A0D" w:rsidP="006D2F5F">
            <w:pPr>
              <w:pStyle w:val="Tabulka"/>
              <w:jc w:val="left"/>
              <w:rPr>
                <w:rFonts w:cs="Calibri"/>
              </w:rPr>
            </w:pPr>
            <w:r w:rsidRPr="00DD47DF">
              <w:rPr>
                <w:rFonts w:cs="Calibri"/>
              </w:rPr>
              <w:t>ano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ABB28F" w14:textId="77777777" w:rsidR="00790A0D" w:rsidRPr="00DD47DF" w:rsidRDefault="00790A0D" w:rsidP="006D2F5F">
            <w:pPr>
              <w:pStyle w:val="Tabulka"/>
              <w:jc w:val="left"/>
            </w:pPr>
            <w:r w:rsidRPr="00DD47DF">
              <w:t>Strategie mezinárodní konkurenceschopnosti:</w:t>
            </w:r>
          </w:p>
          <w:p w14:paraId="23EDD28C" w14:textId="77777777" w:rsidR="00790A0D" w:rsidRPr="00DD47DF" w:rsidRDefault="00580034" w:rsidP="006D2F5F">
            <w:pPr>
              <w:pStyle w:val="Tabulka"/>
              <w:jc w:val="left"/>
              <w:rPr>
                <w:rStyle w:val="Hypertextovodkaz"/>
                <w:color w:val="auto"/>
              </w:rPr>
            </w:pPr>
            <w:hyperlink r:id="rId160" w:history="1">
              <w:r w:rsidR="00790A0D" w:rsidRPr="00DD47DF">
                <w:rPr>
                  <w:rStyle w:val="Hypertextovodkaz"/>
                </w:rPr>
                <w:t>http://www.vlada.cz/assets/media-centrum/aktualne/Strategie-mezinarodni-konkurenceschopnosti-Ceske-republiky.pdf</w:t>
              </w:r>
            </w:hyperlink>
          </w:p>
          <w:p w14:paraId="75B2F9FB" w14:textId="77777777" w:rsidR="00790A0D" w:rsidRPr="00DD47DF" w:rsidRDefault="00790A0D" w:rsidP="006D2F5F">
            <w:pPr>
              <w:pStyle w:val="Tabulka"/>
              <w:jc w:val="left"/>
            </w:pPr>
          </w:p>
          <w:p w14:paraId="6E2D0A11" w14:textId="77777777" w:rsidR="00790A0D" w:rsidRPr="00DD47DF" w:rsidRDefault="00790A0D" w:rsidP="006D2F5F">
            <w:pPr>
              <w:pStyle w:val="Tabulka"/>
              <w:jc w:val="left"/>
            </w:pPr>
            <w:r w:rsidRPr="00DD47DF">
              <w:t xml:space="preserve">Koncepce podpory </w:t>
            </w:r>
            <w:r w:rsidRPr="00DD47DF">
              <w:lastRenderedPageBreak/>
              <w:t>malých a středních podnikatelů na období let 2014–2020:</w:t>
            </w:r>
          </w:p>
          <w:p w14:paraId="50E81FFE" w14:textId="77777777" w:rsidR="00790A0D" w:rsidRPr="00DD47DF" w:rsidRDefault="00580034" w:rsidP="006D2F5F">
            <w:pPr>
              <w:pStyle w:val="Tabulka"/>
              <w:jc w:val="left"/>
              <w:rPr>
                <w:rStyle w:val="Hypertextovodkaz"/>
                <w:color w:val="auto"/>
              </w:rPr>
            </w:pPr>
            <w:hyperlink r:id="rId161" w:history="1">
              <w:r w:rsidR="00790A0D" w:rsidRPr="00DD47DF">
                <w:rPr>
                  <w:rStyle w:val="Hypertextovodkaz"/>
                </w:rPr>
                <w:t>http://www.mpo.cz/dokument119071.html</w:t>
              </w:r>
            </w:hyperlink>
          </w:p>
          <w:p w14:paraId="742029D0" w14:textId="77777777" w:rsidR="00790A0D" w:rsidRPr="00DD47DF" w:rsidRDefault="00790A0D" w:rsidP="006D2F5F">
            <w:pPr>
              <w:pStyle w:val="Tabulka"/>
              <w:jc w:val="left"/>
            </w:pPr>
          </w:p>
          <w:p w14:paraId="10F108E7" w14:textId="77777777" w:rsidR="00790A0D" w:rsidRPr="00DD47DF" w:rsidRDefault="00790A0D" w:rsidP="006D2F5F">
            <w:pPr>
              <w:pStyle w:val="Tabulka"/>
              <w:jc w:val="left"/>
            </w:pPr>
            <w:r w:rsidRPr="00DD47DF">
              <w:t>Národní program reforem (2014):</w:t>
            </w:r>
          </w:p>
          <w:p w14:paraId="09EF2E9C" w14:textId="77777777" w:rsidR="00790A0D" w:rsidRPr="00DD47DF" w:rsidRDefault="00580034" w:rsidP="006D2F5F">
            <w:pPr>
              <w:pStyle w:val="Tabulka"/>
              <w:jc w:val="left"/>
            </w:pPr>
            <w:hyperlink r:id="rId162" w:history="1">
              <w:r w:rsidR="00790A0D" w:rsidRPr="00DD47DF">
                <w:rPr>
                  <w:rStyle w:val="Hypertextovodkaz"/>
                </w:rPr>
                <w:t>http://www.vlada.cz/assets/evropske-zalezitosti/aktualne/NPR-2014.pdf</w:t>
              </w:r>
            </w:hyperlink>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7DBBBFD" w14:textId="77777777" w:rsidR="00790A0D" w:rsidRPr="00DD47DF" w:rsidRDefault="00790A0D" w:rsidP="006D2F5F">
            <w:pPr>
              <w:pStyle w:val="Tabulka"/>
              <w:jc w:val="left"/>
              <w:rPr>
                <w:rFonts w:cs="Calibri"/>
              </w:rPr>
            </w:pPr>
            <w:r w:rsidRPr="00DD47DF">
              <w:rPr>
                <w:rFonts w:cs="Calibri"/>
              </w:rPr>
              <w:lastRenderedPageBreak/>
              <w:t>Vládou byla schválena Strategie mezinárodní konkurenceschopnosti (SMK) v r. 2011.</w:t>
            </w:r>
          </w:p>
          <w:p w14:paraId="03C79DEC" w14:textId="77777777" w:rsidR="00790A0D" w:rsidRPr="00DD47DF" w:rsidRDefault="00790A0D" w:rsidP="006D2F5F">
            <w:pPr>
              <w:pStyle w:val="Tabulka"/>
              <w:jc w:val="left"/>
              <w:rPr>
                <w:rFonts w:cs="Calibri"/>
              </w:rPr>
            </w:pPr>
            <w:r w:rsidRPr="00DD47DF">
              <w:rPr>
                <w:rFonts w:cs="Calibri"/>
              </w:rPr>
              <w:t>Vládou byla schválena rovněž Koncepce podpory malých a středních podnikatelů na období let 2014–2020 (Koncepce MSP).</w:t>
            </w:r>
          </w:p>
          <w:p w14:paraId="1C022560" w14:textId="77777777" w:rsidR="00790A0D" w:rsidRPr="00DD47DF" w:rsidRDefault="00790A0D" w:rsidP="006D2F5F">
            <w:pPr>
              <w:pStyle w:val="Tabulka"/>
              <w:jc w:val="left"/>
              <w:rPr>
                <w:rFonts w:cs="Calibri"/>
              </w:rPr>
            </w:pPr>
            <w:r w:rsidRPr="00DD47DF">
              <w:rPr>
                <w:rFonts w:cs="Calibri"/>
              </w:rPr>
              <w:t>Opatření související se zesílením podpory podnikatelského prostředí jsou též součástí Národního programu reforem (2014), kap. 4.2.</w:t>
            </w:r>
          </w:p>
          <w:p w14:paraId="1960A806" w14:textId="77777777" w:rsidR="00790A0D" w:rsidRPr="00DD47DF" w:rsidRDefault="00790A0D" w:rsidP="006D2F5F">
            <w:pPr>
              <w:pStyle w:val="Tabulka"/>
              <w:jc w:val="left"/>
              <w:rPr>
                <w:rFonts w:cs="Calibri"/>
              </w:rPr>
            </w:pPr>
          </w:p>
        </w:tc>
      </w:tr>
      <w:tr w:rsidR="00790A0D" w:rsidRPr="00DD47DF" w14:paraId="075D0977" w14:textId="77777777" w:rsidTr="006D2F5F">
        <w:tc>
          <w:tcPr>
            <w:tcW w:w="1752" w:type="dxa"/>
            <w:tcBorders>
              <w:top w:val="single" w:sz="4" w:space="0" w:color="auto"/>
              <w:left w:val="single" w:sz="4" w:space="0" w:color="auto"/>
              <w:bottom w:val="single" w:sz="4" w:space="0" w:color="auto"/>
              <w:right w:val="single" w:sz="4" w:space="0" w:color="auto"/>
            </w:tcBorders>
            <w:shd w:val="clear" w:color="auto" w:fill="auto"/>
          </w:tcPr>
          <w:p w14:paraId="149E9CDF" w14:textId="77777777" w:rsidR="00790A0D" w:rsidRPr="00DD47DF" w:rsidRDefault="00790A0D" w:rsidP="006D2F5F">
            <w:pPr>
              <w:pStyle w:val="Tabulka"/>
              <w:jc w:val="left"/>
              <w:rPr>
                <w:rFonts w:cs="Calibri"/>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F4C8C4" w14:textId="77777777" w:rsidR="00790A0D" w:rsidRPr="00DD47DF" w:rsidRDefault="00790A0D" w:rsidP="006D2F5F">
            <w:pPr>
              <w:pStyle w:val="Tabulka"/>
              <w:jc w:val="left"/>
              <w:rPr>
                <w:rFonts w:cs="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C6D210" w14:textId="77777777" w:rsidR="00790A0D" w:rsidRPr="00DD47DF" w:rsidRDefault="00790A0D" w:rsidP="006D2F5F">
            <w:pPr>
              <w:pStyle w:val="Tabulka"/>
              <w:jc w:val="left"/>
              <w:rPr>
                <w:rFonts w:cs="Calibr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754E88" w14:textId="77777777" w:rsidR="00790A0D" w:rsidRPr="00DD47DF" w:rsidRDefault="00790A0D" w:rsidP="006D2F5F">
            <w:pPr>
              <w:pStyle w:val="Tabulka"/>
              <w:jc w:val="left"/>
              <w:rPr>
                <w:rFonts w:cs="Calibri"/>
              </w:rPr>
            </w:pPr>
            <w:r w:rsidRPr="00DD47DF">
              <w:rPr>
                <w:rFonts w:cs="Calibri"/>
              </w:rPr>
              <w:t>• Opatření zavedená s cílem zkrátit dobu potřebou k založení firmy a snížit příslušné náklady, která zohledňují cíle SBA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52A361" w14:textId="77777777" w:rsidR="00790A0D" w:rsidRPr="00DD47DF" w:rsidRDefault="008B1FD2" w:rsidP="006D2F5F">
            <w:pPr>
              <w:pStyle w:val="Tabulka"/>
              <w:jc w:val="left"/>
              <w:rPr>
                <w:rFonts w:cs="Calibri"/>
              </w:rPr>
            </w:pPr>
            <w:r w:rsidRPr="00DD47DF">
              <w:rPr>
                <w:rFonts w:cs="Calibri"/>
              </w:rPr>
              <w:t>ne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529BBA" w14:textId="77777777" w:rsidR="00790A0D" w:rsidRPr="00DD47DF" w:rsidRDefault="00790A0D" w:rsidP="006D2F5F">
            <w:pPr>
              <w:pStyle w:val="Tabulka"/>
              <w:jc w:val="left"/>
            </w:pPr>
            <w:r w:rsidRPr="00DD47DF">
              <w:t>Živnostenský zákon:</w:t>
            </w:r>
          </w:p>
          <w:p w14:paraId="4A2D0018" w14:textId="77777777" w:rsidR="00790A0D" w:rsidRPr="00DD47DF" w:rsidRDefault="00580034" w:rsidP="006D2F5F">
            <w:pPr>
              <w:pStyle w:val="Tabulka"/>
              <w:jc w:val="left"/>
            </w:pPr>
            <w:hyperlink r:id="rId163" w:history="1">
              <w:r w:rsidR="00790A0D" w:rsidRPr="00DD47DF">
                <w:rPr>
                  <w:rStyle w:val="Hypertextovodkaz"/>
                </w:rPr>
                <w:t>http://www.mpo.cz/dokument144140.html</w:t>
              </w:r>
            </w:hyperlink>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69642C" w14:textId="77777777" w:rsidR="00790A0D" w:rsidRPr="00DD47DF" w:rsidRDefault="00790A0D" w:rsidP="006D2F5F">
            <w:pPr>
              <w:pStyle w:val="Tabulka"/>
              <w:jc w:val="left"/>
              <w:rPr>
                <w:rFonts w:cs="Calibri"/>
              </w:rPr>
            </w:pPr>
            <w:r w:rsidRPr="00DD47DF">
              <w:rPr>
                <w:rFonts w:cs="Calibri"/>
              </w:rPr>
              <w:t>Pro oblast živnostenského podnikání (gesce MPO) zákonem č. 130/2008 Sb. došlo ke snížení nákladů na vstup do podnikání a zkrátila se doba pro vydání dokladu o vzniku práva podnikat (z 15 na 5 pracovních dní). Oprávnění lze získat při splnění podmínek zákona i ve velmi krátké době (několik desítek minut, resp. na počkání). Vstupní náklady činí 1000 Kč.</w:t>
            </w:r>
          </w:p>
          <w:p w14:paraId="5534C273" w14:textId="77777777" w:rsidR="00790A0D" w:rsidRPr="00DD47DF" w:rsidRDefault="00790A0D" w:rsidP="006D2F5F">
            <w:pPr>
              <w:pStyle w:val="Tabulka"/>
              <w:jc w:val="left"/>
              <w:rPr>
                <w:rFonts w:cs="Calibri"/>
              </w:rPr>
            </w:pPr>
            <w:r w:rsidRPr="00DD47DF">
              <w:rPr>
                <w:rFonts w:cs="Calibri"/>
              </w:rPr>
              <w:t xml:space="preserve">Ke splnění podmínky jsou nutné kroky ke snížení nákladů na založení podniku v gesci MSp. Je připravováno legislativní řešení v souladu se zpracovaným akčním plánem. </w:t>
            </w:r>
          </w:p>
          <w:p w14:paraId="6414A724" w14:textId="77777777" w:rsidR="00790A0D" w:rsidRPr="00DD47DF" w:rsidRDefault="00790A0D" w:rsidP="006D2F5F">
            <w:pPr>
              <w:pStyle w:val="Tabulka"/>
              <w:jc w:val="left"/>
              <w:rPr>
                <w:rFonts w:cs="Calibri"/>
              </w:rPr>
            </w:pPr>
            <w:r w:rsidRPr="00DD47DF">
              <w:rPr>
                <w:rFonts w:cs="Calibri"/>
              </w:rPr>
              <w:t>Podrobněji - viz podmínka č. 3.1 a příloha č. II.</w:t>
            </w:r>
          </w:p>
        </w:tc>
      </w:tr>
      <w:tr w:rsidR="00790A0D" w:rsidRPr="00DD47DF" w14:paraId="7D0B0170" w14:textId="77777777" w:rsidTr="006D2F5F">
        <w:tc>
          <w:tcPr>
            <w:tcW w:w="1752" w:type="dxa"/>
            <w:tcBorders>
              <w:top w:val="single" w:sz="4" w:space="0" w:color="auto"/>
              <w:left w:val="single" w:sz="4" w:space="0" w:color="auto"/>
              <w:bottom w:val="single" w:sz="4" w:space="0" w:color="auto"/>
              <w:right w:val="single" w:sz="4" w:space="0" w:color="auto"/>
            </w:tcBorders>
            <w:shd w:val="clear" w:color="auto" w:fill="auto"/>
          </w:tcPr>
          <w:p w14:paraId="1740D799" w14:textId="77777777" w:rsidR="00790A0D" w:rsidRPr="00DD47DF" w:rsidRDefault="00790A0D" w:rsidP="006D2F5F">
            <w:pPr>
              <w:pStyle w:val="Tabulka"/>
              <w:jc w:val="left"/>
              <w:rPr>
                <w:rFonts w:cs="Calibri"/>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9BD95B" w14:textId="77777777" w:rsidR="00790A0D" w:rsidRPr="00DD47DF" w:rsidRDefault="00790A0D" w:rsidP="006D2F5F">
            <w:pPr>
              <w:pStyle w:val="Tabulka"/>
              <w:jc w:val="left"/>
              <w:rPr>
                <w:rFonts w:cs="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EE4A8E" w14:textId="77777777" w:rsidR="00790A0D" w:rsidRPr="00DD47DF" w:rsidRDefault="00790A0D" w:rsidP="006D2F5F">
            <w:pPr>
              <w:pStyle w:val="Tabulka"/>
              <w:jc w:val="left"/>
              <w:rPr>
                <w:rFonts w:cs="Calibr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AF02E7" w14:textId="77777777" w:rsidR="00790A0D" w:rsidRPr="00DD47DF" w:rsidRDefault="00790A0D" w:rsidP="006D2F5F">
            <w:pPr>
              <w:pStyle w:val="Tabulka"/>
              <w:jc w:val="left"/>
              <w:rPr>
                <w:rFonts w:cs="Calibri"/>
              </w:rPr>
            </w:pPr>
            <w:r w:rsidRPr="00DD47DF">
              <w:rPr>
                <w:rFonts w:cs="Calibri"/>
              </w:rPr>
              <w:t xml:space="preserve">• Opatření zavedená s cílem zkrátit dobu potřebnou k získání licencí a </w:t>
            </w:r>
            <w:r w:rsidRPr="00DD47DF">
              <w:rPr>
                <w:rFonts w:cs="Calibri"/>
              </w:rPr>
              <w:lastRenderedPageBreak/>
              <w:t>povolení k zahájení a provádění konkrétní činnosti podniku, která zohledňují cíle SBA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0F1F2D"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62BD139" w14:textId="77777777" w:rsidR="00790A0D" w:rsidRPr="00DD47DF" w:rsidRDefault="00790A0D" w:rsidP="006D2F5F">
            <w:pPr>
              <w:pStyle w:val="Tabulka"/>
              <w:jc w:val="left"/>
            </w:pPr>
            <w:r w:rsidRPr="00DD47DF">
              <w:t>Živnostenský zákon:</w:t>
            </w:r>
          </w:p>
          <w:p w14:paraId="2A064350" w14:textId="77777777" w:rsidR="00790A0D" w:rsidRPr="00DD47DF" w:rsidRDefault="00580034" w:rsidP="006D2F5F">
            <w:pPr>
              <w:pStyle w:val="Tabulka"/>
              <w:jc w:val="left"/>
            </w:pPr>
            <w:hyperlink r:id="rId164" w:history="1">
              <w:r w:rsidR="00790A0D" w:rsidRPr="00DD47DF">
                <w:rPr>
                  <w:rStyle w:val="Hypertextovodkaz"/>
                </w:rPr>
                <w:t>http://www.mpo.cz/dokument144140.html</w:t>
              </w:r>
            </w:hyperlink>
          </w:p>
          <w:p w14:paraId="4D51121A" w14:textId="77777777" w:rsidR="00790A0D" w:rsidRPr="00DD47DF" w:rsidRDefault="00790A0D" w:rsidP="006D2F5F">
            <w:pPr>
              <w:pStyle w:val="Tabulka"/>
              <w:jc w:val="left"/>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A305892" w14:textId="77777777" w:rsidR="00790A0D" w:rsidRPr="00DD47DF" w:rsidRDefault="00790A0D" w:rsidP="006D2F5F">
            <w:pPr>
              <w:pStyle w:val="Tabulka"/>
              <w:jc w:val="left"/>
              <w:rPr>
                <w:rFonts w:cs="Calibri"/>
              </w:rPr>
            </w:pPr>
            <w:r w:rsidRPr="00DD47DF">
              <w:rPr>
                <w:rFonts w:cs="Calibri"/>
              </w:rPr>
              <w:t xml:space="preserve">V oblasti živnostenského podnikání (gesce MPO) při splnění podmínek zákona může podnikatel od okamžiku ohlášení živnosti podnikat. Pouze u koncesovaných živností je doba pro vznik oprávnění delší (cca 1 měsíc. </w:t>
            </w:r>
            <w:r w:rsidRPr="00DD47DF">
              <w:rPr>
                <w:rFonts w:cs="Calibri"/>
              </w:rPr>
              <w:lastRenderedPageBreak/>
              <w:t>Zákonem č. 130/2008 Sb. došlo ke snížení nákladů na vstup do živnostenského podnikání a zkrátila se doba pro vydání dokladu o vzniku práva podnikat (z 15 na 5 pracovních dní).</w:t>
            </w:r>
          </w:p>
          <w:p w14:paraId="6BC2ACCE" w14:textId="77777777" w:rsidR="00790A0D" w:rsidRPr="00DD47DF" w:rsidRDefault="00790A0D" w:rsidP="006D2F5F">
            <w:pPr>
              <w:pStyle w:val="Tabulka"/>
              <w:jc w:val="left"/>
              <w:rPr>
                <w:rFonts w:cs="Calibri"/>
              </w:rPr>
            </w:pPr>
            <w:r w:rsidRPr="00DD47DF">
              <w:rPr>
                <w:rFonts w:cs="Calibri"/>
              </w:rPr>
              <w:t>Zákon č. 304/2013 Sb., stanovuje povinnost soudu zapsat společnost do 5 pracovních dní. Současně umožňuje, aby zápis provedl notář. Bude-li mít k dispozici všechny dokumenty, zápis provede během 1 dne.</w:t>
            </w:r>
          </w:p>
          <w:p w14:paraId="266C5DE3" w14:textId="77777777" w:rsidR="00790A0D" w:rsidRPr="00DD47DF" w:rsidRDefault="00790A0D" w:rsidP="006D2F5F">
            <w:pPr>
              <w:pStyle w:val="Tabulka"/>
              <w:jc w:val="left"/>
              <w:rPr>
                <w:rFonts w:cs="Calibri"/>
              </w:rPr>
            </w:pPr>
          </w:p>
          <w:p w14:paraId="265A9B78" w14:textId="77777777" w:rsidR="00790A0D" w:rsidRPr="00DD47DF" w:rsidRDefault="00790A0D" w:rsidP="006D2F5F">
            <w:pPr>
              <w:pStyle w:val="Tabulka"/>
              <w:jc w:val="left"/>
              <w:rPr>
                <w:rFonts w:cs="Calibri"/>
              </w:rPr>
            </w:pPr>
            <w:r w:rsidRPr="00DD47DF">
              <w:rPr>
                <w:rFonts w:cs="Calibri"/>
              </w:rPr>
              <w:t>Viz vyjádření u podmínky 3.1 a Příloha č. II.</w:t>
            </w:r>
          </w:p>
        </w:tc>
      </w:tr>
      <w:tr w:rsidR="00790A0D" w:rsidRPr="00DD47DF" w14:paraId="72A69561" w14:textId="77777777" w:rsidTr="006D2F5F">
        <w:tc>
          <w:tcPr>
            <w:tcW w:w="1752" w:type="dxa"/>
            <w:tcBorders>
              <w:top w:val="single" w:sz="4" w:space="0" w:color="auto"/>
              <w:left w:val="single" w:sz="4" w:space="0" w:color="auto"/>
              <w:bottom w:val="single" w:sz="4" w:space="0" w:color="auto"/>
              <w:right w:val="single" w:sz="4" w:space="0" w:color="auto"/>
            </w:tcBorders>
            <w:shd w:val="clear" w:color="auto" w:fill="auto"/>
          </w:tcPr>
          <w:p w14:paraId="2A432465" w14:textId="77777777" w:rsidR="00790A0D" w:rsidRPr="00DD47DF" w:rsidRDefault="00790A0D" w:rsidP="006D2F5F">
            <w:pPr>
              <w:pStyle w:val="Tabulka"/>
              <w:jc w:val="left"/>
              <w:rPr>
                <w:rFonts w:cs="Calibri"/>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D7F029" w14:textId="77777777" w:rsidR="00790A0D" w:rsidRPr="00DD47DF" w:rsidRDefault="00790A0D" w:rsidP="006D2F5F">
            <w:pPr>
              <w:pStyle w:val="Tabulka"/>
              <w:jc w:val="left"/>
              <w:rPr>
                <w:rFonts w:cs="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253AF3" w14:textId="77777777" w:rsidR="00790A0D" w:rsidRPr="00DD47DF" w:rsidRDefault="00790A0D" w:rsidP="006D2F5F">
            <w:pPr>
              <w:pStyle w:val="Tabulka"/>
              <w:jc w:val="left"/>
              <w:rPr>
                <w:rFonts w:cs="Calibr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533F0A" w14:textId="77777777" w:rsidR="00790A0D" w:rsidRPr="00DD47DF" w:rsidRDefault="00790A0D" w:rsidP="006D2F5F">
            <w:pPr>
              <w:pStyle w:val="Tabulka"/>
              <w:jc w:val="left"/>
              <w:rPr>
                <w:rFonts w:cs="Calibri"/>
              </w:rPr>
            </w:pPr>
            <w:r w:rsidRPr="00DD47DF">
              <w:rPr>
                <w:rFonts w:cs="Calibri"/>
              </w:rPr>
              <w:t>• činnosti propojující vhodné služby pro rozvoj podnikání a finanční služby (přístup ke kapitálu), včetně aktivní pomoci pro znevýhodněné skupiny, popř. oblasti či obojí.</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A63667" w14:textId="77777777" w:rsidR="00790A0D" w:rsidRPr="00DD47DF" w:rsidRDefault="00790A0D" w:rsidP="006D2F5F">
            <w:pPr>
              <w:pStyle w:val="Tabulka"/>
              <w:jc w:val="left"/>
              <w:rPr>
                <w:rFonts w:cs="Calibri"/>
              </w:rPr>
            </w:pPr>
            <w:r w:rsidRPr="00DD47DF">
              <w:rPr>
                <w:rFonts w:cs="Calibri"/>
              </w:rPr>
              <w:t>ano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D81EA1B" w14:textId="77777777" w:rsidR="00790A0D" w:rsidRPr="00DD47DF" w:rsidRDefault="00790A0D" w:rsidP="006D2F5F">
            <w:pPr>
              <w:pStyle w:val="Tabulka"/>
              <w:jc w:val="left"/>
            </w:pPr>
            <w:r w:rsidRPr="00DD47DF">
              <w:t>Strategie mezinárodní konkurenceschopnosti:</w:t>
            </w:r>
          </w:p>
          <w:p w14:paraId="6BFEDBBB" w14:textId="77777777" w:rsidR="00790A0D" w:rsidRPr="00DD47DF" w:rsidRDefault="00580034" w:rsidP="006D2F5F">
            <w:pPr>
              <w:pStyle w:val="Tabulka"/>
              <w:jc w:val="left"/>
            </w:pPr>
            <w:hyperlink r:id="rId165" w:history="1">
              <w:r w:rsidR="00790A0D" w:rsidRPr="00DD47DF">
                <w:rPr>
                  <w:rStyle w:val="Hypertextovodkaz"/>
                </w:rPr>
                <w:t>http://www.vlada.cz/assets/media-centrum/aktualne/Strategie-mezinarodni-konkurenceschopnosti-Ceske-republiky.pdf</w:t>
              </w:r>
            </w:hyperlink>
            <w:r w:rsidR="00790A0D" w:rsidRPr="00DD47DF">
              <w:t xml:space="preserve"> </w:t>
            </w:r>
          </w:p>
          <w:p w14:paraId="2B40918A" w14:textId="77777777" w:rsidR="00790A0D" w:rsidRPr="00DD47DF" w:rsidRDefault="00790A0D" w:rsidP="006D2F5F">
            <w:pPr>
              <w:pStyle w:val="Tabulka"/>
              <w:jc w:val="left"/>
            </w:pPr>
          </w:p>
          <w:p w14:paraId="671C37AB" w14:textId="77777777" w:rsidR="00790A0D" w:rsidRPr="00DD47DF" w:rsidRDefault="00790A0D" w:rsidP="006D2F5F">
            <w:pPr>
              <w:pStyle w:val="Tabulka"/>
              <w:jc w:val="left"/>
            </w:pPr>
            <w:r w:rsidRPr="00DD47DF">
              <w:t>Koncepce podpory malých a středních podnikatelů 2014–2020:</w:t>
            </w:r>
          </w:p>
          <w:p w14:paraId="40908179" w14:textId="77777777" w:rsidR="00790A0D" w:rsidRPr="00DD47DF" w:rsidRDefault="00580034" w:rsidP="006D2F5F">
            <w:pPr>
              <w:pStyle w:val="Tabulka"/>
              <w:jc w:val="left"/>
            </w:pPr>
            <w:hyperlink r:id="rId166" w:history="1">
              <w:r w:rsidR="00790A0D" w:rsidRPr="00DD47DF">
                <w:rPr>
                  <w:rStyle w:val="Hypertextovodkaz"/>
                </w:rPr>
                <w:t>http://www.mpo.cz/dokument119071.html</w:t>
              </w:r>
            </w:hyperlink>
          </w:p>
          <w:p w14:paraId="02C3DD72" w14:textId="77777777" w:rsidR="00790A0D" w:rsidRPr="00DD47DF" w:rsidRDefault="00790A0D" w:rsidP="006D2F5F">
            <w:pPr>
              <w:pStyle w:val="Tabulka"/>
              <w:jc w:val="left"/>
            </w:pPr>
          </w:p>
          <w:p w14:paraId="2F1313C4" w14:textId="77777777" w:rsidR="00790A0D" w:rsidRPr="00DD47DF" w:rsidRDefault="00790A0D" w:rsidP="006D2F5F">
            <w:pPr>
              <w:pStyle w:val="Tabulka"/>
              <w:jc w:val="left"/>
            </w:pPr>
            <w:r w:rsidRPr="00DD47DF">
              <w:t>Národní programu reforem (2014):</w:t>
            </w:r>
          </w:p>
          <w:p w14:paraId="09EA0646" w14:textId="77777777" w:rsidR="00790A0D" w:rsidRPr="00DD47DF" w:rsidRDefault="00580034" w:rsidP="006D2F5F">
            <w:pPr>
              <w:pStyle w:val="Tabulka"/>
              <w:jc w:val="left"/>
              <w:rPr>
                <w:rStyle w:val="Hypertextovodkaz"/>
              </w:rPr>
            </w:pPr>
            <w:hyperlink r:id="rId167" w:history="1">
              <w:r w:rsidR="00790A0D" w:rsidRPr="00DD47DF">
                <w:rPr>
                  <w:rStyle w:val="Hypertextovodkaz"/>
                </w:rPr>
                <w:t>http://www.vlada.cz/assets/evropske-zalezitosti/aktualne/NPR-2014.pdf</w:t>
              </w:r>
            </w:hyperlink>
          </w:p>
          <w:p w14:paraId="71FF5B28" w14:textId="77777777" w:rsidR="00D25B32" w:rsidRPr="00DD47DF" w:rsidRDefault="00D25B32" w:rsidP="006D2F5F">
            <w:pPr>
              <w:pStyle w:val="Tabulka"/>
              <w:jc w:val="left"/>
              <w:rPr>
                <w:rStyle w:val="Hypertextovodkaz"/>
              </w:rPr>
            </w:pPr>
          </w:p>
          <w:p w14:paraId="6C59026B" w14:textId="77777777" w:rsidR="00D25B32" w:rsidRPr="00DD47DF" w:rsidRDefault="00D25B32" w:rsidP="00D25B32">
            <w:pPr>
              <w:spacing w:before="80" w:after="80"/>
              <w:rPr>
                <w:bCs/>
                <w:sz w:val="22"/>
                <w:szCs w:val="22"/>
              </w:rPr>
            </w:pPr>
            <w:r w:rsidRPr="00DD47DF">
              <w:rPr>
                <w:bCs/>
                <w:sz w:val="22"/>
                <w:szCs w:val="22"/>
              </w:rPr>
              <w:t xml:space="preserve">Závěrečná zpráva Evaluace podpory sociálního a inkluzivního podnikání v OP LZZ: </w:t>
            </w:r>
          </w:p>
          <w:p w14:paraId="2DBEAA80" w14:textId="77777777" w:rsidR="00D25B32" w:rsidRPr="00DD47DF" w:rsidRDefault="00580034" w:rsidP="00554C27">
            <w:pPr>
              <w:spacing w:before="80" w:after="80"/>
              <w:rPr>
                <w:bCs/>
                <w:sz w:val="22"/>
                <w:szCs w:val="22"/>
              </w:rPr>
            </w:pPr>
            <w:hyperlink r:id="rId168" w:history="1">
              <w:r w:rsidR="00D25B32" w:rsidRPr="00DD47DF">
                <w:rPr>
                  <w:rStyle w:val="Hypertextovodkaz"/>
                  <w:bCs/>
                  <w:sz w:val="22"/>
                  <w:szCs w:val="22"/>
                </w:rPr>
                <w:t>http://www.esfcr.cz/file/8938/</w:t>
              </w:r>
            </w:hyperlink>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69FAC12" w14:textId="77777777" w:rsidR="00790A0D" w:rsidRPr="00DD47DF" w:rsidRDefault="00790A0D" w:rsidP="006D2F5F">
            <w:pPr>
              <w:pStyle w:val="Tabulka"/>
              <w:jc w:val="left"/>
              <w:rPr>
                <w:rFonts w:cs="Calibri"/>
              </w:rPr>
            </w:pPr>
            <w:r w:rsidRPr="00DD47DF">
              <w:rPr>
                <w:rFonts w:cs="Calibri"/>
              </w:rPr>
              <w:lastRenderedPageBreak/>
              <w:t xml:space="preserve">Jedním z cílů Koncepce MSP je zvyšování kvality poradenských služeb pro MSP. Důraz bude kladen na zvyšování finanční gramotnosti a sestavení a realizaci kvalitního business plánu (důležité pro začínající MSP a znevýhodněné skupiny, zejm. sociální podniky). Klíčová je podpora prostřednictvím zvýhodněných úvěrů, záruk a kapitálových vstupů. Je plánováno zvýhodnění sociálních podniků v jednotlivých programech OP PIK. </w:t>
            </w:r>
          </w:p>
          <w:p w14:paraId="3698F187" w14:textId="77777777" w:rsidR="00554C27" w:rsidRPr="00DD47DF" w:rsidRDefault="00790A0D" w:rsidP="00554C27">
            <w:pPr>
              <w:spacing w:before="80" w:after="80"/>
              <w:rPr>
                <w:bCs/>
                <w:sz w:val="22"/>
                <w:szCs w:val="22"/>
              </w:rPr>
            </w:pPr>
            <w:r w:rsidRPr="00DD47DF">
              <w:rPr>
                <w:rFonts w:cs="Calibri"/>
                <w:sz w:val="22"/>
                <w:szCs w:val="22"/>
              </w:rPr>
              <w:t xml:space="preserve">Na základě zákona č. 435/2004 Sb., zákona o zaměstnanosti je poskytována ÚP ČR podpora uchazečům o zaměstnání, kteří se rozhodnou zahájit samostatně výdělečnou činnost (zajištění rekvalifikačních kurzů, následně poskytnutí finančních prostředků na nákup vybavení, resp. na úhradu části provozních nákladů po zahájení podnikání). </w:t>
            </w:r>
            <w:r w:rsidR="00D25B32" w:rsidRPr="00DD47DF">
              <w:rPr>
                <w:bCs/>
                <w:sz w:val="22"/>
                <w:szCs w:val="22"/>
              </w:rPr>
              <w:t xml:space="preserve"> K vyšší efektivitě opatření přispěje poskytování poradenství i v době raných fází zahájení SVČ, s čímž počítá Strategie politiky </w:t>
            </w:r>
            <w:r w:rsidR="00D25B32" w:rsidRPr="00DD47DF">
              <w:rPr>
                <w:bCs/>
                <w:sz w:val="22"/>
                <w:szCs w:val="22"/>
              </w:rPr>
              <w:lastRenderedPageBreak/>
              <w:t xml:space="preserve">zaměstnanosti do roku 2020. </w:t>
            </w:r>
            <w:r w:rsidR="00554C27" w:rsidRPr="00DD47DF">
              <w:rPr>
                <w:bCs/>
                <w:sz w:val="22"/>
                <w:szCs w:val="22"/>
              </w:rPr>
              <w:t>Podrobněji viz Příloha II a evaluační studie.</w:t>
            </w:r>
          </w:p>
          <w:p w14:paraId="24768A5B" w14:textId="77777777" w:rsidR="00790A0D" w:rsidRPr="00DD47DF" w:rsidRDefault="00790A0D" w:rsidP="006D2F5F">
            <w:pPr>
              <w:pStyle w:val="Tabulka"/>
              <w:jc w:val="left"/>
              <w:rPr>
                <w:rFonts w:cs="Calibri"/>
              </w:rPr>
            </w:pPr>
          </w:p>
        </w:tc>
      </w:tr>
    </w:tbl>
    <w:p w14:paraId="7BBD9FA6" w14:textId="77777777" w:rsidR="00790A0D" w:rsidRPr="00DD47DF" w:rsidRDefault="00790A0D" w:rsidP="00790A0D"/>
    <w:p w14:paraId="34A2956C" w14:textId="77777777" w:rsidR="004B5A6C" w:rsidRPr="00DD47DF" w:rsidRDefault="00F64D76" w:rsidP="004A282B">
      <w:pPr>
        <w:pStyle w:val="Nadpis2"/>
        <w:keepLines/>
        <w:rPr>
          <w:rFonts w:cs="Calibri"/>
        </w:rPr>
      </w:pPr>
      <w:bookmarkStart w:id="138" w:name="_Toc506885075"/>
      <w:r w:rsidRPr="00DD47DF">
        <w:rPr>
          <w:rFonts w:cs="Calibri"/>
        </w:rPr>
        <w:t>Popis opatření ke splnění předběžných podmínek, odpovědných subjektů a harmonogramu</w:t>
      </w:r>
      <w:bookmarkEnd w:id="138"/>
    </w:p>
    <w:p w14:paraId="5C4B1C49" w14:textId="77777777" w:rsidR="007E3732" w:rsidRPr="00DD47DF" w:rsidRDefault="007E3732" w:rsidP="004A282B">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25</w:t>
      </w:r>
      <w:r w:rsidR="002756E7" w:rsidRPr="00DD47DF">
        <w:rPr>
          <w:noProof/>
        </w:rPr>
        <w:fldChar w:fldCharType="end"/>
      </w:r>
      <w:r w:rsidRPr="00DD47DF">
        <w:t xml:space="preserve">: </w:t>
      </w:r>
      <w:r w:rsidR="00436FDF" w:rsidRPr="00DD47DF">
        <w:t>O</w:t>
      </w:r>
      <w:r w:rsidR="00FF200C" w:rsidRPr="00DD47DF">
        <w:t xml:space="preserve">patření, která </w:t>
      </w:r>
      <w:r w:rsidR="00436FDF" w:rsidRPr="00DD47DF">
        <w:t>je třeba přijmout, aby byly splněny platné obecné předběžné podmínky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51"/>
        <w:gridCol w:w="2502"/>
        <w:gridCol w:w="4338"/>
        <w:gridCol w:w="1984"/>
        <w:gridCol w:w="2617"/>
      </w:tblGrid>
      <w:tr w:rsidR="005237DD" w:rsidRPr="00DD47DF" w14:paraId="4A4E77AE" w14:textId="77777777" w:rsidTr="008A20D2">
        <w:trPr>
          <w:trHeight w:val="647"/>
        </w:trPr>
        <w:tc>
          <w:tcPr>
            <w:tcW w:w="0" w:type="auto"/>
            <w:tcBorders>
              <w:bottom w:val="single" w:sz="4" w:space="0" w:color="auto"/>
            </w:tcBorders>
            <w:shd w:val="clear" w:color="auto" w:fill="B8CCE4"/>
            <w:vAlign w:val="center"/>
          </w:tcPr>
          <w:p w14:paraId="4889045F" w14:textId="77777777" w:rsidR="00790A0D" w:rsidRPr="00DD47DF" w:rsidRDefault="00790A0D" w:rsidP="006D2F5F">
            <w:pPr>
              <w:pStyle w:val="Tabulka"/>
              <w:keepNext/>
              <w:keepLines/>
              <w:rPr>
                <w:rFonts w:eastAsia="Calibri" w:cs="Calibri"/>
                <w:b/>
              </w:rPr>
            </w:pPr>
            <w:r w:rsidRPr="00DD47DF">
              <w:rPr>
                <w:rFonts w:eastAsia="Calibri" w:cs="Calibri"/>
                <w:b/>
              </w:rPr>
              <w:t>Obecné předběžné podmínky</w:t>
            </w:r>
          </w:p>
        </w:tc>
        <w:tc>
          <w:tcPr>
            <w:tcW w:w="0" w:type="auto"/>
            <w:tcBorders>
              <w:bottom w:val="single" w:sz="4" w:space="0" w:color="auto"/>
            </w:tcBorders>
            <w:shd w:val="clear" w:color="auto" w:fill="B8CCE4"/>
            <w:vAlign w:val="center"/>
          </w:tcPr>
          <w:p w14:paraId="4B7980E9" w14:textId="77777777" w:rsidR="00790A0D" w:rsidRPr="00DD47DF" w:rsidRDefault="00790A0D" w:rsidP="006D2F5F">
            <w:pPr>
              <w:pStyle w:val="Tabulka"/>
              <w:keepNext/>
              <w:keepLines/>
              <w:rPr>
                <w:rFonts w:eastAsia="Calibri" w:cs="Calibri"/>
                <w:b/>
              </w:rPr>
            </w:pPr>
            <w:r w:rsidRPr="00DD47DF">
              <w:rPr>
                <w:rFonts w:eastAsia="Calibri" w:cs="Calibri"/>
                <w:b/>
              </w:rPr>
              <w:t>Nesplněná kritéria</w:t>
            </w:r>
          </w:p>
        </w:tc>
        <w:tc>
          <w:tcPr>
            <w:tcW w:w="0" w:type="auto"/>
            <w:tcBorders>
              <w:bottom w:val="single" w:sz="4" w:space="0" w:color="auto"/>
            </w:tcBorders>
            <w:shd w:val="clear" w:color="auto" w:fill="B8CCE4"/>
            <w:vAlign w:val="center"/>
          </w:tcPr>
          <w:p w14:paraId="0F5340AA" w14:textId="77777777" w:rsidR="00790A0D" w:rsidRPr="00DD47DF" w:rsidRDefault="00790A0D" w:rsidP="006D2F5F">
            <w:pPr>
              <w:pStyle w:val="Tabulka"/>
              <w:keepNext/>
              <w:keepLines/>
              <w:rPr>
                <w:rFonts w:eastAsia="Calibri" w:cs="Calibri"/>
                <w:b/>
              </w:rPr>
            </w:pPr>
            <w:r w:rsidRPr="00DD47DF">
              <w:rPr>
                <w:rFonts w:eastAsia="Calibri" w:cs="Calibri"/>
                <w:b/>
              </w:rPr>
              <w:t>Opatření, která je třeba přijmout</w:t>
            </w:r>
            <w:r w:rsidRPr="00DD47DF">
              <w:rPr>
                <w:rStyle w:val="Znakapoznpodarou"/>
                <w:rFonts w:eastAsia="Calibri" w:cs="Calibri"/>
              </w:rPr>
              <w:footnoteReference w:id="104"/>
            </w:r>
          </w:p>
        </w:tc>
        <w:tc>
          <w:tcPr>
            <w:tcW w:w="1984" w:type="dxa"/>
            <w:tcBorders>
              <w:bottom w:val="single" w:sz="4" w:space="0" w:color="auto"/>
            </w:tcBorders>
            <w:shd w:val="clear" w:color="auto" w:fill="B8CCE4"/>
            <w:vAlign w:val="center"/>
          </w:tcPr>
          <w:p w14:paraId="07E48151" w14:textId="77777777" w:rsidR="00790A0D" w:rsidRPr="00DD47DF" w:rsidRDefault="00790A0D" w:rsidP="006D2F5F">
            <w:pPr>
              <w:pStyle w:val="Tabulka"/>
              <w:keepNext/>
              <w:keepLines/>
              <w:rPr>
                <w:rFonts w:eastAsia="Calibri" w:cs="Calibri"/>
                <w:b/>
              </w:rPr>
            </w:pPr>
            <w:r w:rsidRPr="00DD47DF">
              <w:rPr>
                <w:rFonts w:eastAsia="Calibri" w:cs="Calibri"/>
                <w:b/>
              </w:rPr>
              <w:t>Lhůta (datum)</w:t>
            </w:r>
          </w:p>
        </w:tc>
        <w:tc>
          <w:tcPr>
            <w:tcW w:w="2617" w:type="dxa"/>
            <w:tcBorders>
              <w:bottom w:val="single" w:sz="4" w:space="0" w:color="auto"/>
            </w:tcBorders>
            <w:shd w:val="clear" w:color="auto" w:fill="B8CCE4"/>
            <w:vAlign w:val="center"/>
          </w:tcPr>
          <w:p w14:paraId="6441C5CF" w14:textId="77777777" w:rsidR="00790A0D" w:rsidRPr="00DD47DF" w:rsidRDefault="00790A0D" w:rsidP="006D2F5F">
            <w:pPr>
              <w:pStyle w:val="Tabulka"/>
              <w:keepNext/>
              <w:keepLines/>
              <w:rPr>
                <w:rFonts w:eastAsia="Calibri" w:cs="Calibri"/>
                <w:b/>
              </w:rPr>
            </w:pPr>
            <w:r w:rsidRPr="00DD47DF">
              <w:rPr>
                <w:rFonts w:eastAsia="Calibri" w:cs="Calibri"/>
                <w:b/>
              </w:rPr>
              <w:t>Subjekty odpovědné za plnění</w:t>
            </w:r>
          </w:p>
        </w:tc>
      </w:tr>
      <w:tr w:rsidR="005D3E2A" w:rsidRPr="00DD47DF" w14:paraId="17832560" w14:textId="77777777" w:rsidTr="00CE492D">
        <w:trPr>
          <w:trHeight w:val="414"/>
        </w:trPr>
        <w:tc>
          <w:tcPr>
            <w:tcW w:w="0" w:type="auto"/>
            <w:vMerge w:val="restart"/>
            <w:tcBorders>
              <w:top w:val="single" w:sz="4" w:space="0" w:color="auto"/>
              <w:left w:val="single" w:sz="4" w:space="0" w:color="auto"/>
              <w:right w:val="single" w:sz="4" w:space="0" w:color="auto"/>
            </w:tcBorders>
            <w:shd w:val="clear" w:color="auto" w:fill="auto"/>
          </w:tcPr>
          <w:p w14:paraId="3F52341D" w14:textId="77777777" w:rsidR="005D3E2A" w:rsidRPr="00DD47DF" w:rsidRDefault="005D3E2A" w:rsidP="006D2F5F">
            <w:pPr>
              <w:pStyle w:val="Tabulka"/>
              <w:jc w:val="left"/>
              <w:rPr>
                <w:rFonts w:cs="Calibri"/>
                <w:b/>
              </w:rPr>
            </w:pPr>
            <w:r w:rsidRPr="00DD47DF">
              <w:rPr>
                <w:rFonts w:cs="Calibri"/>
                <w:b/>
              </w:rPr>
              <w:t>Existence opatření pro účinné uplatňování právních předpisů Unie o veřejných zakázkách v oblasti fondů ESI.</w:t>
            </w:r>
          </w:p>
          <w:p w14:paraId="4FA61793" w14:textId="77777777" w:rsidR="005D3E2A" w:rsidRPr="00DD47DF" w:rsidRDefault="005D3E2A" w:rsidP="006D2F5F">
            <w:pPr>
              <w:pStyle w:val="Tabulka"/>
              <w:widowControl w:val="0"/>
              <w:jc w:val="left"/>
              <w:rPr>
                <w:rFonts w:cs="Calibri"/>
                <w:b/>
              </w:rPr>
            </w:pPr>
          </w:p>
        </w:tc>
        <w:tc>
          <w:tcPr>
            <w:tcW w:w="0" w:type="auto"/>
            <w:vMerge w:val="restart"/>
            <w:tcBorders>
              <w:top w:val="single" w:sz="4" w:space="0" w:color="auto"/>
              <w:left w:val="single" w:sz="4" w:space="0" w:color="auto"/>
              <w:right w:val="single" w:sz="4" w:space="0" w:color="auto"/>
            </w:tcBorders>
            <w:shd w:val="clear" w:color="auto" w:fill="auto"/>
          </w:tcPr>
          <w:p w14:paraId="31E3307B" w14:textId="77777777" w:rsidR="005D3E2A" w:rsidRPr="00DD47DF" w:rsidRDefault="005D3E2A" w:rsidP="006D2F5F">
            <w:pPr>
              <w:pStyle w:val="Tabulka"/>
              <w:widowControl w:val="0"/>
              <w:jc w:val="left"/>
              <w:rPr>
                <w:rFonts w:cs="Calibri"/>
              </w:rPr>
            </w:pPr>
            <w:r w:rsidRPr="00DD47DF">
              <w:rPr>
                <w:rFonts w:cs="Calibri"/>
              </w:rPr>
              <w:t>Opatření pro účinné uplatňování předpisů Unie o veřejných zakázkách prostřednictvím odpovídajících mechanismů</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C79C7F" w14:textId="77777777" w:rsidR="005D3E2A" w:rsidRPr="00DD47DF" w:rsidRDefault="005D3E2A" w:rsidP="00B67B43">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Bude připraven zcela nový zákon o vz, který bude představovat transpozici nových zadávacích směrnic EU. </w:t>
            </w:r>
          </w:p>
          <w:p w14:paraId="4BCBAEB8" w14:textId="77777777" w:rsidR="005D3E2A" w:rsidRPr="00DD47DF" w:rsidRDefault="005D3E2A" w:rsidP="00B67B43">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18.4.2016</w:t>
            </w:r>
          </w:p>
          <w:p w14:paraId="5FFAA8FA" w14:textId="77777777" w:rsidR="005D3E2A" w:rsidRPr="00DD47DF" w:rsidRDefault="005D3E2A" w:rsidP="00B67B43">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Základní principy nového zákona:</w:t>
            </w:r>
          </w:p>
          <w:p w14:paraId="2E315A62" w14:textId="77777777" w:rsidR="005D3E2A" w:rsidRPr="00DD47DF" w:rsidRDefault="005D3E2A" w:rsidP="00DD47DF">
            <w:pPr>
              <w:pStyle w:val="DAVA"/>
              <w:numPr>
                <w:ilvl w:val="0"/>
                <w:numId w:val="101"/>
              </w:numPr>
              <w:spacing w:before="80" w:after="80"/>
              <w:ind w:left="339"/>
              <w:rPr>
                <w:rFonts w:ascii="Times New Roman" w:hAnsi="Times New Roman"/>
                <w:sz w:val="22"/>
                <w:szCs w:val="22"/>
                <w:lang w:eastAsia="cs-CZ"/>
              </w:rPr>
            </w:pPr>
            <w:r w:rsidRPr="00DD47DF">
              <w:rPr>
                <w:rFonts w:ascii="Times New Roman" w:hAnsi="Times New Roman"/>
                <w:sz w:val="22"/>
                <w:szCs w:val="22"/>
                <w:lang w:eastAsia="cs-CZ"/>
              </w:rPr>
              <w:t xml:space="preserve">transpozice všech relevantních (povinných) </w:t>
            </w:r>
            <w:r w:rsidRPr="00DD47DF">
              <w:rPr>
                <w:rFonts w:ascii="Times New Roman" w:hAnsi="Times New Roman"/>
                <w:sz w:val="22"/>
                <w:szCs w:val="22"/>
                <w:lang w:eastAsia="cs-CZ"/>
              </w:rPr>
              <w:lastRenderedPageBreak/>
              <w:t xml:space="preserve">ustanovení, </w:t>
            </w:r>
          </w:p>
          <w:p w14:paraId="36653A18" w14:textId="77777777" w:rsidR="005D3E2A" w:rsidRPr="00DD47DF" w:rsidRDefault="005D3E2A" w:rsidP="00DD47DF">
            <w:pPr>
              <w:pStyle w:val="DAVA"/>
              <w:numPr>
                <w:ilvl w:val="0"/>
                <w:numId w:val="101"/>
              </w:numPr>
              <w:spacing w:before="80" w:after="80"/>
              <w:ind w:left="339"/>
              <w:rPr>
                <w:rFonts w:ascii="Times New Roman" w:hAnsi="Times New Roman"/>
                <w:sz w:val="22"/>
                <w:szCs w:val="22"/>
                <w:lang w:eastAsia="cs-CZ"/>
              </w:rPr>
            </w:pPr>
            <w:r w:rsidRPr="00DD47DF">
              <w:rPr>
                <w:rFonts w:ascii="Times New Roman" w:hAnsi="Times New Roman"/>
                <w:sz w:val="22"/>
                <w:szCs w:val="22"/>
                <w:lang w:eastAsia="cs-CZ"/>
              </w:rPr>
              <w:t>obdobný režim pro podlimitní vz</w:t>
            </w:r>
          </w:p>
          <w:p w14:paraId="6472720C" w14:textId="77777777" w:rsidR="005D3E2A" w:rsidRPr="00DD47DF" w:rsidRDefault="005D3E2A" w:rsidP="00DD47DF">
            <w:pPr>
              <w:pStyle w:val="DAVA"/>
              <w:numPr>
                <w:ilvl w:val="0"/>
                <w:numId w:val="101"/>
              </w:numPr>
              <w:spacing w:before="80" w:after="80"/>
              <w:ind w:left="339"/>
              <w:rPr>
                <w:rFonts w:ascii="Times New Roman" w:hAnsi="Times New Roman"/>
                <w:sz w:val="22"/>
                <w:szCs w:val="22"/>
                <w:lang w:eastAsia="cs-CZ"/>
              </w:rPr>
            </w:pPr>
            <w:r w:rsidRPr="00DD47DF">
              <w:rPr>
                <w:rFonts w:ascii="Times New Roman" w:hAnsi="Times New Roman"/>
                <w:sz w:val="22"/>
                <w:szCs w:val="22"/>
                <w:lang w:eastAsia="cs-CZ"/>
              </w:rPr>
              <w:t>snížení administrativní náročnosti zadávání,</w:t>
            </w:r>
          </w:p>
          <w:p w14:paraId="158E3391" w14:textId="77777777" w:rsidR="005D3E2A" w:rsidRPr="00DD47DF" w:rsidRDefault="005D3E2A" w:rsidP="00DD47DF">
            <w:pPr>
              <w:pStyle w:val="DAVA"/>
              <w:numPr>
                <w:ilvl w:val="0"/>
                <w:numId w:val="101"/>
              </w:numPr>
              <w:spacing w:before="80" w:after="80"/>
              <w:ind w:left="339"/>
              <w:rPr>
                <w:rFonts w:ascii="Times New Roman" w:hAnsi="Times New Roman"/>
                <w:sz w:val="22"/>
                <w:szCs w:val="22"/>
                <w:lang w:eastAsia="cs-CZ"/>
              </w:rPr>
            </w:pPr>
            <w:r w:rsidRPr="00DD47DF">
              <w:rPr>
                <w:rFonts w:ascii="Times New Roman" w:hAnsi="Times New Roman"/>
                <w:sz w:val="22"/>
                <w:szCs w:val="22"/>
                <w:lang w:eastAsia="cs-CZ"/>
              </w:rPr>
              <w:t>zvýšení elektronizace (použití elektronických nástrojů) při zadávání bude odpovídat povinnostem uvedeným v nových směrnicích,</w:t>
            </w:r>
          </w:p>
          <w:p w14:paraId="0B5D0929" w14:textId="77777777" w:rsidR="005D3E2A" w:rsidRPr="00DD47DF" w:rsidRDefault="005D3E2A" w:rsidP="00DD47DF">
            <w:pPr>
              <w:overflowPunct/>
              <w:autoSpaceDE/>
              <w:autoSpaceDN/>
              <w:adjustRightInd/>
              <w:spacing w:line="276" w:lineRule="auto"/>
              <w:ind w:left="709" w:hanging="283"/>
              <w:textAlignment w:val="auto"/>
              <w:rPr>
                <w:sz w:val="22"/>
                <w:szCs w:val="22"/>
              </w:rPr>
            </w:pPr>
            <w:r w:rsidRPr="00DD47DF">
              <w:rPr>
                <w:sz w:val="22"/>
                <w:szCs w:val="22"/>
              </w:rPr>
              <w:t>a)  ČR  k 18. 4. 2016 přijme zákonnou úpravu o povinném elektronickém zadávání vz v souladu se směrnicemi 2014/23</w:t>
            </w:r>
            <w:r w:rsidR="001F7B00">
              <w:rPr>
                <w:sz w:val="22"/>
                <w:szCs w:val="22"/>
              </w:rPr>
              <w:t>/ES, 2014/24/ES a 2014/25/ES.</w:t>
            </w:r>
            <w:r w:rsidRPr="00DD47DF">
              <w:rPr>
                <w:sz w:val="22"/>
                <w:szCs w:val="22"/>
              </w:rPr>
              <w:t xml:space="preserve"> Zavedení elektronizace v termínech požadovaných SM EU 2014/24.</w:t>
            </w:r>
          </w:p>
          <w:p w14:paraId="0B352850" w14:textId="77777777" w:rsidR="005D3E2A" w:rsidRPr="00DD47DF" w:rsidRDefault="005D3E2A" w:rsidP="00DD47DF">
            <w:pPr>
              <w:pStyle w:val="Odstavecseseznamem"/>
              <w:numPr>
                <w:ilvl w:val="0"/>
                <w:numId w:val="134"/>
              </w:numPr>
              <w:overflowPunct/>
              <w:autoSpaceDE/>
              <w:autoSpaceDN/>
              <w:adjustRightInd/>
              <w:spacing w:line="276" w:lineRule="auto"/>
              <w:ind w:left="709" w:hanging="283"/>
              <w:textAlignment w:val="auto"/>
              <w:rPr>
                <w:sz w:val="22"/>
                <w:szCs w:val="22"/>
              </w:rPr>
            </w:pPr>
            <w:r w:rsidRPr="00DD47DF">
              <w:rPr>
                <w:sz w:val="22"/>
                <w:szCs w:val="22"/>
              </w:rPr>
              <w:t>spuštění ostrého provozu Národního elektronického nástroje (NEN), 1. 10. 2015</w:t>
            </w:r>
          </w:p>
          <w:p w14:paraId="1158444E" w14:textId="77777777" w:rsidR="005D3E2A" w:rsidRPr="00DD47DF" w:rsidRDefault="005D3E2A" w:rsidP="00DD47DF">
            <w:pPr>
              <w:pStyle w:val="Odstavecseseznamem"/>
              <w:numPr>
                <w:ilvl w:val="0"/>
                <w:numId w:val="134"/>
              </w:numPr>
              <w:overflowPunct/>
              <w:autoSpaceDE/>
              <w:autoSpaceDN/>
              <w:adjustRightInd/>
              <w:spacing w:line="276" w:lineRule="auto"/>
              <w:ind w:left="709" w:hanging="283"/>
              <w:textAlignment w:val="auto"/>
              <w:rPr>
                <w:sz w:val="22"/>
                <w:szCs w:val="22"/>
              </w:rPr>
            </w:pPr>
            <w:r w:rsidRPr="00DD47DF">
              <w:rPr>
                <w:sz w:val="22"/>
                <w:szCs w:val="22"/>
              </w:rPr>
              <w:t>Vláda ČR rozhodne o povinnosti používat NEN pro jednotlivé druhy zadavatelů</w:t>
            </w:r>
            <w:r w:rsidR="00DD47DF" w:rsidRPr="00DD47DF">
              <w:rPr>
                <w:sz w:val="22"/>
                <w:szCs w:val="22"/>
              </w:rPr>
              <w:t xml:space="preserve">, </w:t>
            </w:r>
            <w:r w:rsidRPr="00DD47DF">
              <w:rPr>
                <w:sz w:val="22"/>
                <w:szCs w:val="22"/>
              </w:rPr>
              <w:t>31. 12. 2016</w:t>
            </w:r>
          </w:p>
          <w:p w14:paraId="02412381" w14:textId="77777777" w:rsidR="005D3E2A" w:rsidRPr="00DD47DF" w:rsidRDefault="005D3E2A" w:rsidP="00DD47DF">
            <w:pPr>
              <w:ind w:left="480" w:hanging="425"/>
              <w:rPr>
                <w:sz w:val="22"/>
                <w:szCs w:val="22"/>
              </w:rPr>
            </w:pPr>
            <w:r w:rsidRPr="00DD47DF">
              <w:rPr>
                <w:sz w:val="22"/>
                <w:szCs w:val="22"/>
              </w:rPr>
              <w:t>5) zohlednění zásady proporcionality v zadávacím řízení,</w:t>
            </w:r>
          </w:p>
          <w:p w14:paraId="17FBC410" w14:textId="77777777" w:rsidR="005D3E2A" w:rsidRPr="00DD47DF" w:rsidRDefault="005D3E2A" w:rsidP="00DD47DF">
            <w:pPr>
              <w:pStyle w:val="Tabulka"/>
              <w:widowControl w:val="0"/>
              <w:ind w:left="480" w:hanging="425"/>
              <w:jc w:val="left"/>
            </w:pPr>
            <w:r w:rsidRPr="00DD47DF">
              <w:t>6)    na základě analýz rozhodovací praxe UOHS a kontrolních a auditních zjištění budou zpracovány návrhy na úpravu legislativy. 31.12.2015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9D5622" w14:textId="77777777" w:rsidR="005D3E2A" w:rsidRPr="00DD47DF" w:rsidRDefault="005D3E2A" w:rsidP="00307C8A">
            <w:pPr>
              <w:pStyle w:val="DAVA"/>
              <w:spacing w:before="80" w:after="80"/>
              <w:rPr>
                <w:rFonts w:ascii="Times New Roman" w:hAnsi="Times New Roman"/>
                <w:sz w:val="22"/>
                <w:szCs w:val="22"/>
              </w:rPr>
            </w:pPr>
            <w:r w:rsidRPr="00DD47DF">
              <w:rPr>
                <w:rFonts w:ascii="Times New Roman" w:hAnsi="Times New Roman"/>
                <w:sz w:val="22"/>
                <w:szCs w:val="22"/>
              </w:rPr>
              <w:lastRenderedPageBreak/>
              <w:t>31.12.2016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1EFE294D" w14:textId="77777777" w:rsidR="005D3E2A" w:rsidRPr="00DD47DF" w:rsidRDefault="005D3E2A" w:rsidP="006D2F5F">
            <w:pPr>
              <w:pStyle w:val="Tabulka"/>
              <w:widowControl w:val="0"/>
              <w:jc w:val="left"/>
              <w:rPr>
                <w:rFonts w:cs="Calibri"/>
              </w:rPr>
            </w:pPr>
            <w:r w:rsidRPr="00DD47DF">
              <w:rPr>
                <w:rFonts w:cs="Calibri"/>
              </w:rPr>
              <w:t xml:space="preserve"> MMR</w:t>
            </w:r>
          </w:p>
        </w:tc>
      </w:tr>
      <w:tr w:rsidR="005D3E2A" w:rsidRPr="00DD47DF" w14:paraId="509CE92A" w14:textId="77777777" w:rsidTr="00D43AF5">
        <w:trPr>
          <w:trHeight w:val="414"/>
        </w:trPr>
        <w:tc>
          <w:tcPr>
            <w:tcW w:w="0" w:type="auto"/>
            <w:vMerge/>
            <w:tcBorders>
              <w:left w:val="single" w:sz="4" w:space="0" w:color="auto"/>
              <w:right w:val="single" w:sz="4" w:space="0" w:color="auto"/>
            </w:tcBorders>
            <w:shd w:val="clear" w:color="auto" w:fill="auto"/>
          </w:tcPr>
          <w:p w14:paraId="1D3D8268"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5BC0A1E7"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0FF7C2" w14:textId="77777777" w:rsidR="005D3E2A" w:rsidRPr="00DD47DF" w:rsidRDefault="005D3E2A" w:rsidP="00B67B43">
            <w:pPr>
              <w:pStyle w:val="DAVA"/>
              <w:spacing w:before="80" w:after="80"/>
              <w:rPr>
                <w:rFonts w:ascii="Times New Roman" w:hAnsi="Times New Roman"/>
                <w:sz w:val="22"/>
                <w:szCs w:val="22"/>
              </w:rPr>
            </w:pPr>
            <w:r w:rsidRPr="00DD47DF">
              <w:rPr>
                <w:rFonts w:ascii="Times New Roman" w:hAnsi="Times New Roman"/>
                <w:sz w:val="22"/>
                <w:szCs w:val="22"/>
              </w:rPr>
              <w:t xml:space="preserve">Provedení série opatření, jejichž cílem bude zefektivnění dohledové činnosti ÚOHS  - zejména s ohledem na zkrácení lhůt k rozhodování. </w:t>
            </w:r>
          </w:p>
          <w:p w14:paraId="67A082F9" w14:textId="77777777" w:rsidR="005D3E2A" w:rsidRPr="00DD47DF" w:rsidRDefault="005D3E2A" w:rsidP="00B67B43">
            <w:pPr>
              <w:pStyle w:val="DAVA"/>
              <w:spacing w:before="80" w:after="80"/>
              <w:rPr>
                <w:rFonts w:ascii="Times New Roman" w:hAnsi="Times New Roman"/>
                <w:sz w:val="22"/>
                <w:szCs w:val="22"/>
              </w:rPr>
            </w:pPr>
            <w:r w:rsidRPr="00DD47DF">
              <w:rPr>
                <w:rFonts w:ascii="Times New Roman" w:hAnsi="Times New Roman"/>
                <w:sz w:val="22"/>
                <w:szCs w:val="22"/>
              </w:rPr>
              <w:lastRenderedPageBreak/>
              <w:t>Nelegislativní opatření:</w:t>
            </w:r>
          </w:p>
          <w:p w14:paraId="13CD7ED3" w14:textId="77777777" w:rsidR="005D3E2A" w:rsidRPr="00DD47DF" w:rsidRDefault="005D3E2A" w:rsidP="00DD47DF">
            <w:pPr>
              <w:pStyle w:val="DAVA"/>
              <w:numPr>
                <w:ilvl w:val="0"/>
                <w:numId w:val="123"/>
              </w:numPr>
              <w:spacing w:before="80" w:after="80"/>
              <w:ind w:left="355"/>
              <w:rPr>
                <w:rFonts w:ascii="Times New Roman" w:hAnsi="Times New Roman"/>
                <w:sz w:val="22"/>
                <w:szCs w:val="22"/>
                <w:lang w:eastAsia="cs-CZ"/>
              </w:rPr>
            </w:pPr>
            <w:r w:rsidRPr="00DD47DF">
              <w:rPr>
                <w:rFonts w:ascii="Times New Roman" w:hAnsi="Times New Roman"/>
                <w:sz w:val="22"/>
                <w:szCs w:val="22"/>
              </w:rPr>
              <w:t>Standardizace podnětů k zahájení řízení o přezkoumání úkonů zadavatele zasílaných ŘO.</w:t>
            </w:r>
          </w:p>
          <w:p w14:paraId="4D871B80" w14:textId="77777777" w:rsidR="005D3E2A" w:rsidRPr="00DD47DF" w:rsidRDefault="005D3E2A" w:rsidP="00DD47DF">
            <w:pPr>
              <w:pStyle w:val="DAVA"/>
              <w:spacing w:before="80" w:after="80"/>
              <w:ind w:left="355"/>
              <w:rPr>
                <w:rFonts w:ascii="Times New Roman" w:hAnsi="Times New Roman"/>
                <w:sz w:val="22"/>
                <w:szCs w:val="22"/>
                <w:lang w:eastAsia="cs-CZ"/>
              </w:rPr>
            </w:pPr>
            <w:r w:rsidRPr="00DD47DF">
              <w:rPr>
                <w:rFonts w:ascii="Times New Roman" w:hAnsi="Times New Roman"/>
                <w:sz w:val="22"/>
                <w:szCs w:val="22"/>
              </w:rPr>
              <w:t>30.6.2015</w:t>
            </w:r>
          </w:p>
          <w:p w14:paraId="5336D5D7" w14:textId="77777777" w:rsidR="005D3E2A" w:rsidRPr="00DD47DF" w:rsidRDefault="005D3E2A" w:rsidP="00B67B43">
            <w:pPr>
              <w:pStyle w:val="DAVA"/>
              <w:spacing w:before="80" w:after="80"/>
              <w:rPr>
                <w:rFonts w:ascii="Times New Roman" w:hAnsi="Times New Roman"/>
                <w:sz w:val="22"/>
                <w:szCs w:val="22"/>
                <w:lang w:eastAsia="cs-CZ"/>
              </w:rPr>
            </w:pPr>
            <w:r w:rsidRPr="00DD47DF">
              <w:rPr>
                <w:rFonts w:ascii="Times New Roman" w:hAnsi="Times New Roman"/>
                <w:sz w:val="22"/>
                <w:szCs w:val="22"/>
              </w:rPr>
              <w:t xml:space="preserve">Legislativní: </w:t>
            </w:r>
          </w:p>
          <w:p w14:paraId="79B678DC" w14:textId="77777777" w:rsidR="005D3E2A" w:rsidRPr="00DD47DF" w:rsidRDefault="005D3E2A" w:rsidP="00DD47DF">
            <w:pPr>
              <w:pStyle w:val="DAVA"/>
              <w:numPr>
                <w:ilvl w:val="0"/>
                <w:numId w:val="123"/>
              </w:numPr>
              <w:spacing w:before="80" w:after="80"/>
              <w:ind w:left="355"/>
              <w:rPr>
                <w:rFonts w:ascii="Times New Roman" w:hAnsi="Times New Roman"/>
                <w:sz w:val="22"/>
                <w:szCs w:val="22"/>
              </w:rPr>
            </w:pPr>
            <w:r w:rsidRPr="00DD47DF">
              <w:rPr>
                <w:rFonts w:ascii="Times New Roman" w:hAnsi="Times New Roman"/>
                <w:sz w:val="22"/>
                <w:szCs w:val="22"/>
                <w:lang w:eastAsia="cs-CZ"/>
              </w:rPr>
              <w:t xml:space="preserve">Dne 6.3.2015 vstoupila v účinnost Technická novela ZVZ, která upravuje řízení před UOHS. Předmětem úpravy je povinnost účastníků řízení předkládat veškeré návrhy a důkazní prostředky co nejdříve, nejpozději do 15 dnů od zahájení řízení. </w:t>
            </w:r>
          </w:p>
          <w:p w14:paraId="6847955E" w14:textId="77777777" w:rsidR="005D3E2A" w:rsidRPr="00DD47DF" w:rsidRDefault="005D3E2A" w:rsidP="00DD47DF">
            <w:pPr>
              <w:pStyle w:val="DAVA"/>
              <w:numPr>
                <w:ilvl w:val="0"/>
                <w:numId w:val="123"/>
              </w:numPr>
              <w:spacing w:before="80" w:after="80"/>
              <w:ind w:left="355"/>
              <w:rPr>
                <w:rFonts w:ascii="Times New Roman" w:hAnsi="Times New Roman"/>
                <w:sz w:val="22"/>
                <w:szCs w:val="22"/>
              </w:rPr>
            </w:pPr>
            <w:r w:rsidRPr="00DD47DF">
              <w:rPr>
                <w:rFonts w:ascii="Times New Roman" w:hAnsi="Times New Roman"/>
                <w:sz w:val="22"/>
                <w:szCs w:val="22"/>
                <w:lang w:eastAsia="cs-CZ"/>
              </w:rPr>
              <w:t>Při přípravě nového zákona dojde k dalšímu zvýšení elektronizace řízení před UOHS (povinnost zasílat dokumentaci v elektronické podobě) a zefektivnění činnosti UOHS.</w:t>
            </w:r>
          </w:p>
          <w:p w14:paraId="1D3A2452" w14:textId="77777777" w:rsidR="005D3E2A" w:rsidRPr="00DD47DF" w:rsidRDefault="00035BDD" w:rsidP="00DD47DF">
            <w:pPr>
              <w:pStyle w:val="DAVA"/>
              <w:spacing w:before="80" w:after="80"/>
              <w:ind w:left="355"/>
              <w:rPr>
                <w:rFonts w:ascii="Times New Roman" w:hAnsi="Times New Roman"/>
                <w:sz w:val="22"/>
                <w:szCs w:val="22"/>
              </w:rPr>
            </w:pPr>
            <w:r>
              <w:rPr>
                <w:rFonts w:ascii="Times New Roman" w:hAnsi="Times New Roman"/>
                <w:sz w:val="22"/>
                <w:szCs w:val="22"/>
                <w:lang w:eastAsia="cs-CZ"/>
              </w:rPr>
              <w:t>18.4.2016</w:t>
            </w:r>
          </w:p>
          <w:p w14:paraId="5A902A37" w14:textId="77777777" w:rsidR="005D3E2A" w:rsidRPr="00DD47DF" w:rsidRDefault="005D3E2A" w:rsidP="00B67B43">
            <w:pPr>
              <w:pStyle w:val="DAVA"/>
              <w:spacing w:before="80" w:after="80"/>
              <w:rPr>
                <w:rFonts w:ascii="Times New Roman" w:hAnsi="Times New Roman"/>
                <w:sz w:val="22"/>
                <w:szCs w:val="22"/>
              </w:rPr>
            </w:pPr>
            <w:r w:rsidRPr="00DD47DF">
              <w:rPr>
                <w:rFonts w:ascii="Times New Roman" w:hAnsi="Times New Roman"/>
                <w:sz w:val="22"/>
                <w:szCs w:val="22"/>
              </w:rPr>
              <w:t>MMR předloží Evropské komisi informaci o pokroku ve věci zpoždění s rozhodovací činností ÚOHS.</w:t>
            </w:r>
          </w:p>
          <w:p w14:paraId="67B0644F" w14:textId="77777777" w:rsidR="005D3E2A" w:rsidRPr="00DD47DF" w:rsidRDefault="005D3E2A" w:rsidP="00CE43D2">
            <w:pPr>
              <w:pStyle w:val="DAVA"/>
              <w:spacing w:before="80" w:after="80"/>
              <w:rPr>
                <w:rFonts w:ascii="Times New Roman" w:hAnsi="Times New Roman"/>
                <w:sz w:val="22"/>
                <w:szCs w:val="22"/>
              </w:rPr>
            </w:pPr>
            <w:r w:rsidRPr="00DD47DF">
              <w:rPr>
                <w:rFonts w:ascii="Times New Roman" w:hAnsi="Times New Roman"/>
                <w:sz w:val="22"/>
                <w:szCs w:val="22"/>
              </w:rPr>
              <w:t xml:space="preserve">30. 6. 2016 Zpráva o pokroku v rámci činnosti UOHS zahrnující body 1), 2) a 3)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5050CDA" w14:textId="77777777" w:rsidR="005D3E2A" w:rsidRPr="00DD47DF" w:rsidRDefault="005D3E2A" w:rsidP="00CE43D2">
            <w:pPr>
              <w:pStyle w:val="Tabulka"/>
              <w:widowControl w:val="0"/>
              <w:jc w:val="left"/>
              <w:rPr>
                <w:rFonts w:cs="Calibri"/>
              </w:rPr>
            </w:pPr>
            <w:r w:rsidRPr="00DD47DF">
              <w:lastRenderedPageBreak/>
              <w:t>18.4.2016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5DCB0573" w14:textId="77777777" w:rsidR="005D3E2A" w:rsidRPr="00DD47DF" w:rsidRDefault="005D3E2A" w:rsidP="00CE43D2">
            <w:pPr>
              <w:pStyle w:val="DAVA"/>
              <w:spacing w:before="80" w:after="80"/>
              <w:rPr>
                <w:rFonts w:cs="Arial"/>
                <w:sz w:val="22"/>
                <w:szCs w:val="22"/>
              </w:rPr>
            </w:pPr>
            <w:r w:rsidRPr="00DD47DF">
              <w:rPr>
                <w:rFonts w:ascii="Times New Roman" w:hAnsi="Times New Roman"/>
                <w:sz w:val="22"/>
                <w:szCs w:val="22"/>
              </w:rPr>
              <w:t>MMR, UOHS</w:t>
            </w:r>
          </w:p>
        </w:tc>
      </w:tr>
      <w:tr w:rsidR="005D3E2A" w:rsidRPr="00DD47DF" w14:paraId="5E4C3AAC" w14:textId="77777777" w:rsidTr="00D43AF5">
        <w:trPr>
          <w:trHeight w:val="414"/>
        </w:trPr>
        <w:tc>
          <w:tcPr>
            <w:tcW w:w="0" w:type="auto"/>
            <w:vMerge/>
            <w:tcBorders>
              <w:left w:val="single" w:sz="4" w:space="0" w:color="auto"/>
              <w:right w:val="single" w:sz="4" w:space="0" w:color="auto"/>
            </w:tcBorders>
            <w:shd w:val="clear" w:color="auto" w:fill="auto"/>
          </w:tcPr>
          <w:p w14:paraId="2EA9C8AD"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42845536"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5D394" w14:textId="77777777" w:rsidR="005D3E2A" w:rsidRPr="00DD47DF" w:rsidRDefault="005D3E2A" w:rsidP="005D2C44">
            <w:pPr>
              <w:pStyle w:val="DAVA"/>
              <w:spacing w:before="80" w:after="80"/>
              <w:rPr>
                <w:rFonts w:ascii="Times New Roman" w:hAnsi="Times New Roman"/>
                <w:sz w:val="22"/>
                <w:szCs w:val="22"/>
              </w:rPr>
            </w:pPr>
            <w:r w:rsidRPr="00DD47DF">
              <w:rPr>
                <w:rFonts w:ascii="Times New Roman" w:hAnsi="Times New Roman"/>
                <w:sz w:val="22"/>
                <w:szCs w:val="22"/>
              </w:rPr>
              <w:t xml:space="preserve">MMR zpracuje každý rok zprávu o činnosti a pokroku tzv. Progress report, který bude sloužit jako hlavní nástroj identifikace nejčastějších pochybení a problémů v rámci zadávání. Po provedení identifikace problémů  budou </w:t>
            </w:r>
            <w:r w:rsidRPr="00DD47DF">
              <w:rPr>
                <w:rFonts w:ascii="Times New Roman" w:hAnsi="Times New Roman"/>
                <w:sz w:val="22"/>
                <w:szCs w:val="22"/>
              </w:rPr>
              <w:lastRenderedPageBreak/>
              <w:t>vydefinována i opatření.</w:t>
            </w:r>
          </w:p>
          <w:p w14:paraId="6552C23C" w14:textId="77777777" w:rsidR="005D3E2A" w:rsidRPr="00DD47DF" w:rsidRDefault="005D3E2A" w:rsidP="005D2C44">
            <w:pPr>
              <w:pStyle w:val="DAVA"/>
              <w:spacing w:before="80" w:after="80"/>
              <w:rPr>
                <w:rFonts w:ascii="Times New Roman" w:hAnsi="Times New Roman"/>
                <w:sz w:val="22"/>
                <w:szCs w:val="22"/>
              </w:rPr>
            </w:pPr>
            <w:r w:rsidRPr="00DD47DF">
              <w:rPr>
                <w:rFonts w:ascii="Times New Roman" w:hAnsi="Times New Roman"/>
                <w:sz w:val="22"/>
                <w:szCs w:val="22"/>
              </w:rPr>
              <w:t>Zpráva bude obsahovat:</w:t>
            </w:r>
          </w:p>
          <w:p w14:paraId="32F26019"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rPr>
              <w:t xml:space="preserve">seznam analyzovaných podkladů - rozhodnutí UOHS, soudů, </w:t>
            </w:r>
            <w:r w:rsidRPr="00DD47DF">
              <w:rPr>
                <w:rFonts w:ascii="Times New Roman" w:hAnsi="Times New Roman"/>
                <w:sz w:val="22"/>
                <w:szCs w:val="22"/>
                <w:lang w:eastAsia="cs-CZ"/>
              </w:rPr>
              <w:t xml:space="preserve">Soudního dvora EU </w:t>
            </w:r>
            <w:r w:rsidRPr="00DD47DF">
              <w:rPr>
                <w:rFonts w:ascii="Times New Roman" w:hAnsi="Times New Roman"/>
                <w:sz w:val="22"/>
                <w:szCs w:val="22"/>
              </w:rPr>
              <w:t xml:space="preserve">auditních zpráv, </w:t>
            </w:r>
            <w:r w:rsidRPr="00DD47DF">
              <w:rPr>
                <w:rFonts w:ascii="Times New Roman" w:hAnsi="Times New Roman"/>
                <w:sz w:val="22"/>
                <w:szCs w:val="22"/>
                <w:lang w:eastAsia="cs-CZ"/>
              </w:rPr>
              <w:t xml:space="preserve">které v ČR budou provádět auditoři z EÚD a EK, se zaměřením na analýzu negativních a pozitivních zjištění </w:t>
            </w:r>
          </w:p>
          <w:p w14:paraId="175D72EE" w14:textId="77777777" w:rsidR="005D3E2A" w:rsidRPr="00DD47DF" w:rsidRDefault="005D3E2A" w:rsidP="00DD47DF">
            <w:pPr>
              <w:pStyle w:val="DAVA"/>
              <w:numPr>
                <w:ilvl w:val="0"/>
                <w:numId w:val="124"/>
              </w:numPr>
              <w:spacing w:before="80" w:after="80"/>
              <w:ind w:left="568"/>
              <w:rPr>
                <w:rFonts w:ascii="Times New Roman" w:hAnsi="Times New Roman"/>
                <w:sz w:val="22"/>
                <w:szCs w:val="22"/>
              </w:rPr>
            </w:pPr>
            <w:r w:rsidRPr="00DD47DF">
              <w:rPr>
                <w:rFonts w:ascii="Times New Roman" w:hAnsi="Times New Roman"/>
                <w:sz w:val="22"/>
                <w:szCs w:val="22"/>
              </w:rPr>
              <w:t>Vyhodnocení souladu nastavení metodického prostředí s aplikační praxí a relevantní legislativou</w:t>
            </w:r>
          </w:p>
          <w:p w14:paraId="770ED1C0"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lang w:eastAsia="cs-CZ"/>
              </w:rPr>
              <w:t>Vyhodnocení aplikační praxe v oblasti kontrol</w:t>
            </w:r>
          </w:p>
          <w:p w14:paraId="0E91A2EC"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lang w:eastAsia="cs-CZ"/>
              </w:rPr>
              <w:t xml:space="preserve">Vyhodnocení funkčnosti systému prevence </w:t>
            </w:r>
          </w:p>
          <w:p w14:paraId="0423E811"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rPr>
              <w:t>Seznam přijatých opatření (zpracovaná metodická doporučení, případné úpravy legislativních předpisů či metodik)</w:t>
            </w:r>
          </w:p>
          <w:p w14:paraId="708A8DB8"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rPr>
              <w:t xml:space="preserve">analýzu dopadů přijatých opatření a analýzu příčin chybovosti.  </w:t>
            </w:r>
          </w:p>
          <w:p w14:paraId="0E6BB8DE" w14:textId="77777777" w:rsidR="005D3E2A" w:rsidRPr="00DD47DF" w:rsidRDefault="005D3E2A" w:rsidP="00DD47DF">
            <w:pPr>
              <w:pStyle w:val="Tabulka"/>
              <w:widowControl w:val="0"/>
              <w:numPr>
                <w:ilvl w:val="0"/>
                <w:numId w:val="124"/>
              </w:numPr>
              <w:ind w:left="568"/>
              <w:jc w:val="left"/>
            </w:pPr>
            <w:r w:rsidRPr="00DD47DF">
              <w:t>Návrhy opatření legislativního i nelegislativního charakteru vydefinovaného na základě výše uvedených bodů, včetně harmonogramu.</w:t>
            </w:r>
          </w:p>
          <w:p w14:paraId="559FDB36" w14:textId="77777777" w:rsidR="005D3E2A" w:rsidRPr="00DD47DF" w:rsidRDefault="005D3E2A" w:rsidP="00DD47DF">
            <w:pPr>
              <w:pStyle w:val="DAVA"/>
              <w:spacing w:before="80" w:after="80"/>
              <w:ind w:left="568"/>
              <w:rPr>
                <w:rFonts w:ascii="Times New Roman" w:hAnsi="Times New Roman"/>
                <w:sz w:val="22"/>
                <w:szCs w:val="22"/>
              </w:rPr>
            </w:pPr>
            <w:r w:rsidRPr="00DD47DF">
              <w:rPr>
                <w:rFonts w:ascii="Times New Roman" w:hAnsi="Times New Roman"/>
                <w:sz w:val="22"/>
                <w:szCs w:val="22"/>
              </w:rPr>
              <w:t>31. 12. 2015</w:t>
            </w:r>
          </w:p>
          <w:p w14:paraId="70A99A27" w14:textId="77777777" w:rsidR="005D3E2A" w:rsidRPr="00DD47DF" w:rsidRDefault="005D3E2A" w:rsidP="00DD47DF">
            <w:pPr>
              <w:pStyle w:val="Tabulka"/>
              <w:widowControl w:val="0"/>
              <w:ind w:left="568"/>
              <w:jc w:val="left"/>
              <w:rPr>
                <w:rFonts w:cs="Calibri"/>
              </w:rPr>
            </w:pPr>
            <w:r w:rsidRPr="00DD47DF">
              <w:t>31. 12. 2016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8BCDD1" w14:textId="77777777" w:rsidR="005D3E2A" w:rsidRPr="00DD47DF" w:rsidRDefault="005D3E2A" w:rsidP="005D2C44">
            <w:pPr>
              <w:pStyle w:val="DAVA"/>
              <w:spacing w:before="80" w:after="80"/>
              <w:rPr>
                <w:rFonts w:ascii="Times New Roman" w:hAnsi="Times New Roman"/>
                <w:sz w:val="22"/>
                <w:szCs w:val="22"/>
                <w:lang w:val="en-GB"/>
              </w:rPr>
            </w:pPr>
            <w:r w:rsidRPr="00DD47DF">
              <w:rPr>
                <w:rFonts w:ascii="Times New Roman" w:hAnsi="Times New Roman"/>
                <w:sz w:val="22"/>
                <w:szCs w:val="22"/>
                <w:lang w:val="en-GB"/>
              </w:rPr>
              <w:lastRenderedPageBreak/>
              <w:t>31. 12. 2016</w:t>
            </w:r>
          </w:p>
          <w:p w14:paraId="4F63AA4F" w14:textId="77777777" w:rsidR="005D3E2A" w:rsidRPr="00DD47DF" w:rsidRDefault="005D3E2A" w:rsidP="006D2F5F">
            <w:pPr>
              <w:pStyle w:val="Tabulka"/>
              <w:widowControl w:val="0"/>
              <w:jc w:val="left"/>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3D897B4E" w14:textId="77777777" w:rsidR="005D3E2A" w:rsidRPr="00DD47DF" w:rsidRDefault="005D3E2A" w:rsidP="006D2F5F">
            <w:pPr>
              <w:pStyle w:val="Tabulka"/>
              <w:widowControl w:val="0"/>
              <w:jc w:val="left"/>
            </w:pPr>
            <w:r w:rsidRPr="00DD47DF">
              <w:t xml:space="preserve"> MMR, ŘO</w:t>
            </w:r>
          </w:p>
        </w:tc>
      </w:tr>
      <w:tr w:rsidR="005D3E2A" w:rsidRPr="00DD47DF" w14:paraId="01579822" w14:textId="77777777" w:rsidTr="00D43AF5">
        <w:trPr>
          <w:trHeight w:val="414"/>
        </w:trPr>
        <w:tc>
          <w:tcPr>
            <w:tcW w:w="0" w:type="auto"/>
            <w:vMerge/>
            <w:tcBorders>
              <w:left w:val="single" w:sz="4" w:space="0" w:color="auto"/>
              <w:right w:val="single" w:sz="4" w:space="0" w:color="auto"/>
            </w:tcBorders>
            <w:shd w:val="clear" w:color="auto" w:fill="auto"/>
          </w:tcPr>
          <w:p w14:paraId="2D73C26F"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4CF6F005"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62C589" w14:textId="77777777" w:rsidR="005D3E2A" w:rsidRPr="00DD47DF" w:rsidRDefault="005D3E2A" w:rsidP="00A07474">
            <w:pPr>
              <w:pStyle w:val="DAVA"/>
              <w:spacing w:before="80" w:after="80"/>
              <w:rPr>
                <w:rFonts w:ascii="Times New Roman" w:hAnsi="Times New Roman"/>
                <w:sz w:val="22"/>
                <w:szCs w:val="22"/>
              </w:rPr>
            </w:pPr>
            <w:r w:rsidRPr="00DD47DF">
              <w:rPr>
                <w:rFonts w:ascii="Times New Roman" w:hAnsi="Times New Roman"/>
                <w:sz w:val="22"/>
                <w:szCs w:val="22"/>
              </w:rPr>
              <w:t>Zajištění souladu nastavení metodického prostředí napříč ŘO s aplikační praxí a relevantní legislativou:</w:t>
            </w:r>
          </w:p>
          <w:p w14:paraId="4040EAD1" w14:textId="77777777" w:rsidR="005D3E2A" w:rsidRPr="00DD47DF" w:rsidRDefault="005D3E2A" w:rsidP="00DD47DF">
            <w:pPr>
              <w:pStyle w:val="DAVA"/>
              <w:numPr>
                <w:ilvl w:val="0"/>
                <w:numId w:val="125"/>
              </w:numPr>
              <w:spacing w:before="80" w:after="80"/>
              <w:ind w:left="426"/>
              <w:rPr>
                <w:rFonts w:ascii="Times New Roman" w:hAnsi="Times New Roman"/>
                <w:sz w:val="22"/>
                <w:szCs w:val="22"/>
              </w:rPr>
            </w:pPr>
            <w:r w:rsidRPr="00DD47DF">
              <w:rPr>
                <w:rFonts w:ascii="Times New Roman" w:hAnsi="Times New Roman"/>
                <w:sz w:val="22"/>
                <w:szCs w:val="22"/>
                <w:lang w:eastAsia="cs-CZ"/>
              </w:rPr>
              <w:lastRenderedPageBreak/>
              <w:t>Gestor ZVZ ověří pomocí připravených kontrolních listů, zda každý jeden řídící orgán převzal Metodický pokyn pro oblast zadávání zakázek pro programové období 2014-2020 do své řízené dokumentace programu.</w:t>
            </w:r>
          </w:p>
          <w:p w14:paraId="157D29CC" w14:textId="77777777" w:rsidR="005D3E2A" w:rsidRPr="00DD47DF" w:rsidRDefault="005D3E2A" w:rsidP="00DD47DF">
            <w:pPr>
              <w:pStyle w:val="DAVA"/>
              <w:numPr>
                <w:ilvl w:val="0"/>
                <w:numId w:val="125"/>
              </w:numPr>
              <w:spacing w:before="80" w:after="80"/>
              <w:ind w:left="426"/>
              <w:rPr>
                <w:rFonts w:ascii="Times New Roman" w:hAnsi="Times New Roman"/>
                <w:sz w:val="22"/>
                <w:szCs w:val="22"/>
              </w:rPr>
            </w:pPr>
            <w:r w:rsidRPr="00DD47DF">
              <w:rPr>
                <w:rFonts w:ascii="Times New Roman" w:hAnsi="Times New Roman"/>
                <w:sz w:val="22"/>
                <w:szCs w:val="22"/>
              </w:rPr>
              <w:t>Každoročně v rámci výše uvedené Progress report bude vyhodnocena potřebnost provedení aktualizace Metodického pokynu pro oblast zadávání veřejných zakázek pro programové období 2014-2020.</w:t>
            </w:r>
            <w:r w:rsidRPr="00DD47DF">
              <w:rPr>
                <w:rFonts w:cs="Arial"/>
                <w:sz w:val="18"/>
                <w:szCs w:val="18"/>
              </w:rPr>
              <w:t xml:space="preserve"> </w:t>
            </w:r>
            <w:r w:rsidRPr="00DD47DF">
              <w:rPr>
                <w:rFonts w:ascii="Times New Roman" w:hAnsi="Times New Roman"/>
                <w:sz w:val="22"/>
                <w:szCs w:val="22"/>
              </w:rPr>
              <w:t>V případě, že bude shledána nutnost této aktualizace, bude provedena nejpozději do pěti měsíců od vydání progress report.</w:t>
            </w:r>
          </w:p>
          <w:p w14:paraId="7DB930BA" w14:textId="77777777" w:rsidR="005D3E2A" w:rsidRPr="00DD47DF" w:rsidRDefault="005D3E2A" w:rsidP="002F70BB">
            <w:pPr>
              <w:pStyle w:val="DAVA"/>
              <w:rPr>
                <w:rFonts w:ascii="Times New Roman" w:hAnsi="Times New Roman"/>
                <w:sz w:val="22"/>
                <w:szCs w:val="22"/>
              </w:rPr>
            </w:pPr>
            <w:r w:rsidRPr="00DD47DF">
              <w:rPr>
                <w:rFonts w:ascii="Times New Roman" w:hAnsi="Times New Roman"/>
                <w:sz w:val="22"/>
                <w:szCs w:val="22"/>
              </w:rPr>
              <w:t xml:space="preserve">30. 6. 2015 </w:t>
            </w:r>
          </w:p>
          <w:p w14:paraId="448F438F" w14:textId="77777777" w:rsidR="005D3E2A" w:rsidRPr="00DD47DF" w:rsidRDefault="005D3E2A" w:rsidP="002F70BB">
            <w:pPr>
              <w:pStyle w:val="DAVA"/>
              <w:rPr>
                <w:rFonts w:ascii="Times New Roman" w:hAnsi="Times New Roman"/>
                <w:sz w:val="22"/>
                <w:szCs w:val="22"/>
              </w:rPr>
            </w:pPr>
            <w:r w:rsidRPr="00DD47DF">
              <w:rPr>
                <w:rFonts w:ascii="Times New Roman" w:hAnsi="Times New Roman"/>
                <w:sz w:val="22"/>
                <w:szCs w:val="22"/>
              </w:rPr>
              <w:t>(v návaznosti na schvalování programů nejpozději do 31.12. 2015)</w:t>
            </w:r>
          </w:p>
          <w:p w14:paraId="471FA5AE" w14:textId="77777777" w:rsidR="005D3E2A" w:rsidRPr="00DD47DF" w:rsidRDefault="005D3E2A" w:rsidP="002F70BB">
            <w:pPr>
              <w:pStyle w:val="DAVA"/>
              <w:rPr>
                <w:rFonts w:ascii="Times New Roman" w:hAnsi="Times New Roman"/>
                <w:sz w:val="22"/>
                <w:szCs w:val="22"/>
                <w:lang w:val="en-GB"/>
              </w:rPr>
            </w:pPr>
            <w:r w:rsidRPr="00DD47DF">
              <w:rPr>
                <w:rFonts w:ascii="Times New Roman" w:hAnsi="Times New Roman"/>
                <w:sz w:val="22"/>
                <w:szCs w:val="22"/>
                <w:lang w:val="en-GB"/>
              </w:rPr>
              <w:t xml:space="preserve">31. 12. 2015 </w:t>
            </w:r>
          </w:p>
          <w:p w14:paraId="2423F129" w14:textId="77777777" w:rsidR="005D3E2A" w:rsidRPr="00DD47DF" w:rsidRDefault="005D3E2A" w:rsidP="00CE43D2">
            <w:pPr>
              <w:pStyle w:val="DAVA"/>
              <w:rPr>
                <w:rFonts w:ascii="Times New Roman" w:hAnsi="Times New Roman"/>
                <w:sz w:val="22"/>
                <w:szCs w:val="22"/>
                <w:lang w:val="en-GB"/>
              </w:rPr>
            </w:pPr>
            <w:r w:rsidRPr="00DD47DF">
              <w:rPr>
                <w:rFonts w:ascii="Times New Roman" w:hAnsi="Times New Roman"/>
                <w:sz w:val="22"/>
                <w:szCs w:val="22"/>
                <w:lang w:val="en-GB"/>
              </w:rPr>
              <w:t>31. 12. 2016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1E7696B" w14:textId="77777777" w:rsidR="005D3E2A" w:rsidRPr="00DD47DF" w:rsidRDefault="005D3E2A" w:rsidP="00F91E8F">
            <w:pPr>
              <w:pStyle w:val="DAVA"/>
              <w:spacing w:before="80" w:after="80"/>
              <w:rPr>
                <w:rFonts w:cs="Arial"/>
                <w:sz w:val="18"/>
                <w:szCs w:val="18"/>
                <w:lang w:eastAsia="cs-CZ"/>
              </w:rPr>
            </w:pPr>
            <w:r w:rsidRPr="00DD47DF">
              <w:rPr>
                <w:rFonts w:cs="Arial"/>
                <w:sz w:val="18"/>
                <w:szCs w:val="18"/>
                <w:lang w:eastAsia="cs-CZ"/>
              </w:rPr>
              <w:lastRenderedPageBreak/>
              <w:t xml:space="preserve"> </w:t>
            </w:r>
            <w:r w:rsidRPr="00DD47DF">
              <w:rPr>
                <w:rFonts w:ascii="Times New Roman" w:hAnsi="Times New Roman"/>
                <w:sz w:val="22"/>
                <w:szCs w:val="22"/>
                <w:lang w:val="en-GB"/>
              </w:rPr>
              <w:t>31. 12. 2016</w:t>
            </w:r>
          </w:p>
          <w:p w14:paraId="75C3F832" w14:textId="77777777" w:rsidR="005D3E2A" w:rsidRPr="00DD47DF" w:rsidRDefault="005D3E2A" w:rsidP="006D2F5F">
            <w:pPr>
              <w:pStyle w:val="Tabulka"/>
              <w:widowControl w:val="0"/>
              <w:jc w:val="left"/>
              <w:rPr>
                <w:rFonts w:cs="Calibri"/>
              </w:rPr>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7A159D8E" w14:textId="77777777" w:rsidR="005D3E2A" w:rsidRPr="00DD47DF" w:rsidRDefault="005D3E2A" w:rsidP="00A07474">
            <w:pPr>
              <w:pStyle w:val="DAVA"/>
              <w:spacing w:before="80" w:after="80"/>
              <w:rPr>
                <w:rFonts w:ascii="Times New Roman" w:hAnsi="Times New Roman"/>
                <w:sz w:val="22"/>
                <w:szCs w:val="22"/>
              </w:rPr>
            </w:pPr>
            <w:r w:rsidRPr="00DD47DF">
              <w:rPr>
                <w:rFonts w:cs="Arial"/>
                <w:sz w:val="22"/>
                <w:szCs w:val="22"/>
              </w:rPr>
              <w:t xml:space="preserve"> </w:t>
            </w:r>
            <w:r w:rsidRPr="00DD47DF">
              <w:rPr>
                <w:rFonts w:ascii="Times New Roman" w:hAnsi="Times New Roman"/>
                <w:sz w:val="22"/>
                <w:szCs w:val="22"/>
              </w:rPr>
              <w:t xml:space="preserve">MMR, ŘO </w:t>
            </w:r>
          </w:p>
          <w:p w14:paraId="2A4A597B" w14:textId="77777777" w:rsidR="005D3E2A" w:rsidRPr="00DD47DF" w:rsidRDefault="005D3E2A" w:rsidP="006D2F5F">
            <w:pPr>
              <w:pStyle w:val="Tabulka"/>
              <w:widowControl w:val="0"/>
              <w:jc w:val="left"/>
              <w:rPr>
                <w:rFonts w:cs="Calibri"/>
              </w:rPr>
            </w:pPr>
          </w:p>
        </w:tc>
      </w:tr>
      <w:tr w:rsidR="005D3E2A" w:rsidRPr="00DD47DF" w14:paraId="699FE714" w14:textId="77777777" w:rsidTr="00D43AF5">
        <w:trPr>
          <w:trHeight w:val="414"/>
        </w:trPr>
        <w:tc>
          <w:tcPr>
            <w:tcW w:w="0" w:type="auto"/>
            <w:vMerge/>
            <w:tcBorders>
              <w:left w:val="single" w:sz="4" w:space="0" w:color="auto"/>
              <w:right w:val="single" w:sz="4" w:space="0" w:color="auto"/>
            </w:tcBorders>
            <w:shd w:val="clear" w:color="auto" w:fill="auto"/>
          </w:tcPr>
          <w:p w14:paraId="1873F8AA"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341760F6"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EF7C1E"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Sjednocení a zlepšení aplikační praxe v oblasti kontrol.</w:t>
            </w:r>
          </w:p>
          <w:p w14:paraId="21797CAE"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Na základě analýz jednotlivých zjištění budou vydávána doporučení pro ŘO ve věci kontroly veřejných zakázek.</w:t>
            </w:r>
          </w:p>
          <w:p w14:paraId="4CB0DF20"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Metodická doporučení budou projednávána na PS Veřejné zakázky.</w:t>
            </w:r>
          </w:p>
          <w:p w14:paraId="386CA624"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Posuny v rámci této oblasti budou součástí Progress report.</w:t>
            </w:r>
          </w:p>
          <w:p w14:paraId="3B2E92E9" w14:textId="77777777" w:rsidR="005D3E2A" w:rsidRPr="00DD47DF" w:rsidRDefault="005D3E2A" w:rsidP="002F70BB">
            <w:pPr>
              <w:pStyle w:val="DAVA"/>
              <w:rPr>
                <w:rFonts w:ascii="Times New Roman" w:hAnsi="Times New Roman"/>
                <w:sz w:val="22"/>
                <w:szCs w:val="22"/>
                <w:lang w:val="en-GB"/>
              </w:rPr>
            </w:pPr>
            <w:r w:rsidRPr="00DD47DF">
              <w:rPr>
                <w:rFonts w:ascii="Times New Roman" w:hAnsi="Times New Roman"/>
                <w:sz w:val="22"/>
                <w:szCs w:val="22"/>
                <w:lang w:val="en-GB"/>
              </w:rPr>
              <w:lastRenderedPageBreak/>
              <w:t>31. 12. 2015</w:t>
            </w:r>
          </w:p>
          <w:p w14:paraId="04C6DAB3" w14:textId="77777777" w:rsidR="005D3E2A" w:rsidRPr="00DD47DF" w:rsidRDefault="005D3E2A" w:rsidP="00A07474">
            <w:pPr>
              <w:pStyle w:val="DAVA"/>
              <w:spacing w:before="80" w:after="80"/>
              <w:rPr>
                <w:rFonts w:ascii="Times New Roman" w:hAnsi="Times New Roman"/>
                <w:sz w:val="22"/>
                <w:szCs w:val="22"/>
              </w:rPr>
            </w:pPr>
            <w:r w:rsidRPr="00DD47DF">
              <w:rPr>
                <w:rFonts w:ascii="Times New Roman" w:hAnsi="Times New Roman"/>
                <w:sz w:val="22"/>
                <w:szCs w:val="22"/>
              </w:rPr>
              <w:t>31.12. 2016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BC0C7A3" w14:textId="77777777" w:rsidR="005D3E2A" w:rsidRPr="00DD47DF" w:rsidRDefault="005D3E2A" w:rsidP="00A07474">
            <w:pPr>
              <w:pStyle w:val="DAVA"/>
              <w:rPr>
                <w:rFonts w:ascii="Times New Roman" w:hAnsi="Times New Roman"/>
                <w:sz w:val="22"/>
                <w:szCs w:val="22"/>
                <w:lang w:val="en-GB"/>
              </w:rPr>
            </w:pPr>
            <w:r w:rsidRPr="00DD47DF">
              <w:rPr>
                <w:rFonts w:ascii="Times New Roman" w:hAnsi="Times New Roman"/>
                <w:sz w:val="22"/>
                <w:szCs w:val="22"/>
                <w:lang w:val="en-GB"/>
              </w:rPr>
              <w:lastRenderedPageBreak/>
              <w:t>31. 12. 2016</w:t>
            </w:r>
          </w:p>
          <w:p w14:paraId="0DB7A46A" w14:textId="77777777" w:rsidR="005D3E2A" w:rsidRPr="00DD47DF" w:rsidRDefault="005D3E2A" w:rsidP="00A14707">
            <w:pPr>
              <w:pStyle w:val="DAVA"/>
              <w:spacing w:before="80" w:after="80"/>
              <w:rPr>
                <w:rFonts w:ascii="Times New Roman" w:hAnsi="Times New Roman"/>
                <w:sz w:val="22"/>
                <w:szCs w:val="22"/>
              </w:rPr>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592B3512" w14:textId="77777777" w:rsidR="005D3E2A" w:rsidRPr="00DD47DF" w:rsidRDefault="005D3E2A" w:rsidP="00D43AF5">
            <w:pPr>
              <w:pStyle w:val="DAVA"/>
              <w:spacing w:before="80" w:after="80"/>
              <w:rPr>
                <w:rFonts w:ascii="Times New Roman" w:hAnsi="Times New Roman"/>
                <w:sz w:val="22"/>
                <w:szCs w:val="22"/>
              </w:rPr>
            </w:pPr>
            <w:r w:rsidRPr="00DD47DF">
              <w:rPr>
                <w:rFonts w:ascii="Times New Roman" w:hAnsi="Times New Roman"/>
                <w:sz w:val="22"/>
                <w:szCs w:val="22"/>
              </w:rPr>
              <w:t>MMR</w:t>
            </w:r>
          </w:p>
        </w:tc>
      </w:tr>
      <w:tr w:rsidR="005D3E2A" w:rsidRPr="00DD47DF" w14:paraId="171033EB" w14:textId="77777777" w:rsidTr="00D43AF5">
        <w:trPr>
          <w:trHeight w:val="414"/>
        </w:trPr>
        <w:tc>
          <w:tcPr>
            <w:tcW w:w="0" w:type="auto"/>
            <w:vMerge/>
            <w:tcBorders>
              <w:left w:val="single" w:sz="4" w:space="0" w:color="auto"/>
              <w:right w:val="single" w:sz="4" w:space="0" w:color="auto"/>
            </w:tcBorders>
            <w:shd w:val="clear" w:color="auto" w:fill="auto"/>
          </w:tcPr>
          <w:p w14:paraId="3670C78D"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1FA44B89"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F27C0A"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Vytvoření efektivního systému prevence za účelem ex ante realizace preventivních opatření.</w:t>
            </w:r>
          </w:p>
          <w:p w14:paraId="7D8D9174" w14:textId="77777777" w:rsidR="005D3E2A" w:rsidRPr="00DD47DF" w:rsidRDefault="005D3E2A" w:rsidP="00DD47DF">
            <w:pPr>
              <w:pStyle w:val="DAVA"/>
              <w:numPr>
                <w:ilvl w:val="0"/>
                <w:numId w:val="126"/>
              </w:numPr>
              <w:spacing w:before="80" w:after="80"/>
              <w:ind w:left="351" w:hanging="215"/>
              <w:rPr>
                <w:rFonts w:ascii="Times New Roman" w:hAnsi="Times New Roman"/>
                <w:sz w:val="22"/>
                <w:szCs w:val="22"/>
                <w:lang w:eastAsia="cs-CZ"/>
              </w:rPr>
            </w:pPr>
            <w:r w:rsidRPr="00DD47DF">
              <w:rPr>
                <w:rFonts w:ascii="Times New Roman" w:hAnsi="Times New Roman"/>
                <w:sz w:val="22"/>
                <w:szCs w:val="22"/>
                <w:lang w:eastAsia="cs-CZ"/>
              </w:rPr>
              <w:t>PS Veřejné zakázky ze sítě expertů napříč  ŘO, členy jsou mimo ŘO a MMR i experti MF, ÚOHS a krajů. Činnost skupiny je především preventivní a slouží jako komunikační kanál.</w:t>
            </w:r>
          </w:p>
          <w:p w14:paraId="3B11F8DD" w14:textId="77777777" w:rsidR="005D3E2A" w:rsidRPr="00DD47DF" w:rsidRDefault="005D3E2A" w:rsidP="00DD47DF">
            <w:pPr>
              <w:pStyle w:val="DAVA"/>
              <w:numPr>
                <w:ilvl w:val="0"/>
                <w:numId w:val="126"/>
              </w:numPr>
              <w:spacing w:before="80" w:after="80"/>
              <w:ind w:left="351" w:hanging="215"/>
              <w:rPr>
                <w:rFonts w:ascii="Times New Roman" w:hAnsi="Times New Roman"/>
                <w:sz w:val="22"/>
                <w:szCs w:val="22"/>
                <w:lang w:eastAsia="cs-CZ"/>
              </w:rPr>
            </w:pPr>
            <w:r w:rsidRPr="00DD47DF">
              <w:rPr>
                <w:rFonts w:ascii="Times New Roman" w:hAnsi="Times New Roman"/>
                <w:sz w:val="22"/>
                <w:szCs w:val="22"/>
                <w:lang w:eastAsia="cs-CZ"/>
              </w:rPr>
              <w:t xml:space="preserve">V relevantních případech budou vydávána </w:t>
            </w:r>
            <w:r w:rsidR="001F7B00">
              <w:rPr>
                <w:rFonts w:ascii="Times New Roman" w:hAnsi="Times New Roman"/>
                <w:sz w:val="22"/>
                <w:szCs w:val="22"/>
                <w:lang w:eastAsia="cs-CZ"/>
              </w:rPr>
              <w:t>doporučení</w:t>
            </w:r>
            <w:r w:rsidRPr="00DD47DF">
              <w:rPr>
                <w:rFonts w:ascii="Times New Roman" w:hAnsi="Times New Roman"/>
                <w:sz w:val="22"/>
                <w:szCs w:val="22"/>
                <w:lang w:eastAsia="cs-CZ"/>
              </w:rPr>
              <w:t>.</w:t>
            </w:r>
            <w:r w:rsidR="001F7B00">
              <w:rPr>
                <w:rFonts w:ascii="Times New Roman" w:hAnsi="Times New Roman"/>
                <w:sz w:val="22"/>
                <w:szCs w:val="22"/>
                <w:lang w:eastAsia="cs-CZ"/>
              </w:rPr>
              <w:t xml:space="preserve"> </w:t>
            </w:r>
            <w:r w:rsidRPr="00DD47DF">
              <w:rPr>
                <w:rFonts w:ascii="Times New Roman" w:hAnsi="Times New Roman"/>
                <w:sz w:val="22"/>
                <w:szCs w:val="22"/>
                <w:lang w:eastAsia="cs-CZ"/>
              </w:rPr>
              <w:t>Doporučení budou projednávána na PS Veřejné zakázky a formalizována aktualizací Metodického pokynu pro oblast zadávání zakázek pro programové období 2014-2020, který je pro ŘO závazný.</w:t>
            </w:r>
          </w:p>
          <w:p w14:paraId="3B851B84" w14:textId="77777777" w:rsidR="005D3E2A" w:rsidRPr="00DD47DF" w:rsidRDefault="005D3E2A" w:rsidP="00DD47DF">
            <w:pPr>
              <w:pStyle w:val="DAVA"/>
              <w:numPr>
                <w:ilvl w:val="0"/>
                <w:numId w:val="126"/>
              </w:numPr>
              <w:spacing w:before="80" w:after="80"/>
              <w:ind w:left="351" w:hanging="215"/>
              <w:rPr>
                <w:rFonts w:ascii="Times New Roman" w:hAnsi="Times New Roman"/>
                <w:sz w:val="22"/>
                <w:szCs w:val="22"/>
                <w:lang w:eastAsia="cs-CZ"/>
              </w:rPr>
            </w:pPr>
            <w:r w:rsidRPr="00DD47DF">
              <w:rPr>
                <w:rFonts w:ascii="Times New Roman" w:hAnsi="Times New Roman"/>
                <w:sz w:val="22"/>
                <w:szCs w:val="22"/>
                <w:lang w:eastAsia="cs-CZ"/>
              </w:rPr>
              <w:t xml:space="preserve">Zprostředkovaně přes ŘO budou vydávána doporučení pro příjemce (zadavatele)  jak správně postupovat při zadávání vz a jakých postupů se naopak vyvarovat. </w:t>
            </w:r>
          </w:p>
          <w:p w14:paraId="7C7D59A3" w14:textId="77777777" w:rsidR="005D3E2A" w:rsidRPr="00DD47DF" w:rsidRDefault="005D3E2A" w:rsidP="00DD47DF">
            <w:pPr>
              <w:pStyle w:val="DAVA"/>
              <w:numPr>
                <w:ilvl w:val="0"/>
                <w:numId w:val="126"/>
              </w:numPr>
              <w:spacing w:before="80" w:after="80"/>
              <w:ind w:left="351" w:hanging="215"/>
              <w:rPr>
                <w:rFonts w:ascii="Times New Roman" w:hAnsi="Times New Roman"/>
                <w:sz w:val="22"/>
                <w:szCs w:val="22"/>
                <w:lang w:eastAsia="cs-CZ"/>
              </w:rPr>
            </w:pPr>
            <w:r w:rsidRPr="00DD47DF">
              <w:rPr>
                <w:rFonts w:ascii="Times New Roman" w:hAnsi="Times New Roman"/>
                <w:sz w:val="22"/>
                <w:szCs w:val="22"/>
                <w:lang w:eastAsia="cs-CZ"/>
              </w:rPr>
              <w:t>V mezidobí provádění aktualizací budou (mohou být) v urgentních případech vydávána metodická stanoviska ministra pro místní rozvoj, která budou pro ŘO závazná. Každý rok zpracuje MMR zprávu o činnosti skupiny a zejména o obsahu a způsobu realizace jednotlivých doporučení. Zpráva bude součásti Progress report</w:t>
            </w:r>
          </w:p>
          <w:p w14:paraId="6FE4B561" w14:textId="77777777" w:rsidR="005D3E2A" w:rsidRPr="00DD47DF" w:rsidRDefault="005D3E2A" w:rsidP="002F70BB">
            <w:pPr>
              <w:pStyle w:val="DAVA"/>
              <w:spacing w:before="80" w:after="80"/>
              <w:rPr>
                <w:rFonts w:ascii="Times New Roman" w:hAnsi="Times New Roman"/>
                <w:sz w:val="22"/>
                <w:szCs w:val="22"/>
                <w:lang w:val="en-GB"/>
              </w:rPr>
            </w:pPr>
            <w:r w:rsidRPr="00DD47DF">
              <w:rPr>
                <w:rFonts w:ascii="Times New Roman" w:hAnsi="Times New Roman"/>
                <w:sz w:val="22"/>
                <w:szCs w:val="22"/>
                <w:lang w:val="en-GB"/>
              </w:rPr>
              <w:lastRenderedPageBreak/>
              <w:t>31. 12. 2015</w:t>
            </w:r>
          </w:p>
          <w:p w14:paraId="340F2B1F" w14:textId="77777777" w:rsidR="005D3E2A" w:rsidRPr="00DD47DF" w:rsidRDefault="005D3E2A" w:rsidP="002F70BB">
            <w:pPr>
              <w:pStyle w:val="DAVA"/>
              <w:spacing w:before="80" w:after="80"/>
              <w:rPr>
                <w:rFonts w:cs="Arial"/>
                <w:sz w:val="18"/>
                <w:szCs w:val="18"/>
                <w:lang w:val="en-GB"/>
              </w:rPr>
            </w:pPr>
            <w:r w:rsidRPr="00DD47DF">
              <w:rPr>
                <w:rFonts w:ascii="Times New Roman" w:hAnsi="Times New Roman"/>
                <w:sz w:val="22"/>
                <w:szCs w:val="22"/>
                <w:lang w:val="en-GB"/>
              </w:rPr>
              <w:t>31. 12. 2016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F618DB" w14:textId="77777777" w:rsidR="005D3E2A" w:rsidRPr="00DD47DF" w:rsidRDefault="005D3E2A" w:rsidP="00A07474">
            <w:pPr>
              <w:pStyle w:val="DAVA"/>
              <w:rPr>
                <w:rFonts w:ascii="Times New Roman" w:hAnsi="Times New Roman"/>
                <w:sz w:val="22"/>
                <w:szCs w:val="22"/>
                <w:lang w:val="en-GB"/>
              </w:rPr>
            </w:pPr>
            <w:r w:rsidRPr="00DD47DF">
              <w:rPr>
                <w:rFonts w:ascii="Times New Roman" w:hAnsi="Times New Roman"/>
                <w:sz w:val="22"/>
                <w:szCs w:val="22"/>
                <w:lang w:val="en-GB"/>
              </w:rPr>
              <w:lastRenderedPageBreak/>
              <w:t>31. 12. 2016</w:t>
            </w:r>
          </w:p>
          <w:p w14:paraId="3024662C" w14:textId="77777777" w:rsidR="005D3E2A" w:rsidRPr="00DD47DF" w:rsidRDefault="005D3E2A" w:rsidP="00A07474">
            <w:pPr>
              <w:pStyle w:val="DAVA"/>
              <w:rPr>
                <w:rFonts w:ascii="Times New Roman" w:hAnsi="Times New Roman"/>
                <w:sz w:val="22"/>
                <w:szCs w:val="22"/>
              </w:rPr>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7F706CF0" w14:textId="77777777" w:rsidR="005D3E2A" w:rsidRPr="00DD47DF" w:rsidRDefault="005D3E2A" w:rsidP="00A07474">
            <w:pPr>
              <w:pStyle w:val="DAVA"/>
              <w:spacing w:before="80" w:after="80"/>
              <w:rPr>
                <w:rFonts w:ascii="Times New Roman" w:hAnsi="Times New Roman"/>
                <w:sz w:val="22"/>
                <w:szCs w:val="22"/>
              </w:rPr>
            </w:pPr>
            <w:r w:rsidRPr="00DD47DF">
              <w:rPr>
                <w:rFonts w:ascii="Times New Roman" w:hAnsi="Times New Roman"/>
                <w:sz w:val="22"/>
                <w:szCs w:val="22"/>
              </w:rPr>
              <w:t>MMR, ŘO</w:t>
            </w:r>
          </w:p>
        </w:tc>
      </w:tr>
      <w:tr w:rsidR="00DD47DF" w:rsidRPr="00DD47DF" w14:paraId="132DB2FF" w14:textId="77777777" w:rsidTr="00DD47DF">
        <w:trPr>
          <w:trHeight w:val="414"/>
        </w:trPr>
        <w:tc>
          <w:tcPr>
            <w:tcW w:w="0" w:type="auto"/>
            <w:vMerge/>
            <w:tcBorders>
              <w:left w:val="single" w:sz="4" w:space="0" w:color="auto"/>
              <w:right w:val="single" w:sz="4" w:space="0" w:color="auto"/>
            </w:tcBorders>
            <w:shd w:val="clear" w:color="auto" w:fill="auto"/>
          </w:tcPr>
          <w:p w14:paraId="63A4743E" w14:textId="77777777" w:rsidR="00DD47DF" w:rsidRPr="00DD47DF" w:rsidRDefault="00DD47DF"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370C5F5E" w14:textId="77777777" w:rsidR="00DD47DF" w:rsidRPr="00DD47DF" w:rsidRDefault="00DD47DF" w:rsidP="006D2F5F">
            <w:pPr>
              <w:pStyle w:val="Tabulka"/>
              <w:widowControl w:val="0"/>
              <w:jc w:val="left"/>
              <w:rPr>
                <w:rFonts w:cs="Calibri"/>
              </w:rPr>
            </w:pPr>
          </w:p>
        </w:tc>
        <w:tc>
          <w:tcPr>
            <w:tcW w:w="0" w:type="auto"/>
            <w:vMerge w:val="restart"/>
            <w:tcBorders>
              <w:top w:val="single" w:sz="4" w:space="0" w:color="auto"/>
              <w:left w:val="single" w:sz="4" w:space="0" w:color="auto"/>
              <w:right w:val="single" w:sz="4" w:space="0" w:color="auto"/>
            </w:tcBorders>
            <w:shd w:val="clear" w:color="auto" w:fill="auto"/>
          </w:tcPr>
          <w:p w14:paraId="70B361C0"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Opatření ke zlepšení systému šíření informací: </w:t>
            </w:r>
          </w:p>
          <w:p w14:paraId="2CBA0354"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Ke zlepšení systému šíření informací a zvýšení informovanosti všech subjektů v oblasti zadávání budou přijata následující opatření:</w:t>
            </w:r>
          </w:p>
          <w:p w14:paraId="771E7BAA"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1)Technická úprava Info-fóra na Portálu o veřejných zakázkách a koncesích za účelem zlepšení uživatelské přívětivosti a snadného vyhledávání týkající dobré a špatné praxe při přípravě a vedení zadávacího řízení na základě klíčových slov.</w:t>
            </w:r>
          </w:p>
          <w:p w14:paraId="677B13E7"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 Portál je veřejně přístupný pro subjekty implementační struktury i příjemce (zadavatele). </w:t>
            </w:r>
          </w:p>
          <w:p w14:paraId="77B77B87"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2) Rozšíření databáze gestora ZVZ (uvedené v bodě 7 nelegislativních opatření v předchozí tabulce) o další stěžejní Rozhodnutí Úřadu pro ochranu hospodářské soutěže, českých soudů a Soudního dvora EU a vybraných anonymizovaných  nejčastějších auditních zjištění v této oblasti tak, aby databáze tvořila ucelený rámec pro celou oblast zadávání.</w:t>
            </w:r>
          </w:p>
        </w:tc>
        <w:tc>
          <w:tcPr>
            <w:tcW w:w="1984" w:type="dxa"/>
            <w:vMerge w:val="restart"/>
            <w:tcBorders>
              <w:top w:val="single" w:sz="4" w:space="0" w:color="auto"/>
              <w:left w:val="single" w:sz="4" w:space="0" w:color="auto"/>
              <w:right w:val="single" w:sz="4" w:space="0" w:color="auto"/>
            </w:tcBorders>
            <w:shd w:val="clear" w:color="auto" w:fill="auto"/>
          </w:tcPr>
          <w:p w14:paraId="550AD87C" w14:textId="77777777" w:rsidR="00DD47DF" w:rsidRPr="00DD47DF" w:rsidRDefault="00DD47DF" w:rsidP="00D43AF5">
            <w:pPr>
              <w:pStyle w:val="DAVA"/>
              <w:spacing w:before="80" w:after="80"/>
              <w:rPr>
                <w:rFonts w:ascii="Times New Roman" w:hAnsi="Times New Roman"/>
                <w:sz w:val="22"/>
                <w:szCs w:val="22"/>
              </w:rPr>
            </w:pPr>
            <w:r w:rsidRPr="00DD47DF">
              <w:rPr>
                <w:rFonts w:ascii="Times New Roman" w:hAnsi="Times New Roman"/>
                <w:sz w:val="22"/>
                <w:szCs w:val="22"/>
                <w:lang w:eastAsia="cs-CZ"/>
              </w:rPr>
              <w:t>31. 12. 2015</w:t>
            </w:r>
          </w:p>
        </w:tc>
        <w:tc>
          <w:tcPr>
            <w:tcW w:w="2617" w:type="dxa"/>
            <w:tcBorders>
              <w:top w:val="single" w:sz="4" w:space="0" w:color="auto"/>
              <w:left w:val="single" w:sz="4" w:space="0" w:color="auto"/>
              <w:bottom w:val="nil"/>
              <w:right w:val="single" w:sz="4" w:space="0" w:color="auto"/>
            </w:tcBorders>
            <w:shd w:val="clear" w:color="auto" w:fill="auto"/>
          </w:tcPr>
          <w:p w14:paraId="1C20035C" w14:textId="77777777" w:rsidR="00DD47DF" w:rsidRPr="00DD47DF" w:rsidRDefault="00DD47DF" w:rsidP="00D43AF5">
            <w:pPr>
              <w:pStyle w:val="DAVA"/>
              <w:spacing w:before="80" w:after="80"/>
              <w:rPr>
                <w:rFonts w:ascii="Times New Roman" w:hAnsi="Times New Roman"/>
                <w:sz w:val="22"/>
                <w:szCs w:val="22"/>
              </w:rPr>
            </w:pPr>
            <w:r w:rsidRPr="00DD47DF">
              <w:rPr>
                <w:rFonts w:ascii="Times New Roman" w:hAnsi="Times New Roman"/>
                <w:sz w:val="22"/>
                <w:szCs w:val="22"/>
              </w:rPr>
              <w:t>MMR</w:t>
            </w:r>
          </w:p>
        </w:tc>
      </w:tr>
      <w:tr w:rsidR="00DD47DF" w:rsidRPr="00DD47DF" w14:paraId="3892D9CF" w14:textId="77777777" w:rsidTr="00DD47DF">
        <w:trPr>
          <w:trHeight w:val="414"/>
        </w:trPr>
        <w:tc>
          <w:tcPr>
            <w:tcW w:w="0" w:type="auto"/>
            <w:vMerge/>
            <w:tcBorders>
              <w:left w:val="single" w:sz="4" w:space="0" w:color="auto"/>
              <w:right w:val="single" w:sz="4" w:space="0" w:color="auto"/>
            </w:tcBorders>
            <w:shd w:val="clear" w:color="auto" w:fill="auto"/>
          </w:tcPr>
          <w:p w14:paraId="5B389A8E" w14:textId="77777777" w:rsidR="00DD47DF" w:rsidRPr="00DD47DF" w:rsidRDefault="00DD47DF" w:rsidP="006D2F5F">
            <w:pPr>
              <w:pStyle w:val="Tabulka"/>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258E2316" w14:textId="77777777" w:rsidR="00DD47DF" w:rsidRPr="00DD47DF" w:rsidRDefault="00DD47DF" w:rsidP="006D2F5F">
            <w:pPr>
              <w:pStyle w:val="Tabulka"/>
              <w:widowControl w:val="0"/>
              <w:jc w:val="left"/>
              <w:rPr>
                <w:rFonts w:cs="Calibri"/>
              </w:rPr>
            </w:pPr>
          </w:p>
        </w:tc>
        <w:tc>
          <w:tcPr>
            <w:tcW w:w="0" w:type="auto"/>
            <w:vMerge/>
            <w:tcBorders>
              <w:left w:val="single" w:sz="4" w:space="0" w:color="auto"/>
              <w:bottom w:val="single" w:sz="4" w:space="0" w:color="auto"/>
              <w:right w:val="single" w:sz="4" w:space="0" w:color="auto"/>
            </w:tcBorders>
            <w:shd w:val="clear" w:color="auto" w:fill="auto"/>
          </w:tcPr>
          <w:p w14:paraId="58E4D33D" w14:textId="77777777" w:rsidR="00DD47DF" w:rsidRPr="00DD47DF" w:rsidRDefault="00DD47DF" w:rsidP="00A147B1">
            <w:pPr>
              <w:pStyle w:val="Tabulka"/>
              <w:widowControl w:val="0"/>
              <w:jc w:val="left"/>
              <w:rPr>
                <w:rFonts w:cs="Calibri"/>
              </w:rPr>
            </w:pPr>
          </w:p>
        </w:tc>
        <w:tc>
          <w:tcPr>
            <w:tcW w:w="1984" w:type="dxa"/>
            <w:vMerge/>
            <w:tcBorders>
              <w:left w:val="single" w:sz="4" w:space="0" w:color="auto"/>
              <w:bottom w:val="single" w:sz="4" w:space="0" w:color="auto"/>
              <w:right w:val="single" w:sz="4" w:space="0" w:color="auto"/>
            </w:tcBorders>
            <w:shd w:val="clear" w:color="auto" w:fill="auto"/>
          </w:tcPr>
          <w:p w14:paraId="5D88B99A" w14:textId="77777777" w:rsidR="00DD47DF" w:rsidRPr="00DD47DF" w:rsidRDefault="00DD47DF" w:rsidP="00A147B1">
            <w:pPr>
              <w:pStyle w:val="Tabulka"/>
              <w:widowControl w:val="0"/>
              <w:jc w:val="left"/>
              <w:rPr>
                <w:rFonts w:cs="Calibri"/>
              </w:rPr>
            </w:pPr>
          </w:p>
        </w:tc>
        <w:tc>
          <w:tcPr>
            <w:tcW w:w="2617" w:type="dxa"/>
            <w:tcBorders>
              <w:top w:val="nil"/>
              <w:left w:val="single" w:sz="4" w:space="0" w:color="auto"/>
              <w:bottom w:val="single" w:sz="4" w:space="0" w:color="auto"/>
              <w:right w:val="single" w:sz="4" w:space="0" w:color="auto"/>
            </w:tcBorders>
            <w:shd w:val="clear" w:color="auto" w:fill="auto"/>
          </w:tcPr>
          <w:p w14:paraId="61453F1B" w14:textId="77777777" w:rsidR="00DD47DF" w:rsidRPr="00DD47DF" w:rsidRDefault="00DD47DF" w:rsidP="00A147B1">
            <w:pPr>
              <w:pStyle w:val="Tabulka"/>
              <w:widowControl w:val="0"/>
              <w:jc w:val="left"/>
              <w:rPr>
                <w:rFonts w:cs="Calibri"/>
              </w:rPr>
            </w:pPr>
          </w:p>
        </w:tc>
      </w:tr>
      <w:tr w:rsidR="00CD6752" w:rsidRPr="00DD47DF" w14:paraId="652D3B26" w14:textId="77777777" w:rsidTr="00CD6752">
        <w:trPr>
          <w:trHeight w:val="739"/>
        </w:trPr>
        <w:tc>
          <w:tcPr>
            <w:tcW w:w="0" w:type="auto"/>
            <w:vMerge/>
            <w:tcBorders>
              <w:left w:val="single" w:sz="4" w:space="0" w:color="auto"/>
              <w:right w:val="single" w:sz="4" w:space="0" w:color="auto"/>
            </w:tcBorders>
            <w:shd w:val="clear" w:color="auto" w:fill="auto"/>
          </w:tcPr>
          <w:p w14:paraId="74BA9C5C" w14:textId="77777777" w:rsidR="00CD6752" w:rsidRPr="00DD47DF" w:rsidRDefault="00CD6752" w:rsidP="006D2F5F">
            <w:pPr>
              <w:pStyle w:val="Tabulka"/>
              <w:jc w:val="left"/>
              <w:rPr>
                <w:rFonts w:cs="Calibri"/>
                <w:b/>
              </w:rPr>
            </w:pPr>
          </w:p>
        </w:tc>
        <w:tc>
          <w:tcPr>
            <w:tcW w:w="0" w:type="auto"/>
            <w:vMerge w:val="restart"/>
            <w:tcBorders>
              <w:top w:val="single" w:sz="4" w:space="0" w:color="auto"/>
              <w:left w:val="single" w:sz="4" w:space="0" w:color="auto"/>
              <w:right w:val="single" w:sz="4" w:space="0" w:color="auto"/>
            </w:tcBorders>
            <w:shd w:val="clear" w:color="auto" w:fill="auto"/>
          </w:tcPr>
          <w:p w14:paraId="360D5E2C" w14:textId="77777777" w:rsidR="00CD6752" w:rsidRPr="00DD47DF" w:rsidRDefault="00CD6752" w:rsidP="00C27B91">
            <w:pPr>
              <w:pStyle w:val="Tabulka"/>
              <w:widowControl w:val="0"/>
              <w:jc w:val="left"/>
              <w:rPr>
                <w:rFonts w:cs="Calibri"/>
              </w:rPr>
            </w:pPr>
            <w:r w:rsidRPr="00DD47DF">
              <w:t>Opatření pro odbornou přípravu a šíření informací pro zaměstnance podílející se na provádění fondů ESI</w:t>
            </w:r>
          </w:p>
          <w:p w14:paraId="39E2956D" w14:textId="77777777" w:rsidR="00CD6752" w:rsidRPr="00CD6752" w:rsidRDefault="00CD6752" w:rsidP="00C27B91">
            <w:pPr>
              <w:pStyle w:val="Tabulka"/>
              <w:widowControl w:val="0"/>
              <w:jc w:val="left"/>
              <w:rPr>
                <w:rFonts w:cs="Calibri"/>
                <w:highlight w:val="yellow"/>
              </w:rPr>
            </w:pPr>
          </w:p>
        </w:tc>
        <w:tc>
          <w:tcPr>
            <w:tcW w:w="0" w:type="auto"/>
            <w:tcBorders>
              <w:top w:val="single" w:sz="4" w:space="0" w:color="auto"/>
              <w:left w:val="single" w:sz="4" w:space="0" w:color="auto"/>
              <w:right w:val="single" w:sz="4" w:space="0" w:color="auto"/>
            </w:tcBorders>
            <w:shd w:val="clear" w:color="auto" w:fill="auto"/>
          </w:tcPr>
          <w:p w14:paraId="448B4F76" w14:textId="77777777" w:rsidR="00CD6752" w:rsidRPr="00CD6752" w:rsidRDefault="00CD6752" w:rsidP="006D2F5F">
            <w:pPr>
              <w:pStyle w:val="Tabulka"/>
              <w:widowControl w:val="0"/>
              <w:jc w:val="left"/>
              <w:rPr>
                <w:rFonts w:cs="Calibri"/>
                <w:highlight w:val="yellow"/>
              </w:rPr>
            </w:pPr>
            <w:r w:rsidRPr="00DD47DF">
              <w:t xml:space="preserve">Zpracování závěrečné evaluace Systému vzdělávání 2007-2013 </w:t>
            </w:r>
          </w:p>
        </w:tc>
        <w:tc>
          <w:tcPr>
            <w:tcW w:w="1984" w:type="dxa"/>
            <w:tcBorders>
              <w:top w:val="single" w:sz="4" w:space="0" w:color="auto"/>
              <w:left w:val="single" w:sz="4" w:space="0" w:color="auto"/>
              <w:right w:val="single" w:sz="4" w:space="0" w:color="auto"/>
            </w:tcBorders>
            <w:shd w:val="clear" w:color="auto" w:fill="auto"/>
          </w:tcPr>
          <w:p w14:paraId="2F744C0B" w14:textId="77777777" w:rsidR="00CD6752" w:rsidRPr="00CD6752" w:rsidRDefault="00CD6752" w:rsidP="006D2F5F">
            <w:pPr>
              <w:pStyle w:val="Tabulka"/>
              <w:widowControl w:val="0"/>
              <w:jc w:val="left"/>
              <w:rPr>
                <w:rFonts w:cs="Calibri"/>
                <w:highlight w:val="yellow"/>
              </w:rPr>
            </w:pPr>
            <w:r w:rsidRPr="00DD47DF">
              <w:t>31.12. 2015</w:t>
            </w:r>
          </w:p>
        </w:tc>
        <w:tc>
          <w:tcPr>
            <w:tcW w:w="2617" w:type="dxa"/>
            <w:tcBorders>
              <w:top w:val="single" w:sz="4" w:space="0" w:color="auto"/>
              <w:left w:val="single" w:sz="4" w:space="0" w:color="auto"/>
              <w:right w:val="single" w:sz="4" w:space="0" w:color="auto"/>
            </w:tcBorders>
            <w:shd w:val="clear" w:color="auto" w:fill="auto"/>
          </w:tcPr>
          <w:p w14:paraId="1B96043C" w14:textId="77777777" w:rsidR="00CD6752" w:rsidRPr="00CD6752" w:rsidRDefault="00CD6752" w:rsidP="00A031A3">
            <w:pPr>
              <w:pStyle w:val="Tabulka"/>
              <w:widowControl w:val="0"/>
              <w:jc w:val="left"/>
              <w:rPr>
                <w:rFonts w:cs="Calibri"/>
                <w:highlight w:val="yellow"/>
              </w:rPr>
            </w:pPr>
            <w:r w:rsidRPr="00DD47DF">
              <w:t>MMR</w:t>
            </w:r>
          </w:p>
        </w:tc>
      </w:tr>
      <w:tr w:rsidR="00CD6752" w:rsidRPr="00DD47DF" w14:paraId="07F0F947" w14:textId="77777777" w:rsidTr="00335A15">
        <w:trPr>
          <w:trHeight w:val="414"/>
        </w:trPr>
        <w:tc>
          <w:tcPr>
            <w:tcW w:w="0" w:type="auto"/>
            <w:vMerge/>
            <w:tcBorders>
              <w:left w:val="single" w:sz="4" w:space="0" w:color="auto"/>
              <w:right w:val="single" w:sz="4" w:space="0" w:color="auto"/>
            </w:tcBorders>
            <w:shd w:val="clear" w:color="auto" w:fill="auto"/>
          </w:tcPr>
          <w:p w14:paraId="13431A57"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105646E9" w14:textId="77777777" w:rsidR="00CD6752" w:rsidRPr="00DD47DF" w:rsidRDefault="00CD6752" w:rsidP="00C27B91">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EB212D" w14:textId="77777777" w:rsidR="00CD6752" w:rsidRPr="00DD47DF" w:rsidRDefault="00CD6752" w:rsidP="00D43AF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Vytvoření Systému vzdělávání 2014-2020, který bude vycházet z již osvědčeného Systému vzdělávání 2007-2013 a bude dále inovován. Moduly vzdělávání v oblasti veřejných zakázek </w:t>
            </w:r>
            <w:r w:rsidRPr="00DD47DF">
              <w:rPr>
                <w:rFonts w:ascii="Times New Roman" w:hAnsi="Times New Roman"/>
                <w:sz w:val="22"/>
                <w:szCs w:val="22"/>
                <w:lang w:eastAsia="cs-CZ"/>
              </w:rPr>
              <w:lastRenderedPageBreak/>
              <w:t xml:space="preserve">budou: </w:t>
            </w:r>
          </w:p>
          <w:p w14:paraId="4F648E98"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Základní pojmy ZVZ</w:t>
            </w:r>
          </w:p>
          <w:p w14:paraId="5FBF2F7D"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Příprava zadávacích podmínek, definování předmětu veřejné zakázky</w:t>
            </w:r>
          </w:p>
          <w:p w14:paraId="448DB92F"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Hodnotící kritéria</w:t>
            </w:r>
          </w:p>
          <w:p w14:paraId="0C0613B3"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Kvalifikační předpoklady</w:t>
            </w:r>
          </w:p>
          <w:p w14:paraId="602E6269"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Nejčastější chyby zadavatelů v zadávacím řízení</w:t>
            </w:r>
          </w:p>
          <w:p w14:paraId="6E8252AC"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Výjimky ze ZVZ</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8AA8C58" w14:textId="77777777" w:rsidR="00CD6752" w:rsidRPr="00DD47DF" w:rsidRDefault="00CD6752" w:rsidP="00A031A3">
            <w:pPr>
              <w:pStyle w:val="Tabulka"/>
              <w:widowControl w:val="0"/>
              <w:jc w:val="left"/>
              <w:rPr>
                <w:rFonts w:cs="Calibri"/>
              </w:rPr>
            </w:pPr>
            <w:r w:rsidRPr="00DD47DF">
              <w:lastRenderedPageBreak/>
              <w:t>31. 12. 2015</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61D6C92F" w14:textId="77777777" w:rsidR="00CD6752" w:rsidRPr="00DD47DF" w:rsidRDefault="00CD6752" w:rsidP="00A031A3">
            <w:pPr>
              <w:pStyle w:val="Tabulka"/>
              <w:widowControl w:val="0"/>
              <w:jc w:val="left"/>
              <w:rPr>
                <w:rFonts w:cs="Calibri"/>
              </w:rPr>
            </w:pPr>
            <w:r w:rsidRPr="00DD47DF">
              <w:t>MMR</w:t>
            </w:r>
          </w:p>
        </w:tc>
      </w:tr>
      <w:tr w:rsidR="00CD6752" w:rsidRPr="00DD47DF" w14:paraId="4AEFBF09" w14:textId="77777777" w:rsidTr="00335A15">
        <w:trPr>
          <w:trHeight w:val="414"/>
        </w:trPr>
        <w:tc>
          <w:tcPr>
            <w:tcW w:w="0" w:type="auto"/>
            <w:vMerge/>
            <w:tcBorders>
              <w:left w:val="single" w:sz="4" w:space="0" w:color="auto"/>
              <w:right w:val="single" w:sz="4" w:space="0" w:color="auto"/>
            </w:tcBorders>
            <w:shd w:val="clear" w:color="auto" w:fill="auto"/>
          </w:tcPr>
          <w:p w14:paraId="4297CD2B"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54A6C32F" w14:textId="77777777" w:rsidR="00CD6752" w:rsidRPr="00DD47DF" w:rsidRDefault="00CD6752" w:rsidP="00C27B91">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9AD6BD" w14:textId="77777777" w:rsidR="00CD6752" w:rsidRPr="00DD47DF" w:rsidRDefault="00CD6752" w:rsidP="00335A1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Zajištění proškolení všech relevantních zaměstnanců ŘO a ZS zabývajících se zadáváním veřejných zakázek v souvislosti s přijetím nového Metodického pokynu k zadávání Veřejných zakázek:</w:t>
            </w:r>
          </w:p>
          <w:p w14:paraId="7B2CE361" w14:textId="77777777" w:rsidR="00CD6752" w:rsidRPr="00DD47DF" w:rsidRDefault="00CD6752" w:rsidP="00335A15">
            <w:pPr>
              <w:pStyle w:val="DAVA"/>
              <w:spacing w:before="80" w:after="80"/>
              <w:rPr>
                <w:rFonts w:ascii="Times New Roman" w:hAnsi="Times New Roman"/>
                <w:sz w:val="22"/>
                <w:szCs w:val="22"/>
              </w:rPr>
            </w:pPr>
            <w:r w:rsidRPr="00DD47DF">
              <w:rPr>
                <w:rFonts w:ascii="Times New Roman" w:hAnsi="Times New Roman"/>
                <w:sz w:val="22"/>
                <w:szCs w:val="22"/>
                <w:lang w:eastAsia="cs-CZ"/>
              </w:rPr>
              <w:t>1) Gestor ZVZ proškolí řídící orgány a zprostředkující subjekty v zadávání veřejných zakázek podle postupů stanovených v ZVZ a podle postupů stanovených v Metodickém pokynu pro oblast zadávání zakázek pro programové období 2014-2020 (prezenční vzdělávací akce).</w:t>
            </w:r>
            <w:r w:rsidRPr="00DD47DF">
              <w:rPr>
                <w:rFonts w:ascii="Times New Roman" w:hAnsi="Times New Roman"/>
                <w:sz w:val="22"/>
                <w:szCs w:val="22"/>
              </w:rPr>
              <w:t xml:space="preserve"> </w:t>
            </w:r>
          </w:p>
          <w:p w14:paraId="041BEE76" w14:textId="77777777" w:rsidR="00CD6752" w:rsidRPr="00DD47DF" w:rsidRDefault="00CD6752" w:rsidP="00D43AF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2) Ve spolupráci s NOK a  ŘO a na jeho žádost bude gestor ZVZ stejným způsobem vzdělávat také příjemce (zadavatele).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E97DFD6" w14:textId="77777777" w:rsidR="00CD6752" w:rsidRPr="00DD47DF" w:rsidRDefault="00CD6752" w:rsidP="00A031A3">
            <w:pPr>
              <w:pStyle w:val="Tabulka"/>
              <w:widowControl w:val="0"/>
              <w:jc w:val="left"/>
            </w:pPr>
            <w:r>
              <w:t xml:space="preserve"> 30. 6. 2015</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6372ECB5" w14:textId="77777777" w:rsidR="00CD6752" w:rsidRPr="00DD47DF" w:rsidRDefault="00CD6752" w:rsidP="00A031A3">
            <w:pPr>
              <w:pStyle w:val="Tabulka"/>
              <w:widowControl w:val="0"/>
              <w:jc w:val="left"/>
            </w:pPr>
            <w:r w:rsidRPr="00DD47DF">
              <w:t>MMR, ŘO</w:t>
            </w:r>
          </w:p>
        </w:tc>
      </w:tr>
      <w:tr w:rsidR="00CD6752" w:rsidRPr="00DD47DF" w14:paraId="5AE1A3BF" w14:textId="77777777" w:rsidTr="004E1D61">
        <w:trPr>
          <w:trHeight w:val="414"/>
        </w:trPr>
        <w:tc>
          <w:tcPr>
            <w:tcW w:w="0" w:type="auto"/>
            <w:vMerge/>
            <w:tcBorders>
              <w:left w:val="single" w:sz="4" w:space="0" w:color="auto"/>
              <w:right w:val="single" w:sz="4" w:space="0" w:color="auto"/>
            </w:tcBorders>
            <w:shd w:val="clear" w:color="auto" w:fill="auto"/>
          </w:tcPr>
          <w:p w14:paraId="6A808998"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602B7771" w14:textId="77777777" w:rsidR="00CD6752" w:rsidRPr="00DD47DF" w:rsidRDefault="00CD6752" w:rsidP="00C27B91">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92011D" w14:textId="77777777" w:rsidR="00CD6752" w:rsidRPr="00DD47DF" w:rsidRDefault="00CD6752" w:rsidP="00335A1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Gestor ZVZ vytipuje v nových zadávacích směrnicích EU novou právní úpravu, kterou považuje za problematickou/rizikovou (např. s ohledem na to, že dříve nebyla používána, nebo je významněji pozměněna oproti </w:t>
            </w:r>
            <w:r w:rsidRPr="00DD47DF">
              <w:rPr>
                <w:rFonts w:ascii="Times New Roman" w:hAnsi="Times New Roman"/>
                <w:sz w:val="22"/>
                <w:szCs w:val="22"/>
                <w:lang w:eastAsia="cs-CZ"/>
              </w:rPr>
              <w:lastRenderedPageBreak/>
              <w:t>předchozímu období), a uskuteční vzdělávací akce na toto téma pro subjekty implementační struktury.</w:t>
            </w:r>
          </w:p>
          <w:p w14:paraId="4241B849" w14:textId="77777777" w:rsidR="00CD6752" w:rsidRPr="00DD47DF" w:rsidRDefault="00CD6752" w:rsidP="00335A15">
            <w:pPr>
              <w:pStyle w:val="DAVA"/>
              <w:rPr>
                <w:rFonts w:ascii="Times New Roman" w:hAnsi="Times New Roman"/>
                <w:sz w:val="22"/>
                <w:szCs w:val="22"/>
              </w:rPr>
            </w:pPr>
            <w:r w:rsidRPr="00DD47DF">
              <w:rPr>
                <w:rFonts w:ascii="Times New Roman" w:hAnsi="Times New Roman"/>
                <w:sz w:val="22"/>
                <w:szCs w:val="22"/>
              </w:rPr>
              <w:t>31. 12. 2015</w:t>
            </w:r>
          </w:p>
          <w:p w14:paraId="6E47A102" w14:textId="77777777" w:rsidR="00CD6752" w:rsidRPr="00DD47DF" w:rsidRDefault="00CD6752" w:rsidP="00D43AF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31. 12. 2016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CF8B76C" w14:textId="77777777" w:rsidR="00CD6752" w:rsidRPr="00DD47DF" w:rsidRDefault="00CD6752" w:rsidP="00A031A3">
            <w:pPr>
              <w:pStyle w:val="Tabulka"/>
              <w:widowControl w:val="0"/>
              <w:jc w:val="left"/>
            </w:pPr>
            <w:r w:rsidRPr="00DD47DF">
              <w:rPr>
                <w:rFonts w:cs="Arial"/>
              </w:rPr>
              <w:lastRenderedPageBreak/>
              <w:t>31. 12. 2016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7CA18113" w14:textId="77777777" w:rsidR="00CD6752" w:rsidRPr="00DD47DF" w:rsidRDefault="00CD6752" w:rsidP="00A031A3">
            <w:pPr>
              <w:pStyle w:val="Tabulka"/>
              <w:widowControl w:val="0"/>
              <w:jc w:val="left"/>
            </w:pPr>
            <w:r w:rsidRPr="00DD47DF">
              <w:rPr>
                <w:rFonts w:cs="Arial"/>
              </w:rPr>
              <w:t>MMR</w:t>
            </w:r>
          </w:p>
        </w:tc>
      </w:tr>
      <w:tr w:rsidR="00CD6752" w:rsidRPr="00DD47DF" w14:paraId="764F74C4" w14:textId="77777777" w:rsidTr="00CE492D">
        <w:trPr>
          <w:trHeight w:val="414"/>
        </w:trPr>
        <w:tc>
          <w:tcPr>
            <w:tcW w:w="0" w:type="auto"/>
            <w:vMerge/>
            <w:tcBorders>
              <w:left w:val="single" w:sz="4" w:space="0" w:color="auto"/>
              <w:bottom w:val="single" w:sz="4" w:space="0" w:color="auto"/>
              <w:right w:val="single" w:sz="4" w:space="0" w:color="auto"/>
            </w:tcBorders>
            <w:shd w:val="clear" w:color="auto" w:fill="auto"/>
          </w:tcPr>
          <w:p w14:paraId="1D53BB51"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3045DF9A" w14:textId="77777777" w:rsidR="00CD6752" w:rsidRPr="00DD47DF" w:rsidRDefault="00CD6752" w:rsidP="00C27B91">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9FF43C" w14:textId="77777777" w:rsidR="00CD6752" w:rsidRPr="00DD47DF" w:rsidRDefault="00CD6752" w:rsidP="004E1D61">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Podání žádosti k projektu Akademie veřejného investování:</w:t>
            </w:r>
          </w:p>
          <w:p w14:paraId="2A695ABE" w14:textId="77777777" w:rsidR="00CD6752" w:rsidRPr="00DD47DF" w:rsidRDefault="00CD6752" w:rsidP="004E1D61">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(náplní projektu bude zejména následující: spolupráce s ŘO, žadateli a příjemci při přípravě a realizaci projektů z ESIF, sdílení best practice, školení realizačního týmu a týmu odborníků, školení žadatelů a příjemců, odborné konference a pracovní setkání)</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6CB06AA" w14:textId="77777777" w:rsidR="00CD6752" w:rsidRPr="00DD47DF" w:rsidRDefault="00CD6752" w:rsidP="004E1D61">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31. 7. 2016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55CB60DA" w14:textId="77777777" w:rsidR="00CD6752" w:rsidRPr="00DD47DF" w:rsidRDefault="00CD6752" w:rsidP="004E1D61">
            <w:pPr>
              <w:pStyle w:val="DAVA"/>
              <w:spacing w:before="80" w:after="80"/>
              <w:rPr>
                <w:rFonts w:ascii="Times New Roman" w:hAnsi="Times New Roman"/>
                <w:sz w:val="22"/>
                <w:szCs w:val="22"/>
              </w:rPr>
            </w:pPr>
            <w:r w:rsidRPr="00DD47DF">
              <w:rPr>
                <w:rFonts w:ascii="Times New Roman" w:hAnsi="Times New Roman"/>
                <w:sz w:val="22"/>
                <w:szCs w:val="22"/>
              </w:rPr>
              <w:t>MMR</w:t>
            </w:r>
          </w:p>
        </w:tc>
      </w:tr>
      <w:tr w:rsidR="00CD6752" w:rsidRPr="00DD47DF" w14:paraId="5C5DD68F" w14:textId="77777777" w:rsidTr="00110890">
        <w:trPr>
          <w:trHeight w:val="414"/>
        </w:trPr>
        <w:tc>
          <w:tcPr>
            <w:tcW w:w="0" w:type="auto"/>
            <w:vMerge w:val="restart"/>
            <w:tcBorders>
              <w:left w:val="single" w:sz="4" w:space="0" w:color="auto"/>
              <w:right w:val="single" w:sz="4" w:space="0" w:color="auto"/>
            </w:tcBorders>
            <w:shd w:val="clear" w:color="auto" w:fill="auto"/>
          </w:tcPr>
          <w:p w14:paraId="613F80C8" w14:textId="77777777" w:rsidR="00CD6752" w:rsidRPr="00DD47DF" w:rsidRDefault="00CD6752" w:rsidP="006D2F5F">
            <w:pPr>
              <w:pStyle w:val="Tabulka"/>
              <w:widowControl w:val="0"/>
              <w:jc w:val="left"/>
              <w:rPr>
                <w:rFonts w:cs="Calibri"/>
                <w:b/>
              </w:rPr>
            </w:pPr>
          </w:p>
        </w:tc>
        <w:tc>
          <w:tcPr>
            <w:tcW w:w="0" w:type="auto"/>
            <w:vMerge w:val="restart"/>
            <w:tcBorders>
              <w:left w:val="single" w:sz="4" w:space="0" w:color="auto"/>
              <w:right w:val="single" w:sz="4" w:space="0" w:color="auto"/>
            </w:tcBorders>
            <w:shd w:val="clear" w:color="auto" w:fill="auto"/>
          </w:tcPr>
          <w:p w14:paraId="5C3C62FA" w14:textId="77777777" w:rsidR="00CD6752" w:rsidRPr="00DD47DF" w:rsidRDefault="00CD6752" w:rsidP="00110890">
            <w:pPr>
              <w:pStyle w:val="Tabulka"/>
              <w:widowControl w:val="0"/>
              <w:jc w:val="left"/>
              <w:rPr>
                <w:rFonts w:cs="Calibri"/>
              </w:rPr>
            </w:pPr>
            <w:r w:rsidRPr="00DD47DF">
              <w:rPr>
                <w:rFonts w:cs="Calibri"/>
              </w:rPr>
              <w:t>Opatření k posílení správní kapacity pro provádění a uplatňování právních předpisů Unie o veřejných zakázkách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AE075C" w14:textId="77777777" w:rsidR="00CD6752" w:rsidRPr="00DD47DF" w:rsidRDefault="00CD6752" w:rsidP="00110890">
            <w:pPr>
              <w:pStyle w:val="DAVA"/>
              <w:spacing w:before="80" w:after="80"/>
              <w:rPr>
                <w:rFonts w:cs="Calibri"/>
              </w:rPr>
            </w:pPr>
            <w:r w:rsidRPr="00DD47DF">
              <w:rPr>
                <w:rFonts w:ascii="Times New Roman" w:hAnsi="Times New Roman"/>
                <w:sz w:val="22"/>
                <w:szCs w:val="22"/>
                <w:lang w:eastAsia="cs-CZ"/>
              </w:rPr>
              <w:t>Přijetí d</w:t>
            </w:r>
            <w:r>
              <w:rPr>
                <w:rFonts w:ascii="Times New Roman" w:hAnsi="Times New Roman"/>
                <w:sz w:val="22"/>
                <w:szCs w:val="22"/>
                <w:lang w:eastAsia="cs-CZ"/>
              </w:rPr>
              <w:t>alších 4 pracovníků gestorem PP</w:t>
            </w:r>
            <w:r w:rsidRPr="00DD47DF">
              <w:rPr>
                <w:rFonts w:ascii="Times New Roman" w:hAnsi="Times New Roman"/>
                <w:sz w:val="22"/>
                <w:szCs w:val="22"/>
                <w:lang w:eastAsia="cs-CZ"/>
              </w:rPr>
              <w:t xml:space="preserve"> (některé výše uvedené činnosti metodického charakteru budou zajišťovat i další pracovníci gestora ZVZ, kteří nejsou přímo vyčlenění na agendu ESI fondů, protože jde o obecnou metodickou činnost, kterou gestor ZVZ provádí v rámci své působnosti)</w:t>
            </w:r>
            <w:r>
              <w:rPr>
                <w:rFonts w:ascii="Times New Roman" w:hAnsi="Times New Roman"/>
                <w:sz w:val="22"/>
                <w:szCs w:val="22"/>
                <w:lang w:eastAsia="cs-CZ"/>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65D158A" w14:textId="77777777" w:rsidR="00CD6752" w:rsidRPr="00DD47DF" w:rsidRDefault="00CD6752" w:rsidP="00110890">
            <w:pPr>
              <w:pStyle w:val="DAVA"/>
              <w:spacing w:before="80" w:after="80"/>
              <w:rPr>
                <w:rFonts w:cs="Calibri"/>
              </w:rPr>
            </w:pPr>
            <w:r w:rsidRPr="00DD47DF">
              <w:rPr>
                <w:rFonts w:ascii="Times New Roman" w:hAnsi="Times New Roman"/>
                <w:sz w:val="22"/>
                <w:szCs w:val="22"/>
                <w:lang w:eastAsia="cs-CZ"/>
              </w:rPr>
              <w:t>30. 6. 2015</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0C0FFCB1" w14:textId="77777777" w:rsidR="00CD6752" w:rsidRPr="00DD47DF" w:rsidRDefault="00CD6752" w:rsidP="00110890">
            <w:pPr>
              <w:pStyle w:val="DAVA"/>
              <w:spacing w:before="80" w:after="80"/>
              <w:rPr>
                <w:rFonts w:cs="Calibri"/>
              </w:rPr>
            </w:pPr>
            <w:r w:rsidRPr="00DD47DF">
              <w:rPr>
                <w:rFonts w:ascii="Times New Roman" w:hAnsi="Times New Roman"/>
                <w:sz w:val="22"/>
                <w:szCs w:val="22"/>
              </w:rPr>
              <w:t>MMR</w:t>
            </w:r>
          </w:p>
        </w:tc>
      </w:tr>
      <w:tr w:rsidR="00CD6752" w:rsidRPr="00DD47DF" w14:paraId="68382B47" w14:textId="77777777" w:rsidTr="00CE492D">
        <w:trPr>
          <w:trHeight w:val="414"/>
        </w:trPr>
        <w:tc>
          <w:tcPr>
            <w:tcW w:w="0" w:type="auto"/>
            <w:vMerge/>
            <w:tcBorders>
              <w:left w:val="single" w:sz="4" w:space="0" w:color="auto"/>
              <w:bottom w:val="single" w:sz="4" w:space="0" w:color="auto"/>
              <w:right w:val="single" w:sz="4" w:space="0" w:color="auto"/>
            </w:tcBorders>
            <w:shd w:val="clear" w:color="auto" w:fill="auto"/>
          </w:tcPr>
          <w:p w14:paraId="16FD1800"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068E68A2" w14:textId="77777777" w:rsidR="00CD6752" w:rsidRPr="00DD47DF" w:rsidRDefault="00CD6752" w:rsidP="00110890">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50BDE9" w14:textId="77777777" w:rsidR="00CD6752" w:rsidRPr="00DD47DF" w:rsidRDefault="00CD6752" w:rsidP="00110890">
            <w:pPr>
              <w:pStyle w:val="Tabulka"/>
              <w:widowControl w:val="0"/>
              <w:jc w:val="left"/>
              <w:rPr>
                <w:rFonts w:cs="Calibri"/>
              </w:rPr>
            </w:pPr>
            <w:r w:rsidRPr="00DD47DF">
              <w:rPr>
                <w:rFonts w:cs="Calibri"/>
              </w:rPr>
              <w:t xml:space="preserve">Provedení interního vyhodnocení zajištění administrativní kapacity v oblasti veřejných </w:t>
            </w:r>
            <w:r>
              <w:rPr>
                <w:rFonts w:cs="Calibri"/>
              </w:rPr>
              <w:t>zakázek a event. doplnění stavu</w:t>
            </w:r>
            <w:r w:rsidRPr="00DD47DF">
              <w:rPr>
                <w:rFonts w:cs="Calibri"/>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49249D1" w14:textId="77777777" w:rsidR="00CD6752" w:rsidRPr="00DD47DF" w:rsidRDefault="00CD6752" w:rsidP="00110890">
            <w:pPr>
              <w:pStyle w:val="Tabulka"/>
              <w:widowControl w:val="0"/>
              <w:jc w:val="left"/>
              <w:rPr>
                <w:rFonts w:cs="Calibri"/>
              </w:rPr>
            </w:pPr>
            <w:r w:rsidRPr="00DD47DF">
              <w:rPr>
                <w:rFonts w:cs="Calibri"/>
              </w:rPr>
              <w:t>31.12.2015</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0B26BD48" w14:textId="77777777" w:rsidR="00CD6752" w:rsidRPr="00DD47DF" w:rsidRDefault="00CD6752" w:rsidP="00110890">
            <w:pPr>
              <w:pStyle w:val="Tabulka"/>
              <w:widowControl w:val="0"/>
              <w:jc w:val="left"/>
              <w:rPr>
                <w:rFonts w:cs="Calibri"/>
              </w:rPr>
            </w:pPr>
            <w:r w:rsidRPr="00DD47DF">
              <w:rPr>
                <w:rFonts w:cs="Calibri"/>
              </w:rPr>
              <w:t>ŘO</w:t>
            </w:r>
          </w:p>
        </w:tc>
      </w:tr>
      <w:tr w:rsidR="00CD6752" w:rsidRPr="00DD47DF" w14:paraId="1989A1D3" w14:textId="77777777" w:rsidTr="00DD47DF">
        <w:trPr>
          <w:trHeight w:val="986"/>
        </w:trPr>
        <w:tc>
          <w:tcPr>
            <w:tcW w:w="0" w:type="auto"/>
            <w:vMerge w:val="restart"/>
            <w:tcBorders>
              <w:top w:val="single" w:sz="4" w:space="0" w:color="auto"/>
              <w:left w:val="single" w:sz="4" w:space="0" w:color="auto"/>
              <w:right w:val="single" w:sz="4" w:space="0" w:color="auto"/>
            </w:tcBorders>
            <w:shd w:val="clear" w:color="auto" w:fill="auto"/>
          </w:tcPr>
          <w:p w14:paraId="4DE11E81" w14:textId="77777777" w:rsidR="00CD6752" w:rsidRPr="00DD47DF" w:rsidRDefault="00CD6752" w:rsidP="006D2F5F">
            <w:pPr>
              <w:pStyle w:val="Tabulka"/>
              <w:widowControl w:val="0"/>
              <w:jc w:val="left"/>
              <w:rPr>
                <w:rFonts w:cs="Calibri"/>
                <w:b/>
              </w:rPr>
            </w:pPr>
            <w:r w:rsidRPr="00DD47DF">
              <w:rPr>
                <w:rFonts w:cs="Calibri"/>
                <w:b/>
              </w:rPr>
              <w:t xml:space="preserve">Existence opatření pro účinné uplatňování právních předpisů Unie o veřejné </w:t>
            </w:r>
            <w:r w:rsidRPr="00DD47DF">
              <w:rPr>
                <w:rFonts w:cs="Calibri"/>
                <w:b/>
              </w:rPr>
              <w:lastRenderedPageBreak/>
              <w:t xml:space="preserve">podpoře v oblasti fondů ESI </w:t>
            </w:r>
          </w:p>
        </w:tc>
        <w:tc>
          <w:tcPr>
            <w:tcW w:w="0" w:type="auto"/>
            <w:vMerge w:val="restart"/>
            <w:tcBorders>
              <w:top w:val="single" w:sz="4" w:space="0" w:color="auto"/>
              <w:left w:val="single" w:sz="4" w:space="0" w:color="auto"/>
              <w:right w:val="single" w:sz="4" w:space="0" w:color="auto"/>
            </w:tcBorders>
            <w:shd w:val="clear" w:color="auto" w:fill="auto"/>
          </w:tcPr>
          <w:p w14:paraId="505C214A" w14:textId="77777777" w:rsidR="00CD6752" w:rsidRPr="00DD47DF" w:rsidRDefault="00CD6752" w:rsidP="006D2F5F">
            <w:pPr>
              <w:pStyle w:val="Tabulka"/>
              <w:widowControl w:val="0"/>
              <w:jc w:val="left"/>
              <w:rPr>
                <w:rFonts w:cs="Calibri"/>
              </w:rPr>
            </w:pPr>
            <w:r w:rsidRPr="00DD47DF">
              <w:rPr>
                <w:rFonts w:cs="Calibri"/>
              </w:rPr>
              <w:lastRenderedPageBreak/>
              <w:t>Opatření pro účinné uplatňování pravidel Unie o státních podporách</w:t>
            </w:r>
          </w:p>
        </w:tc>
        <w:tc>
          <w:tcPr>
            <w:tcW w:w="0" w:type="auto"/>
            <w:tcBorders>
              <w:top w:val="single" w:sz="4" w:space="0" w:color="auto"/>
              <w:left w:val="single" w:sz="4" w:space="0" w:color="auto"/>
              <w:right w:val="single" w:sz="4" w:space="0" w:color="auto"/>
            </w:tcBorders>
            <w:shd w:val="clear" w:color="auto" w:fill="auto"/>
          </w:tcPr>
          <w:p w14:paraId="7975F955" w14:textId="77777777" w:rsidR="00CD6752" w:rsidRPr="00DD47DF" w:rsidRDefault="00CD6752" w:rsidP="00C13923">
            <w:pPr>
              <w:spacing w:before="80" w:after="80"/>
              <w:rPr>
                <w:sz w:val="22"/>
                <w:szCs w:val="22"/>
              </w:rPr>
            </w:pPr>
            <w:r w:rsidRPr="00DD47DF">
              <w:rPr>
                <w:sz w:val="22"/>
                <w:szCs w:val="22"/>
              </w:rPr>
              <w:t>Zpracování metodického doporučení pro oblast veřejné podpory.</w:t>
            </w:r>
          </w:p>
          <w:p w14:paraId="3DEB2FD5" w14:textId="77777777" w:rsidR="00CD6752" w:rsidRPr="00DD47DF" w:rsidRDefault="00CD6752" w:rsidP="00C13923">
            <w:pPr>
              <w:spacing w:before="80" w:after="80"/>
              <w:rPr>
                <w:rFonts w:cs="Calibri"/>
              </w:rPr>
            </w:pPr>
            <w:r w:rsidRPr="00DD47DF">
              <w:rPr>
                <w:sz w:val="22"/>
                <w:szCs w:val="22"/>
              </w:rPr>
              <w:t>Finální verze do 15. 4. 2015</w:t>
            </w:r>
          </w:p>
        </w:tc>
        <w:tc>
          <w:tcPr>
            <w:tcW w:w="1984" w:type="dxa"/>
            <w:tcBorders>
              <w:top w:val="single" w:sz="4" w:space="0" w:color="auto"/>
              <w:left w:val="single" w:sz="4" w:space="0" w:color="auto"/>
              <w:right w:val="single" w:sz="4" w:space="0" w:color="auto"/>
            </w:tcBorders>
            <w:shd w:val="clear" w:color="auto" w:fill="auto"/>
          </w:tcPr>
          <w:p w14:paraId="0296E542" w14:textId="77777777" w:rsidR="00CD6752" w:rsidRPr="00DD47DF" w:rsidRDefault="00CD6752" w:rsidP="009F44B2">
            <w:pPr>
              <w:pStyle w:val="Tabulka"/>
              <w:widowControl w:val="0"/>
              <w:jc w:val="left"/>
              <w:rPr>
                <w:rFonts w:cs="Calibri"/>
              </w:rPr>
            </w:pPr>
            <w:r w:rsidRPr="00DD47DF">
              <w:rPr>
                <w:rFonts w:cs="Calibri"/>
              </w:rPr>
              <w:t>15.4.2015</w:t>
            </w:r>
          </w:p>
        </w:tc>
        <w:tc>
          <w:tcPr>
            <w:tcW w:w="2617" w:type="dxa"/>
            <w:tcBorders>
              <w:top w:val="single" w:sz="4" w:space="0" w:color="auto"/>
              <w:left w:val="single" w:sz="4" w:space="0" w:color="auto"/>
              <w:right w:val="single" w:sz="4" w:space="0" w:color="auto"/>
            </w:tcBorders>
            <w:shd w:val="clear" w:color="auto" w:fill="auto"/>
          </w:tcPr>
          <w:p w14:paraId="71E5D783" w14:textId="77777777" w:rsidR="00CD6752" w:rsidRPr="00DD47DF" w:rsidRDefault="00CD6752" w:rsidP="006D2F5F">
            <w:pPr>
              <w:pStyle w:val="Tabulka"/>
              <w:widowControl w:val="0"/>
              <w:jc w:val="left"/>
              <w:rPr>
                <w:rFonts w:cs="Calibri"/>
              </w:rPr>
            </w:pPr>
            <w:r w:rsidRPr="00DD47DF">
              <w:rPr>
                <w:rFonts w:cs="Calibri"/>
              </w:rPr>
              <w:t>MMR</w:t>
            </w:r>
          </w:p>
        </w:tc>
      </w:tr>
      <w:tr w:rsidR="00CD6752" w:rsidRPr="00DD47DF" w14:paraId="2A966CBF" w14:textId="77777777" w:rsidTr="00A147B1">
        <w:trPr>
          <w:trHeight w:val="2397"/>
        </w:trPr>
        <w:tc>
          <w:tcPr>
            <w:tcW w:w="0" w:type="auto"/>
            <w:vMerge/>
            <w:tcBorders>
              <w:left w:val="single" w:sz="4" w:space="0" w:color="auto"/>
              <w:right w:val="single" w:sz="4" w:space="0" w:color="auto"/>
            </w:tcBorders>
            <w:shd w:val="clear" w:color="auto" w:fill="auto"/>
          </w:tcPr>
          <w:p w14:paraId="5011CEFA" w14:textId="77777777" w:rsidR="00CD6752" w:rsidRPr="00DD47DF" w:rsidRDefault="00CD6752" w:rsidP="006D2F5F">
            <w:pPr>
              <w:pStyle w:val="Tabulka"/>
              <w:widowControl w:val="0"/>
              <w:jc w:val="left"/>
              <w:rPr>
                <w:rFonts w:cs="Calibri"/>
                <w:b/>
              </w:rPr>
            </w:pPr>
          </w:p>
        </w:tc>
        <w:tc>
          <w:tcPr>
            <w:tcW w:w="0" w:type="auto"/>
            <w:vMerge/>
            <w:tcBorders>
              <w:top w:val="single" w:sz="4" w:space="0" w:color="auto"/>
              <w:left w:val="single" w:sz="4" w:space="0" w:color="auto"/>
              <w:right w:val="single" w:sz="4" w:space="0" w:color="auto"/>
            </w:tcBorders>
            <w:shd w:val="clear" w:color="auto" w:fill="auto"/>
          </w:tcPr>
          <w:p w14:paraId="563E36EB"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right w:val="single" w:sz="4" w:space="0" w:color="auto"/>
            </w:tcBorders>
            <w:shd w:val="clear" w:color="auto" w:fill="auto"/>
          </w:tcPr>
          <w:p w14:paraId="2BCDB701" w14:textId="77777777" w:rsidR="00CD6752" w:rsidRPr="00DD47DF" w:rsidRDefault="00CD6752" w:rsidP="002E1FCF">
            <w:pPr>
              <w:pStyle w:val="Tabulka"/>
              <w:widowControl w:val="0"/>
              <w:jc w:val="left"/>
              <w:rPr>
                <w:rFonts w:cs="Calibri"/>
              </w:rPr>
            </w:pPr>
            <w:r w:rsidRPr="00DD47DF">
              <w:t>Zajistit zapracování oblasti VP (v souladu s připravovanou metodikou) do dokumentace k programům, tj. podrobný popis činností, kterými bude zajištěno dodržování pravidel kumulace, principu Deggendorf, kontrola a případné vymáhání neoprávněné podpory, spolupráce s centrálními koordinačními orgány při hlášení a oznamování podpor apod. Manuál interních postupů bude vydán k 30.6.2015.</w:t>
            </w:r>
          </w:p>
        </w:tc>
        <w:tc>
          <w:tcPr>
            <w:tcW w:w="1984" w:type="dxa"/>
            <w:tcBorders>
              <w:top w:val="single" w:sz="4" w:space="0" w:color="auto"/>
              <w:left w:val="single" w:sz="4" w:space="0" w:color="auto"/>
              <w:right w:val="single" w:sz="4" w:space="0" w:color="auto"/>
            </w:tcBorders>
            <w:shd w:val="clear" w:color="auto" w:fill="auto"/>
          </w:tcPr>
          <w:p w14:paraId="0DF26ED8" w14:textId="77777777" w:rsidR="00CD6752" w:rsidRPr="00DD47DF" w:rsidRDefault="00CD6752" w:rsidP="00A147B1">
            <w:pPr>
              <w:pStyle w:val="Tabulka"/>
              <w:widowControl w:val="0"/>
              <w:jc w:val="left"/>
              <w:rPr>
                <w:rFonts w:cs="Calibri"/>
              </w:rPr>
            </w:pPr>
            <w:r w:rsidRPr="00DD47DF">
              <w:rPr>
                <w:rFonts w:cs="Calibri"/>
              </w:rPr>
              <w:t>30.6.2015</w:t>
            </w:r>
          </w:p>
        </w:tc>
        <w:tc>
          <w:tcPr>
            <w:tcW w:w="2617" w:type="dxa"/>
            <w:tcBorders>
              <w:top w:val="single" w:sz="4" w:space="0" w:color="auto"/>
              <w:left w:val="single" w:sz="4" w:space="0" w:color="auto"/>
              <w:right w:val="single" w:sz="4" w:space="0" w:color="auto"/>
            </w:tcBorders>
            <w:shd w:val="clear" w:color="auto" w:fill="auto"/>
          </w:tcPr>
          <w:p w14:paraId="289300E7" w14:textId="77777777" w:rsidR="00CD6752" w:rsidRPr="00DD47DF" w:rsidRDefault="00CD6752" w:rsidP="00A147B1">
            <w:pPr>
              <w:pStyle w:val="Tabulka"/>
              <w:widowControl w:val="0"/>
              <w:jc w:val="left"/>
              <w:rPr>
                <w:rFonts w:cs="Calibri"/>
              </w:rPr>
            </w:pPr>
            <w:r w:rsidRPr="00DD47DF">
              <w:rPr>
                <w:rFonts w:cs="Calibri"/>
              </w:rPr>
              <w:t>ŘO</w:t>
            </w:r>
          </w:p>
        </w:tc>
      </w:tr>
      <w:tr w:rsidR="00CD6752" w:rsidRPr="00DD47DF" w14:paraId="38B2037D" w14:textId="77777777" w:rsidTr="001C2A07">
        <w:trPr>
          <w:trHeight w:val="2397"/>
        </w:trPr>
        <w:tc>
          <w:tcPr>
            <w:tcW w:w="0" w:type="auto"/>
            <w:vMerge/>
            <w:tcBorders>
              <w:left w:val="single" w:sz="4" w:space="0" w:color="auto"/>
              <w:right w:val="single" w:sz="4" w:space="0" w:color="auto"/>
            </w:tcBorders>
            <w:shd w:val="clear" w:color="auto" w:fill="auto"/>
          </w:tcPr>
          <w:p w14:paraId="67D69228"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2DB20045"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right w:val="single" w:sz="4" w:space="0" w:color="auto"/>
            </w:tcBorders>
            <w:shd w:val="clear" w:color="auto" w:fill="auto"/>
          </w:tcPr>
          <w:p w14:paraId="20C11496" w14:textId="77777777" w:rsidR="00CD6752" w:rsidRPr="00DD47DF" w:rsidRDefault="00CD6752" w:rsidP="006D2F5F">
            <w:pPr>
              <w:pStyle w:val="Tabulka"/>
              <w:widowControl w:val="0"/>
              <w:jc w:val="left"/>
              <w:rPr>
                <w:rFonts w:cs="Calibri"/>
              </w:rPr>
            </w:pPr>
            <w:r w:rsidRPr="00DD47DF">
              <w:rPr>
                <w:rFonts w:cs="Calibri"/>
              </w:rPr>
              <w:t>Zajistit soulad programu s pravidly VP. Do každé výzvy zapracovat pravidla VP. Průběžně analyzovat soulad s pravidly VP při tvorbě programů. Pravidla postupně zapracovat do dokumentace k výzvám vždy před jejich vyhlášením v souladu s postupy a lhůtami dle interního manuálu. Plnit průběžně dle harmonogramu výzev, první výzvy do 30. 6. 2015, další průběžně</w:t>
            </w:r>
          </w:p>
        </w:tc>
        <w:tc>
          <w:tcPr>
            <w:tcW w:w="1984" w:type="dxa"/>
            <w:tcBorders>
              <w:top w:val="single" w:sz="4" w:space="0" w:color="auto"/>
              <w:left w:val="single" w:sz="4" w:space="0" w:color="auto"/>
              <w:right w:val="single" w:sz="4" w:space="0" w:color="auto"/>
            </w:tcBorders>
            <w:shd w:val="clear" w:color="auto" w:fill="auto"/>
          </w:tcPr>
          <w:p w14:paraId="2A3F76D7" w14:textId="77777777" w:rsidR="00CD6752" w:rsidRPr="00DD47DF" w:rsidRDefault="00CD6752" w:rsidP="002E1FCF">
            <w:pPr>
              <w:pStyle w:val="Tabulka"/>
              <w:widowControl w:val="0"/>
              <w:jc w:val="left"/>
              <w:rPr>
                <w:rFonts w:cs="Calibri"/>
              </w:rPr>
            </w:pPr>
            <w:r w:rsidRPr="00DD47DF">
              <w:rPr>
                <w:rFonts w:cs="Calibri"/>
              </w:rPr>
              <w:t>30.6.2016</w:t>
            </w:r>
          </w:p>
        </w:tc>
        <w:tc>
          <w:tcPr>
            <w:tcW w:w="2617" w:type="dxa"/>
            <w:tcBorders>
              <w:top w:val="single" w:sz="4" w:space="0" w:color="auto"/>
              <w:left w:val="single" w:sz="4" w:space="0" w:color="auto"/>
              <w:right w:val="single" w:sz="4" w:space="0" w:color="auto"/>
            </w:tcBorders>
            <w:shd w:val="clear" w:color="auto" w:fill="auto"/>
          </w:tcPr>
          <w:p w14:paraId="5FBEE05C" w14:textId="77777777" w:rsidR="00CD6752" w:rsidRPr="00DD47DF" w:rsidRDefault="00CD6752" w:rsidP="006D2F5F">
            <w:pPr>
              <w:pStyle w:val="Tabulka"/>
              <w:widowControl w:val="0"/>
              <w:jc w:val="left"/>
              <w:rPr>
                <w:rFonts w:cs="Calibri"/>
              </w:rPr>
            </w:pPr>
            <w:r w:rsidRPr="00DD47DF">
              <w:rPr>
                <w:rFonts w:cs="Calibri"/>
              </w:rPr>
              <w:t>ŘO</w:t>
            </w:r>
          </w:p>
        </w:tc>
      </w:tr>
      <w:tr w:rsidR="00CD6752" w:rsidRPr="00DD47DF" w14:paraId="5EE90A53" w14:textId="77777777" w:rsidTr="008A20D2">
        <w:trPr>
          <w:trHeight w:val="414"/>
        </w:trPr>
        <w:tc>
          <w:tcPr>
            <w:tcW w:w="0" w:type="auto"/>
            <w:vMerge/>
            <w:tcBorders>
              <w:left w:val="single" w:sz="4" w:space="0" w:color="auto"/>
              <w:right w:val="single" w:sz="4" w:space="0" w:color="auto"/>
            </w:tcBorders>
            <w:shd w:val="clear" w:color="auto" w:fill="auto"/>
          </w:tcPr>
          <w:p w14:paraId="203C92A0"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4ED1D127"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519484" w14:textId="77777777" w:rsidR="00CD6752" w:rsidRPr="00DD47DF" w:rsidRDefault="00CD6752" w:rsidP="009F44B2">
            <w:pPr>
              <w:pStyle w:val="Tabulka"/>
              <w:widowControl w:val="0"/>
              <w:jc w:val="left"/>
              <w:rPr>
                <w:rFonts w:cs="Calibri"/>
              </w:rPr>
            </w:pPr>
            <w:r w:rsidRPr="00DD47DF">
              <w:rPr>
                <w:rFonts w:cs="Calibri"/>
              </w:rPr>
              <w:t>Zajistit soulad jednotlivých výzev s pravidly pro VP. První výzvy do 30. 6. 2015, další průběžně dle harmonogramu</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EBB7380" w14:textId="77777777" w:rsidR="00CD6752" w:rsidRPr="00DD47DF" w:rsidRDefault="00CD6752" w:rsidP="002E1FCF">
            <w:pPr>
              <w:pStyle w:val="Tabulka"/>
              <w:widowControl w:val="0"/>
              <w:jc w:val="left"/>
              <w:rPr>
                <w:rFonts w:cs="Calibri"/>
              </w:rPr>
            </w:pPr>
            <w:r w:rsidRPr="00DD47DF">
              <w:rPr>
                <w:rFonts w:cs="Calibri"/>
              </w:rPr>
              <w:t>30.6.2016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284AF6C1" w14:textId="77777777" w:rsidR="00CD6752" w:rsidRPr="00DD47DF" w:rsidRDefault="00CD6752" w:rsidP="006D2F5F">
            <w:pPr>
              <w:pStyle w:val="Tabulka"/>
              <w:widowControl w:val="0"/>
              <w:jc w:val="left"/>
              <w:rPr>
                <w:rFonts w:cs="Calibri"/>
              </w:rPr>
            </w:pPr>
            <w:r w:rsidRPr="00DD47DF">
              <w:rPr>
                <w:rFonts w:cs="Calibri"/>
              </w:rPr>
              <w:t>ŘO</w:t>
            </w:r>
          </w:p>
        </w:tc>
      </w:tr>
      <w:tr w:rsidR="00CD6752" w:rsidRPr="00DD47DF" w14:paraId="0DDBF620" w14:textId="77777777" w:rsidTr="008A20D2">
        <w:trPr>
          <w:trHeight w:val="414"/>
        </w:trPr>
        <w:tc>
          <w:tcPr>
            <w:tcW w:w="0" w:type="auto"/>
            <w:vMerge/>
            <w:tcBorders>
              <w:left w:val="single" w:sz="4" w:space="0" w:color="auto"/>
              <w:right w:val="single" w:sz="4" w:space="0" w:color="auto"/>
            </w:tcBorders>
            <w:shd w:val="clear" w:color="auto" w:fill="auto"/>
          </w:tcPr>
          <w:p w14:paraId="2D3E058B"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3F6774D8"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FA6A04" w14:textId="77777777" w:rsidR="00CD6752" w:rsidRPr="00DD47DF" w:rsidRDefault="00CD6752" w:rsidP="006D2F5F">
            <w:pPr>
              <w:pStyle w:val="Tabulka"/>
              <w:widowControl w:val="0"/>
              <w:jc w:val="left"/>
              <w:rPr>
                <w:rFonts w:cs="Calibri"/>
              </w:rPr>
            </w:pPr>
            <w:r w:rsidRPr="00DD47DF">
              <w:rPr>
                <w:rFonts w:cs="Calibri"/>
              </w:rPr>
              <w:t>Zajistit průběžně následnou kontrolu souladu projektů s pravidly pro VP</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7C21CB4" w14:textId="77777777" w:rsidR="00CD6752" w:rsidRPr="00DD47DF" w:rsidRDefault="00CD6752" w:rsidP="00EC2EF9">
            <w:pPr>
              <w:pStyle w:val="Tabulka"/>
              <w:widowControl w:val="0"/>
              <w:jc w:val="left"/>
              <w:rPr>
                <w:rFonts w:cs="Calibri"/>
              </w:rPr>
            </w:pPr>
            <w:r w:rsidRPr="00DD47DF">
              <w:rPr>
                <w:rFonts w:cs="Calibri"/>
              </w:rPr>
              <w:t>31.12.2016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1CD40BF8" w14:textId="77777777" w:rsidR="00CD6752" w:rsidRPr="00DD47DF" w:rsidRDefault="00CD6752" w:rsidP="006D2F5F">
            <w:pPr>
              <w:pStyle w:val="Tabulka"/>
              <w:widowControl w:val="0"/>
              <w:jc w:val="left"/>
              <w:rPr>
                <w:rFonts w:cs="Calibri"/>
              </w:rPr>
            </w:pPr>
            <w:r w:rsidRPr="00DD47DF">
              <w:rPr>
                <w:rFonts w:cs="Calibri"/>
              </w:rPr>
              <w:t>ŘO</w:t>
            </w:r>
          </w:p>
        </w:tc>
      </w:tr>
      <w:tr w:rsidR="00CD6752" w:rsidRPr="00DD47DF" w14:paraId="0C00272D" w14:textId="77777777" w:rsidTr="001C2A07">
        <w:trPr>
          <w:trHeight w:val="1840"/>
        </w:trPr>
        <w:tc>
          <w:tcPr>
            <w:tcW w:w="0" w:type="auto"/>
            <w:vMerge/>
            <w:tcBorders>
              <w:left w:val="single" w:sz="4" w:space="0" w:color="auto"/>
              <w:right w:val="single" w:sz="4" w:space="0" w:color="auto"/>
            </w:tcBorders>
            <w:shd w:val="clear" w:color="auto" w:fill="auto"/>
          </w:tcPr>
          <w:p w14:paraId="4A7DD29C" w14:textId="77777777" w:rsidR="00CD6752" w:rsidRPr="00DD47DF" w:rsidRDefault="00CD6752" w:rsidP="006D2F5F">
            <w:pPr>
              <w:pStyle w:val="Tabulka"/>
              <w:widowControl w:val="0"/>
              <w:jc w:val="left"/>
              <w:rPr>
                <w:rFonts w:cs="Calibri"/>
                <w:b/>
              </w:rPr>
            </w:pPr>
          </w:p>
        </w:tc>
        <w:tc>
          <w:tcPr>
            <w:tcW w:w="0" w:type="auto"/>
            <w:vMerge w:val="restart"/>
            <w:tcBorders>
              <w:top w:val="single" w:sz="4" w:space="0" w:color="auto"/>
              <w:left w:val="single" w:sz="4" w:space="0" w:color="auto"/>
              <w:right w:val="single" w:sz="4" w:space="0" w:color="auto"/>
            </w:tcBorders>
            <w:shd w:val="clear" w:color="auto" w:fill="auto"/>
          </w:tcPr>
          <w:p w14:paraId="58059239" w14:textId="77777777" w:rsidR="00CD6752" w:rsidRPr="00DD47DF" w:rsidRDefault="00CD6752" w:rsidP="006D2F5F">
            <w:pPr>
              <w:pStyle w:val="Tabulka"/>
              <w:widowControl w:val="0"/>
              <w:jc w:val="left"/>
              <w:rPr>
                <w:rFonts w:cs="Calibri"/>
              </w:rPr>
            </w:pPr>
            <w:r w:rsidRPr="00DD47DF">
              <w:rPr>
                <w:rFonts w:cs="Calibri"/>
              </w:rPr>
              <w:t xml:space="preserve">Opatření k zajištění správní kapacity pro provádění a uplatňování právních předpisů Unie o státních podporách </w:t>
            </w:r>
          </w:p>
        </w:tc>
        <w:tc>
          <w:tcPr>
            <w:tcW w:w="0" w:type="auto"/>
            <w:tcBorders>
              <w:top w:val="single" w:sz="4" w:space="0" w:color="auto"/>
              <w:left w:val="single" w:sz="4" w:space="0" w:color="auto"/>
              <w:right w:val="single" w:sz="4" w:space="0" w:color="auto"/>
            </w:tcBorders>
            <w:shd w:val="clear" w:color="auto" w:fill="auto"/>
          </w:tcPr>
          <w:p w14:paraId="68C76F98" w14:textId="77777777" w:rsidR="00CD6752" w:rsidRPr="00DD47DF" w:rsidRDefault="00CD6752" w:rsidP="001C2A07">
            <w:pPr>
              <w:pStyle w:val="Tabulka"/>
              <w:widowControl w:val="0"/>
              <w:jc w:val="left"/>
              <w:rPr>
                <w:rFonts w:cs="Calibri"/>
                <w:sz w:val="24"/>
              </w:rPr>
            </w:pPr>
            <w:r w:rsidRPr="00DD47DF">
              <w:rPr>
                <w:rFonts w:cs="Arial"/>
              </w:rPr>
              <w:t xml:space="preserve">Zhodnocení naplňování správní kapacity pro oblast veřejné podpory </w:t>
            </w:r>
            <w:r w:rsidRPr="00260D88">
              <w:rPr>
                <w:rFonts w:cs="Arial"/>
              </w:rPr>
              <w:t xml:space="preserve">a </w:t>
            </w:r>
            <w:r w:rsidRPr="00DD47DF">
              <w:rPr>
                <w:rFonts w:cs="Arial"/>
              </w:rPr>
              <w:t>případné doplnění této kapacity</w:t>
            </w:r>
          </w:p>
        </w:tc>
        <w:tc>
          <w:tcPr>
            <w:tcW w:w="1984" w:type="dxa"/>
            <w:tcBorders>
              <w:top w:val="single" w:sz="4" w:space="0" w:color="auto"/>
              <w:left w:val="single" w:sz="4" w:space="0" w:color="auto"/>
              <w:right w:val="single" w:sz="4" w:space="0" w:color="auto"/>
            </w:tcBorders>
            <w:shd w:val="clear" w:color="auto" w:fill="auto"/>
          </w:tcPr>
          <w:p w14:paraId="461100B8" w14:textId="77777777" w:rsidR="00CD6752" w:rsidRPr="00DD47DF" w:rsidRDefault="00CD6752" w:rsidP="006D2F5F">
            <w:pPr>
              <w:pStyle w:val="Tabulka"/>
              <w:widowControl w:val="0"/>
              <w:jc w:val="left"/>
            </w:pPr>
            <w:r w:rsidRPr="00DD47DF">
              <w:rPr>
                <w:rFonts w:cs="Calibri"/>
              </w:rPr>
              <w:t>30.6.2016</w:t>
            </w:r>
          </w:p>
        </w:tc>
        <w:tc>
          <w:tcPr>
            <w:tcW w:w="2617" w:type="dxa"/>
            <w:tcBorders>
              <w:top w:val="single" w:sz="4" w:space="0" w:color="auto"/>
              <w:left w:val="single" w:sz="4" w:space="0" w:color="auto"/>
              <w:right w:val="single" w:sz="4" w:space="0" w:color="auto"/>
            </w:tcBorders>
            <w:shd w:val="clear" w:color="auto" w:fill="auto"/>
          </w:tcPr>
          <w:p w14:paraId="15557F45" w14:textId="77777777" w:rsidR="00CD6752" w:rsidRPr="00DD47DF" w:rsidRDefault="00CD6752" w:rsidP="002D4CC1">
            <w:pPr>
              <w:pStyle w:val="Tabulka"/>
              <w:widowControl w:val="0"/>
              <w:jc w:val="left"/>
            </w:pPr>
            <w:r w:rsidRPr="00DD47DF">
              <w:t>MMR</w:t>
            </w:r>
            <w:r w:rsidR="002D4CC1">
              <w:t>, ŘO</w:t>
            </w:r>
          </w:p>
        </w:tc>
      </w:tr>
      <w:tr w:rsidR="00CD6752" w:rsidRPr="00DD47DF" w14:paraId="7A720794" w14:textId="77777777" w:rsidTr="00CE43D2">
        <w:trPr>
          <w:trHeight w:val="675"/>
        </w:trPr>
        <w:tc>
          <w:tcPr>
            <w:tcW w:w="0" w:type="auto"/>
            <w:vMerge/>
            <w:tcBorders>
              <w:left w:val="single" w:sz="4" w:space="0" w:color="auto"/>
              <w:bottom w:val="single" w:sz="4" w:space="0" w:color="auto"/>
              <w:right w:val="single" w:sz="4" w:space="0" w:color="auto"/>
            </w:tcBorders>
            <w:shd w:val="clear" w:color="auto" w:fill="auto"/>
          </w:tcPr>
          <w:p w14:paraId="7CEBAA28"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77EBC54D"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FD1615" w14:textId="77777777" w:rsidR="00CD6752" w:rsidRPr="00DD47DF" w:rsidRDefault="00CD6752" w:rsidP="00A147B1">
            <w:pPr>
              <w:pStyle w:val="Tabulka"/>
              <w:widowControl w:val="0"/>
              <w:jc w:val="left"/>
              <w:rPr>
                <w:rFonts w:cs="Calibri"/>
                <w:sz w:val="24"/>
              </w:rPr>
            </w:pPr>
            <w:r w:rsidRPr="00DD47DF">
              <w:rPr>
                <w:rFonts w:cs="Calibri"/>
              </w:rPr>
              <w:t>Průběžně vyhodnocovat správní kapacitu a její případné posílení dle potřeby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44E7E3" w14:textId="77777777" w:rsidR="00CD6752" w:rsidRPr="00DD47DF" w:rsidRDefault="00CD6752" w:rsidP="00A147B1">
            <w:pPr>
              <w:pStyle w:val="Tabulka"/>
              <w:widowControl w:val="0"/>
              <w:jc w:val="left"/>
            </w:pPr>
            <w:r w:rsidRPr="00DD47DF">
              <w:rPr>
                <w:rFonts w:cs="Calibri"/>
              </w:rPr>
              <w:t>31.12.2016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5080DB83" w14:textId="77777777" w:rsidR="00CD6752" w:rsidRPr="00DD47DF" w:rsidRDefault="00CD6752" w:rsidP="00A147B1">
            <w:pPr>
              <w:pStyle w:val="Tabulka"/>
              <w:widowControl w:val="0"/>
              <w:jc w:val="left"/>
            </w:pPr>
            <w:r w:rsidRPr="00DD47DF">
              <w:rPr>
                <w:rFonts w:cs="Calibri"/>
              </w:rPr>
              <w:t>ŘO</w:t>
            </w:r>
          </w:p>
        </w:tc>
      </w:tr>
      <w:tr w:rsidR="00CD6752" w:rsidRPr="00DD47DF" w14:paraId="1E986253" w14:textId="77777777" w:rsidTr="008A20D2">
        <w:trPr>
          <w:trHeight w:val="424"/>
        </w:trPr>
        <w:tc>
          <w:tcPr>
            <w:tcW w:w="0" w:type="auto"/>
            <w:vMerge w:val="restart"/>
            <w:tcBorders>
              <w:top w:val="single" w:sz="4" w:space="0" w:color="auto"/>
            </w:tcBorders>
            <w:shd w:val="clear" w:color="auto" w:fill="auto"/>
          </w:tcPr>
          <w:p w14:paraId="0399B48D" w14:textId="77777777" w:rsidR="00CD6752" w:rsidRPr="00DD47DF" w:rsidRDefault="00CD6752" w:rsidP="006D2F5F">
            <w:pPr>
              <w:pStyle w:val="Tabulka"/>
              <w:widowControl w:val="0"/>
              <w:jc w:val="left"/>
              <w:rPr>
                <w:rFonts w:cs="Calibri"/>
                <w:b/>
              </w:rPr>
            </w:pPr>
            <w:r w:rsidRPr="00DD47DF">
              <w:rPr>
                <w:rFonts w:cs="Calibri"/>
                <w:b/>
              </w:rPr>
              <w:t>Existence statistického základu nezbytného k provádění hodnocení za účelem posouzení účinnosti a dopadu programů.</w:t>
            </w:r>
          </w:p>
          <w:p w14:paraId="3AB03B65" w14:textId="77777777" w:rsidR="00CD6752" w:rsidRPr="00DD47DF" w:rsidRDefault="00CD6752" w:rsidP="006D2F5F">
            <w:pPr>
              <w:pStyle w:val="Tabulka"/>
              <w:widowControl w:val="0"/>
              <w:jc w:val="left"/>
              <w:rPr>
                <w:rFonts w:cs="Calibri"/>
                <w:b/>
              </w:rPr>
            </w:pPr>
            <w:r w:rsidRPr="00DD47DF">
              <w:rPr>
                <w:b/>
              </w:rPr>
              <w:t>Existence systému ukazatelů výsledků nezbytného k výběru opatření, jež budou nejúčinněji přispívat k dosahování požadovaných výsledků, k monitorování pokroku při dosahování výsledků a k provedení posouzení dopadů</w:t>
            </w:r>
          </w:p>
        </w:tc>
        <w:tc>
          <w:tcPr>
            <w:tcW w:w="0" w:type="auto"/>
            <w:vMerge w:val="restart"/>
            <w:tcBorders>
              <w:top w:val="single" w:sz="4" w:space="0" w:color="auto"/>
            </w:tcBorders>
            <w:shd w:val="clear" w:color="auto" w:fill="auto"/>
          </w:tcPr>
          <w:p w14:paraId="15E3780C"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color w:val="000000"/>
                <w:sz w:val="22"/>
                <w:szCs w:val="22"/>
              </w:rPr>
              <w:t>Jsou vypracována opatření pro včasný sběr a agregaci statistických údajů, která obsahují tyto prvky:</w:t>
            </w:r>
          </w:p>
          <w:p w14:paraId="52811C7B" w14:textId="77777777" w:rsidR="00CD6752" w:rsidRPr="00DD47DF" w:rsidRDefault="00CD6752" w:rsidP="00F91E8F">
            <w:pPr>
              <w:pStyle w:val="Tabulka"/>
              <w:widowControl w:val="0"/>
              <w:numPr>
                <w:ilvl w:val="0"/>
                <w:numId w:val="92"/>
              </w:numPr>
              <w:jc w:val="left"/>
              <w:rPr>
                <w:rFonts w:cs="Calibri"/>
              </w:rPr>
            </w:pPr>
            <w:r w:rsidRPr="00DD47DF">
              <w:t>určení zdrojů a mechanismů pro zajištění statistického ověřování</w:t>
            </w:r>
          </w:p>
        </w:tc>
        <w:tc>
          <w:tcPr>
            <w:tcW w:w="0" w:type="auto"/>
            <w:tcBorders>
              <w:top w:val="single" w:sz="4" w:space="0" w:color="auto"/>
            </w:tcBorders>
            <w:shd w:val="clear" w:color="auto" w:fill="auto"/>
          </w:tcPr>
          <w:p w14:paraId="3E2E7665"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Dopracování Národního číselníku indikátorů pro programové období 2014-2020, který zajistí jednotnou metodickou konstrukci všech indikátorů používaných napříč programy ESI fondů.</w:t>
            </w:r>
          </w:p>
          <w:p w14:paraId="1780E71F"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Nastavení spolupráce s ČSÚ pro pravidelné dodávání potřebných statistických dat.</w:t>
            </w:r>
          </w:p>
        </w:tc>
        <w:tc>
          <w:tcPr>
            <w:tcW w:w="1984" w:type="dxa"/>
            <w:tcBorders>
              <w:top w:val="single" w:sz="4" w:space="0" w:color="auto"/>
            </w:tcBorders>
            <w:shd w:val="clear" w:color="auto" w:fill="auto"/>
          </w:tcPr>
          <w:p w14:paraId="472F4F5A" w14:textId="77777777" w:rsidR="00CD6752" w:rsidRPr="00DD47DF" w:rsidRDefault="00CD6752" w:rsidP="008A5AA0">
            <w:pPr>
              <w:pStyle w:val="Tabulka"/>
              <w:widowControl w:val="0"/>
              <w:jc w:val="left"/>
              <w:rPr>
                <w:rFonts w:cs="Calibri"/>
              </w:rPr>
            </w:pPr>
            <w:r w:rsidRPr="00DD47DF">
              <w:t>31.12.2015</w:t>
            </w:r>
          </w:p>
        </w:tc>
        <w:tc>
          <w:tcPr>
            <w:tcW w:w="2617" w:type="dxa"/>
            <w:tcBorders>
              <w:top w:val="single" w:sz="4" w:space="0" w:color="auto"/>
            </w:tcBorders>
            <w:shd w:val="clear" w:color="auto" w:fill="auto"/>
          </w:tcPr>
          <w:p w14:paraId="7D040748" w14:textId="77777777" w:rsidR="00CD6752" w:rsidRPr="00DD47DF" w:rsidRDefault="00CD6752" w:rsidP="006D2F5F">
            <w:pPr>
              <w:pStyle w:val="Tabulka"/>
              <w:widowControl w:val="0"/>
              <w:jc w:val="left"/>
              <w:rPr>
                <w:rFonts w:cs="Calibri"/>
              </w:rPr>
            </w:pPr>
            <w:r w:rsidRPr="00DD47DF">
              <w:t>MMR, ŘO, ČSÚ</w:t>
            </w:r>
          </w:p>
        </w:tc>
      </w:tr>
      <w:tr w:rsidR="00CD6752" w:rsidRPr="00DD47DF" w14:paraId="43DFF8F3" w14:textId="77777777" w:rsidTr="008A20D2">
        <w:trPr>
          <w:trHeight w:val="424"/>
        </w:trPr>
        <w:tc>
          <w:tcPr>
            <w:tcW w:w="0" w:type="auto"/>
            <w:vMerge/>
            <w:shd w:val="clear" w:color="auto" w:fill="auto"/>
            <w:vAlign w:val="center"/>
          </w:tcPr>
          <w:p w14:paraId="5700C5B8" w14:textId="77777777" w:rsidR="00CD6752" w:rsidRPr="00DD47DF" w:rsidRDefault="00CD6752" w:rsidP="006D2F5F">
            <w:pPr>
              <w:pStyle w:val="Tabulka"/>
              <w:rPr>
                <w:rFonts w:cs="Calibri"/>
                <w:b/>
                <w:szCs w:val="24"/>
              </w:rPr>
            </w:pPr>
          </w:p>
        </w:tc>
        <w:tc>
          <w:tcPr>
            <w:tcW w:w="0" w:type="auto"/>
            <w:vMerge/>
            <w:shd w:val="clear" w:color="auto" w:fill="auto"/>
            <w:vAlign w:val="center"/>
          </w:tcPr>
          <w:p w14:paraId="53AE0D31" w14:textId="77777777" w:rsidR="00CD6752" w:rsidRPr="00DD47DF" w:rsidRDefault="00CD6752" w:rsidP="006D2F5F">
            <w:pPr>
              <w:pStyle w:val="Tabulka"/>
              <w:jc w:val="left"/>
              <w:rPr>
                <w:rFonts w:cs="Calibri"/>
                <w:szCs w:val="24"/>
              </w:rPr>
            </w:pPr>
          </w:p>
        </w:tc>
        <w:tc>
          <w:tcPr>
            <w:tcW w:w="0" w:type="auto"/>
            <w:shd w:val="clear" w:color="auto" w:fill="auto"/>
          </w:tcPr>
          <w:p w14:paraId="573CF979" w14:textId="77777777" w:rsidR="00CD6752" w:rsidRPr="00DD47DF" w:rsidRDefault="00CD6752" w:rsidP="00CE43D2">
            <w:pPr>
              <w:pStyle w:val="DAVA"/>
              <w:spacing w:before="0"/>
              <w:rPr>
                <w:szCs w:val="22"/>
              </w:rPr>
            </w:pPr>
            <w:r w:rsidRPr="00DD47DF">
              <w:rPr>
                <w:rFonts w:ascii="Times New Roman" w:hAnsi="Times New Roman"/>
                <w:sz w:val="22"/>
                <w:szCs w:val="22"/>
                <w:lang w:eastAsia="cs-CZ"/>
              </w:rPr>
              <w:t>Ve spolupráci s dotčenými resorty a Úřadem na ochranu osobních údajů (ÚOOÚ) připravit a následně ÚOOU schválit a vydat výkladové stanovisko ke zpracování osobních údajů účastníků při poskytování finanční podpory z evropského sociálního fondu.</w:t>
            </w:r>
          </w:p>
        </w:tc>
        <w:tc>
          <w:tcPr>
            <w:tcW w:w="1984" w:type="dxa"/>
            <w:shd w:val="clear" w:color="auto" w:fill="auto"/>
          </w:tcPr>
          <w:p w14:paraId="593B8DA4" w14:textId="77777777" w:rsidR="00CD6752" w:rsidRPr="00DD47DF" w:rsidRDefault="00CD6752" w:rsidP="001B5F7D">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31.12.2015</w:t>
            </w:r>
          </w:p>
        </w:tc>
        <w:tc>
          <w:tcPr>
            <w:tcW w:w="2617" w:type="dxa"/>
            <w:shd w:val="clear" w:color="auto" w:fill="auto"/>
          </w:tcPr>
          <w:p w14:paraId="5CB5C1FD"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Úřad vlády (Úřad pro ochranu osobních údajů) + ŘO ESF programů, které mají povinnost monitorovat účastníky projektů v rámci povinných společných indikátorů (MPSV, HMP, MŠMT)</w:t>
            </w:r>
          </w:p>
        </w:tc>
      </w:tr>
      <w:tr w:rsidR="00CD6752" w:rsidRPr="00DD47DF" w14:paraId="4149E930" w14:textId="77777777" w:rsidTr="008A20D2">
        <w:trPr>
          <w:trHeight w:val="424"/>
        </w:trPr>
        <w:tc>
          <w:tcPr>
            <w:tcW w:w="0" w:type="auto"/>
            <w:vMerge/>
            <w:shd w:val="clear" w:color="auto" w:fill="auto"/>
            <w:vAlign w:val="center"/>
          </w:tcPr>
          <w:p w14:paraId="025E6DA7" w14:textId="77777777" w:rsidR="00CD6752" w:rsidRPr="00DD47DF" w:rsidRDefault="00CD6752" w:rsidP="006D2F5F">
            <w:pPr>
              <w:pStyle w:val="Tabulka"/>
              <w:rPr>
                <w:rFonts w:cs="Calibri"/>
                <w:b/>
                <w:szCs w:val="24"/>
              </w:rPr>
            </w:pPr>
          </w:p>
        </w:tc>
        <w:tc>
          <w:tcPr>
            <w:tcW w:w="0" w:type="auto"/>
            <w:shd w:val="clear" w:color="auto" w:fill="auto"/>
          </w:tcPr>
          <w:p w14:paraId="7BA15E4E"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Účinný systém ukazatelů výsledků, včetně:</w:t>
            </w:r>
          </w:p>
          <w:p w14:paraId="78ABD0D8" w14:textId="77777777" w:rsidR="00CD6752" w:rsidRPr="00DD47DF" w:rsidRDefault="00CD6752" w:rsidP="00F91E8F">
            <w:pPr>
              <w:pStyle w:val="Odstavecseseznamem"/>
              <w:numPr>
                <w:ilvl w:val="0"/>
                <w:numId w:val="92"/>
              </w:numPr>
              <w:overflowPunct/>
              <w:autoSpaceDE/>
              <w:autoSpaceDN/>
              <w:adjustRightInd/>
              <w:spacing w:before="80" w:after="80"/>
              <w:ind w:left="355"/>
              <w:textAlignment w:val="auto"/>
              <w:rPr>
                <w:sz w:val="22"/>
                <w:szCs w:val="22"/>
              </w:rPr>
            </w:pPr>
            <w:r w:rsidRPr="00DD47DF">
              <w:rPr>
                <w:color w:val="000000"/>
                <w:sz w:val="22"/>
                <w:szCs w:val="22"/>
              </w:rPr>
              <w:t>výběru ukazatelů výsledků pro každý program, jež budou vypovídat o motivaci k výběru strategických kroků financovaných z programu,</w:t>
            </w:r>
          </w:p>
        </w:tc>
        <w:tc>
          <w:tcPr>
            <w:tcW w:w="0" w:type="auto"/>
            <w:shd w:val="clear" w:color="auto" w:fill="auto"/>
          </w:tcPr>
          <w:p w14:paraId="7277DEA2"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Dopracování Národního číselníku indikátorů pro programové období 2014-2020.</w:t>
            </w:r>
          </w:p>
          <w:p w14:paraId="7BA4E9E7"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Dopracování a schválení strategie programů a potřebné navazující programové dokumentace</w:t>
            </w:r>
          </w:p>
          <w:p w14:paraId="00AE4945"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Příprava a schválení evaluačních plánů programů a Dohody o partnerství, které budou definovat indikativní harmonogram plánovaných evaluačních aktivit programů.</w:t>
            </w:r>
          </w:p>
        </w:tc>
        <w:tc>
          <w:tcPr>
            <w:tcW w:w="1984" w:type="dxa"/>
            <w:shd w:val="clear" w:color="auto" w:fill="auto"/>
          </w:tcPr>
          <w:p w14:paraId="393D8368" w14:textId="77777777" w:rsidR="00CD6752" w:rsidRPr="00DD47DF" w:rsidRDefault="00CD6752" w:rsidP="001B5F7D">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30.6.2016</w:t>
            </w:r>
          </w:p>
        </w:tc>
        <w:tc>
          <w:tcPr>
            <w:tcW w:w="2617" w:type="dxa"/>
            <w:shd w:val="clear" w:color="auto" w:fill="auto"/>
          </w:tcPr>
          <w:p w14:paraId="07E6EE20"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ŘO</w:t>
            </w:r>
            <w:r w:rsidRPr="00DD47DF" w:rsidDel="00432201">
              <w:rPr>
                <w:rFonts w:ascii="Times New Roman" w:hAnsi="Times New Roman"/>
                <w:sz w:val="22"/>
                <w:szCs w:val="22"/>
                <w:lang w:eastAsia="cs-CZ"/>
              </w:rPr>
              <w:t xml:space="preserve"> </w:t>
            </w:r>
          </w:p>
        </w:tc>
      </w:tr>
      <w:tr w:rsidR="00CD6752" w:rsidRPr="00DD47DF" w14:paraId="1FE7E7C4" w14:textId="77777777" w:rsidTr="008A20D2">
        <w:trPr>
          <w:trHeight w:val="364"/>
        </w:trPr>
        <w:tc>
          <w:tcPr>
            <w:tcW w:w="0" w:type="auto"/>
            <w:vMerge/>
            <w:shd w:val="clear" w:color="auto" w:fill="auto"/>
            <w:vAlign w:val="center"/>
          </w:tcPr>
          <w:p w14:paraId="4B83ACAE" w14:textId="77777777" w:rsidR="00CD6752" w:rsidRPr="00DD47DF" w:rsidRDefault="00CD6752" w:rsidP="006D2F5F">
            <w:pPr>
              <w:pStyle w:val="Tabulka"/>
              <w:rPr>
                <w:rFonts w:cs="Calibri"/>
                <w:b/>
                <w:szCs w:val="24"/>
              </w:rPr>
            </w:pPr>
          </w:p>
        </w:tc>
        <w:tc>
          <w:tcPr>
            <w:tcW w:w="0" w:type="auto"/>
            <w:shd w:val="clear" w:color="auto" w:fill="auto"/>
            <w:vAlign w:val="center"/>
          </w:tcPr>
          <w:p w14:paraId="15846BAD" w14:textId="77777777" w:rsidR="00CD6752" w:rsidRPr="00DD47DF" w:rsidRDefault="00CD6752" w:rsidP="006D2F5F">
            <w:pPr>
              <w:pStyle w:val="Odstavecseseznamem"/>
              <w:spacing w:before="80" w:after="80"/>
              <w:ind w:left="0"/>
              <w:contextualSpacing w:val="0"/>
              <w:rPr>
                <w:bCs/>
                <w:sz w:val="22"/>
                <w:szCs w:val="22"/>
              </w:rPr>
            </w:pPr>
            <w:r w:rsidRPr="00DD47DF">
              <w:rPr>
                <w:bCs/>
                <w:sz w:val="22"/>
                <w:szCs w:val="22"/>
              </w:rPr>
              <w:t>Účinný systém ukazatelů výsledků, včetně:</w:t>
            </w:r>
          </w:p>
          <w:p w14:paraId="142384DF" w14:textId="77777777" w:rsidR="00CD6752" w:rsidRPr="00DD47DF" w:rsidRDefault="00CD6752" w:rsidP="006D2F5F">
            <w:pPr>
              <w:pStyle w:val="Tabulka"/>
              <w:jc w:val="left"/>
              <w:rPr>
                <w:rFonts w:cs="Calibri"/>
              </w:rPr>
            </w:pPr>
            <w:r w:rsidRPr="00DD47DF">
              <w:rPr>
                <w:bCs/>
              </w:rPr>
              <w:t xml:space="preserve">vytyčení cílů pro tyto </w:t>
            </w:r>
            <w:r w:rsidRPr="00DD47DF">
              <w:rPr>
                <w:bCs/>
              </w:rPr>
              <w:lastRenderedPageBreak/>
              <w:t>ukazatele</w:t>
            </w:r>
          </w:p>
        </w:tc>
        <w:tc>
          <w:tcPr>
            <w:tcW w:w="0" w:type="auto"/>
            <w:shd w:val="clear" w:color="auto" w:fill="auto"/>
          </w:tcPr>
          <w:p w14:paraId="31AD1B41"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lastRenderedPageBreak/>
              <w:t>Schválení programů</w:t>
            </w:r>
          </w:p>
        </w:tc>
        <w:tc>
          <w:tcPr>
            <w:tcW w:w="1984" w:type="dxa"/>
            <w:shd w:val="clear" w:color="auto" w:fill="auto"/>
          </w:tcPr>
          <w:p w14:paraId="58FB67F3" w14:textId="77777777" w:rsidR="00CD6752" w:rsidRPr="00DD47DF" w:rsidRDefault="00CD6752" w:rsidP="008A5AA0">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31.10.2015</w:t>
            </w:r>
          </w:p>
        </w:tc>
        <w:tc>
          <w:tcPr>
            <w:tcW w:w="2617" w:type="dxa"/>
            <w:shd w:val="clear" w:color="auto" w:fill="auto"/>
          </w:tcPr>
          <w:p w14:paraId="3FCFBF3A"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ŘO, Úřad vlády, EK</w:t>
            </w:r>
          </w:p>
        </w:tc>
      </w:tr>
      <w:tr w:rsidR="00CD6752" w:rsidRPr="00DD47DF" w14:paraId="03FB5877" w14:textId="77777777" w:rsidTr="008A20D2">
        <w:trPr>
          <w:trHeight w:val="424"/>
        </w:trPr>
        <w:tc>
          <w:tcPr>
            <w:tcW w:w="0" w:type="auto"/>
            <w:vMerge/>
            <w:shd w:val="clear" w:color="auto" w:fill="auto"/>
          </w:tcPr>
          <w:p w14:paraId="1EB31FEC" w14:textId="77777777" w:rsidR="00CD6752" w:rsidRPr="00DD47DF" w:rsidRDefault="00CD6752" w:rsidP="006D2F5F">
            <w:pPr>
              <w:spacing w:before="80" w:after="80"/>
              <w:rPr>
                <w:rFonts w:cs="Calibri"/>
                <w:b/>
              </w:rPr>
            </w:pPr>
          </w:p>
        </w:tc>
        <w:tc>
          <w:tcPr>
            <w:tcW w:w="0" w:type="auto"/>
            <w:shd w:val="clear" w:color="auto" w:fill="auto"/>
          </w:tcPr>
          <w:p w14:paraId="58DC72C8" w14:textId="77777777" w:rsidR="00CD6752" w:rsidRPr="00DD47DF" w:rsidRDefault="00CD6752" w:rsidP="006D2F5F">
            <w:pPr>
              <w:pStyle w:val="Odstavecseseznamem"/>
              <w:spacing w:before="80" w:after="80"/>
              <w:ind w:left="0"/>
              <w:contextualSpacing w:val="0"/>
              <w:rPr>
                <w:color w:val="000000"/>
                <w:sz w:val="22"/>
                <w:szCs w:val="22"/>
              </w:rPr>
            </w:pPr>
            <w:r w:rsidRPr="00DD47DF">
              <w:rPr>
                <w:color w:val="000000"/>
                <w:sz w:val="22"/>
                <w:szCs w:val="22"/>
              </w:rPr>
              <w:t>Účinný systém ukazatelů výsledků, včetně:</w:t>
            </w:r>
          </w:p>
          <w:p w14:paraId="1C2C3887" w14:textId="77777777" w:rsidR="00CD6752" w:rsidRPr="00DD47DF" w:rsidRDefault="00CD6752" w:rsidP="00F91E8F">
            <w:pPr>
              <w:pStyle w:val="Tabulka"/>
              <w:numPr>
                <w:ilvl w:val="0"/>
                <w:numId w:val="92"/>
              </w:numPr>
              <w:jc w:val="left"/>
              <w:rPr>
                <w:rFonts w:cs="Calibri"/>
              </w:rPr>
            </w:pPr>
            <w:r w:rsidRPr="00DD47DF">
              <w:rPr>
                <w:color w:val="000000"/>
              </w:rPr>
              <w:t>musí být zajištěn soulad každého ukazatele s těmito podmínkami: robustností a statistickou validací, jasným normativním výkladem, souladem se strategiemi, včasným sběrem údajů,</w:t>
            </w:r>
          </w:p>
        </w:tc>
        <w:tc>
          <w:tcPr>
            <w:tcW w:w="0" w:type="auto"/>
            <w:shd w:val="clear" w:color="auto" w:fill="auto"/>
          </w:tcPr>
          <w:p w14:paraId="67814CA9"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Nastavení spolupráce s ČSÚ pro pravidelné dodávání potřebných statistických dat.</w:t>
            </w:r>
          </w:p>
          <w:p w14:paraId="6666E362"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Dopracování monitorovacího systému zajišťující sběr a agregaci dat z operací (MS2014+).</w:t>
            </w:r>
          </w:p>
          <w:p w14:paraId="142E0756"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Ve spolupráci s ŘO OPZ připravit technické řešení sběru údajů o účastnících intervencí tzv. IS ESF2014+, které bude zajišťovat automatické provazby na vybrané datové zdroje České správy sociálního zabezpečení a Úřadu práce, které jsou nezbytné pro vyhodnocení úspěšnosti ESF intervencí.</w:t>
            </w:r>
          </w:p>
        </w:tc>
        <w:tc>
          <w:tcPr>
            <w:tcW w:w="1984" w:type="dxa"/>
            <w:shd w:val="clear" w:color="auto" w:fill="auto"/>
          </w:tcPr>
          <w:p w14:paraId="44DC34D3" w14:textId="77777777" w:rsidR="00CD6752" w:rsidRPr="00DD47DF" w:rsidRDefault="00CD6752" w:rsidP="008A5AA0">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31.3.2016</w:t>
            </w:r>
          </w:p>
        </w:tc>
        <w:tc>
          <w:tcPr>
            <w:tcW w:w="2617" w:type="dxa"/>
            <w:shd w:val="clear" w:color="auto" w:fill="auto"/>
          </w:tcPr>
          <w:p w14:paraId="4EE36089"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ŘO, ČSÚ, ČSSZ, ÚP</w:t>
            </w:r>
          </w:p>
        </w:tc>
      </w:tr>
      <w:tr w:rsidR="00CD6752" w:rsidRPr="00DD47DF" w14:paraId="3E701FAA" w14:textId="77777777" w:rsidTr="008A20D2">
        <w:trPr>
          <w:trHeight w:val="424"/>
        </w:trPr>
        <w:tc>
          <w:tcPr>
            <w:tcW w:w="0" w:type="auto"/>
            <w:vMerge/>
            <w:shd w:val="clear" w:color="auto" w:fill="auto"/>
            <w:vAlign w:val="center"/>
          </w:tcPr>
          <w:p w14:paraId="5C7D87E6" w14:textId="77777777" w:rsidR="00CD6752" w:rsidRPr="00DD47DF" w:rsidRDefault="00CD6752" w:rsidP="006D2F5F">
            <w:pPr>
              <w:pStyle w:val="Tabulka"/>
              <w:rPr>
                <w:rFonts w:cs="Calibri"/>
                <w:b/>
                <w:szCs w:val="24"/>
              </w:rPr>
            </w:pPr>
          </w:p>
        </w:tc>
        <w:tc>
          <w:tcPr>
            <w:tcW w:w="0" w:type="auto"/>
            <w:shd w:val="clear" w:color="auto" w:fill="auto"/>
          </w:tcPr>
          <w:p w14:paraId="56D36502" w14:textId="77777777" w:rsidR="00CD6752" w:rsidRPr="00DD47DF" w:rsidRDefault="00CD6752" w:rsidP="006D2F5F">
            <w:pPr>
              <w:pStyle w:val="Odstavecseseznamem"/>
              <w:spacing w:before="80" w:after="80"/>
              <w:ind w:left="0"/>
              <w:contextualSpacing w:val="0"/>
              <w:rPr>
                <w:bCs/>
                <w:sz w:val="22"/>
                <w:szCs w:val="22"/>
              </w:rPr>
            </w:pPr>
            <w:r w:rsidRPr="00DD47DF">
              <w:rPr>
                <w:bCs/>
                <w:sz w:val="22"/>
                <w:szCs w:val="22"/>
              </w:rPr>
              <w:t>Postupy zajišťující, aby všechny operace financované z programu používaly účinný systém ukazatelů</w:t>
            </w:r>
          </w:p>
        </w:tc>
        <w:tc>
          <w:tcPr>
            <w:tcW w:w="0" w:type="auto"/>
            <w:shd w:val="clear" w:color="auto" w:fill="auto"/>
          </w:tcPr>
          <w:p w14:paraId="06D6F17F" w14:textId="77777777" w:rsidR="00CD6752" w:rsidRPr="00DD47DF" w:rsidRDefault="00CD6752" w:rsidP="00CE43D2">
            <w:pPr>
              <w:pStyle w:val="DAVA"/>
              <w:spacing w:before="0"/>
              <w:rPr>
                <w:szCs w:val="22"/>
              </w:rPr>
            </w:pPr>
            <w:r w:rsidRPr="00DD47DF">
              <w:rPr>
                <w:rFonts w:ascii="Times New Roman" w:hAnsi="Times New Roman"/>
                <w:sz w:val="22"/>
                <w:szCs w:val="22"/>
                <w:lang w:eastAsia="cs-CZ"/>
              </w:rPr>
              <w:t>Příprava programové dokumentace (příručky pro žadatele a příjemce), které budou reflektovat jich schválená závazná metodická pravidla.</w:t>
            </w:r>
          </w:p>
        </w:tc>
        <w:tc>
          <w:tcPr>
            <w:tcW w:w="1984" w:type="dxa"/>
            <w:shd w:val="clear" w:color="auto" w:fill="auto"/>
          </w:tcPr>
          <w:p w14:paraId="7EFB3A99"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rPr>
              <w:t>31.10. 2015</w:t>
            </w:r>
          </w:p>
        </w:tc>
        <w:tc>
          <w:tcPr>
            <w:tcW w:w="2617" w:type="dxa"/>
            <w:shd w:val="clear" w:color="auto" w:fill="auto"/>
          </w:tcPr>
          <w:p w14:paraId="0703F8E5"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ŘO</w:t>
            </w:r>
          </w:p>
        </w:tc>
      </w:tr>
    </w:tbl>
    <w:p w14:paraId="6E7B989E" w14:textId="77777777" w:rsidR="00790A0D" w:rsidRPr="00DD47DF" w:rsidRDefault="00790A0D" w:rsidP="00790A0D"/>
    <w:p w14:paraId="169AD9C4" w14:textId="77777777" w:rsidR="007E3732" w:rsidRPr="00DD47DF" w:rsidRDefault="007E3732" w:rsidP="00EE7B37">
      <w:pPr>
        <w:pStyle w:val="Titulek"/>
        <w:keepNext/>
        <w:keepLines/>
      </w:pPr>
      <w:r w:rsidRPr="00DD47DF">
        <w:lastRenderedPageBreak/>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26</w:t>
      </w:r>
      <w:r w:rsidR="002756E7" w:rsidRPr="00DD47DF">
        <w:rPr>
          <w:noProof/>
        </w:rPr>
        <w:fldChar w:fldCharType="end"/>
      </w:r>
      <w:r w:rsidRPr="00DD47DF">
        <w:t xml:space="preserve">: </w:t>
      </w:r>
      <w:r w:rsidR="00AE778E" w:rsidRPr="00DD47DF">
        <w:t>Opatření, která je třeba přijmout, aby byly splněny tematické předběžné podmínky</w:t>
      </w:r>
    </w:p>
    <w:tbl>
      <w:tblPr>
        <w:tblW w:w="0" w:type="auto"/>
        <w:tblInd w:w="-72" w:type="dxa"/>
        <w:tblCellMar>
          <w:left w:w="70" w:type="dxa"/>
          <w:right w:w="70" w:type="dxa"/>
        </w:tblCellMar>
        <w:tblLook w:val="04A0" w:firstRow="1" w:lastRow="0" w:firstColumn="1" w:lastColumn="0" w:noHBand="0" w:noVBand="1"/>
      </w:tblPr>
      <w:tblGrid>
        <w:gridCol w:w="2419"/>
        <w:gridCol w:w="1550"/>
        <w:gridCol w:w="6946"/>
        <w:gridCol w:w="1801"/>
        <w:gridCol w:w="1640"/>
      </w:tblGrid>
      <w:tr w:rsidR="006D2F5F" w:rsidRPr="00DD47DF" w14:paraId="0E1A3ECA" w14:textId="77777777" w:rsidTr="00437632">
        <w:trPr>
          <w:trHeight w:val="915"/>
        </w:trPr>
        <w:tc>
          <w:tcPr>
            <w:tcW w:w="0" w:type="auto"/>
            <w:tcBorders>
              <w:top w:val="single" w:sz="8" w:space="0" w:color="auto"/>
              <w:left w:val="single" w:sz="8" w:space="0" w:color="auto"/>
              <w:bottom w:val="single" w:sz="8" w:space="0" w:color="auto"/>
              <w:right w:val="single" w:sz="4" w:space="0" w:color="auto"/>
            </w:tcBorders>
            <w:shd w:val="clear" w:color="auto" w:fill="B8CCE4"/>
            <w:vAlign w:val="center"/>
          </w:tcPr>
          <w:p w14:paraId="4DA0EB20" w14:textId="77777777" w:rsidR="006D2F5F" w:rsidRPr="00DD47DF" w:rsidRDefault="006D2F5F" w:rsidP="006D2F5F">
            <w:pPr>
              <w:pStyle w:val="Tabulka"/>
              <w:keepNext/>
              <w:keepLines/>
              <w:rPr>
                <w:rFonts w:cs="Calibri"/>
              </w:rPr>
            </w:pPr>
            <w:r w:rsidRPr="00DD47DF">
              <w:rPr>
                <w:rFonts w:cs="Calibri"/>
              </w:rPr>
              <w:t>Tematické předběžné podmínky</w:t>
            </w:r>
          </w:p>
        </w:tc>
        <w:tc>
          <w:tcPr>
            <w:tcW w:w="0" w:type="auto"/>
            <w:tcBorders>
              <w:top w:val="single" w:sz="8" w:space="0" w:color="auto"/>
              <w:left w:val="single" w:sz="4" w:space="0" w:color="auto"/>
              <w:bottom w:val="single" w:sz="8" w:space="0" w:color="auto"/>
              <w:right w:val="double" w:sz="6" w:space="0" w:color="auto"/>
            </w:tcBorders>
            <w:shd w:val="clear" w:color="auto" w:fill="B8CCE4"/>
            <w:vAlign w:val="center"/>
          </w:tcPr>
          <w:p w14:paraId="316909EF" w14:textId="77777777" w:rsidR="006D2F5F" w:rsidRPr="00DD47DF" w:rsidRDefault="006D2F5F" w:rsidP="006D2F5F">
            <w:pPr>
              <w:pStyle w:val="Tabulka"/>
              <w:keepNext/>
              <w:keepLines/>
              <w:rPr>
                <w:rFonts w:cs="Calibri"/>
              </w:rPr>
            </w:pPr>
            <w:r w:rsidRPr="00DD47DF">
              <w:rPr>
                <w:rFonts w:cs="Calibri"/>
              </w:rPr>
              <w:t>Nesplněná kritéria</w:t>
            </w:r>
          </w:p>
        </w:tc>
        <w:tc>
          <w:tcPr>
            <w:tcW w:w="6946" w:type="dxa"/>
            <w:tcBorders>
              <w:top w:val="single" w:sz="8" w:space="0" w:color="auto"/>
              <w:left w:val="nil"/>
              <w:bottom w:val="single" w:sz="8" w:space="0" w:color="auto"/>
              <w:right w:val="double" w:sz="6" w:space="0" w:color="auto"/>
            </w:tcBorders>
            <w:shd w:val="clear" w:color="auto" w:fill="B8CCE4"/>
            <w:vAlign w:val="center"/>
          </w:tcPr>
          <w:p w14:paraId="25AEF177" w14:textId="77777777" w:rsidR="006D2F5F" w:rsidRPr="00DD47DF" w:rsidRDefault="006D2F5F" w:rsidP="006D2F5F">
            <w:pPr>
              <w:pStyle w:val="Tabulka"/>
              <w:keepNext/>
              <w:keepLines/>
              <w:rPr>
                <w:rFonts w:cs="Calibri"/>
              </w:rPr>
            </w:pPr>
            <w:r w:rsidRPr="00DD47DF">
              <w:rPr>
                <w:rFonts w:cs="Calibri"/>
              </w:rPr>
              <w:t>Opatření, která je třeba přijmout</w:t>
            </w:r>
            <w:r w:rsidRPr="00DD47DF">
              <w:rPr>
                <w:rStyle w:val="Znakapoznpodarou"/>
                <w:rFonts w:cs="Calibri"/>
              </w:rPr>
              <w:footnoteReference w:id="105"/>
            </w:r>
          </w:p>
        </w:tc>
        <w:tc>
          <w:tcPr>
            <w:tcW w:w="1801" w:type="dxa"/>
            <w:tcBorders>
              <w:top w:val="single" w:sz="8" w:space="0" w:color="auto"/>
              <w:left w:val="nil"/>
              <w:bottom w:val="single" w:sz="8" w:space="0" w:color="auto"/>
              <w:right w:val="double" w:sz="6" w:space="0" w:color="auto"/>
            </w:tcBorders>
            <w:shd w:val="clear" w:color="auto" w:fill="B8CCE4"/>
            <w:vAlign w:val="center"/>
          </w:tcPr>
          <w:p w14:paraId="43721B53" w14:textId="77777777" w:rsidR="006D2F5F" w:rsidRPr="00DD47DF" w:rsidRDefault="006D2F5F" w:rsidP="006D2F5F">
            <w:pPr>
              <w:pStyle w:val="Tabulka"/>
              <w:keepNext/>
              <w:keepLines/>
              <w:rPr>
                <w:rFonts w:cs="Calibri"/>
              </w:rPr>
            </w:pPr>
            <w:r w:rsidRPr="00DD47DF">
              <w:rPr>
                <w:rFonts w:cs="Calibri"/>
              </w:rPr>
              <w:t>Lhůta (datum)</w:t>
            </w:r>
          </w:p>
        </w:tc>
        <w:tc>
          <w:tcPr>
            <w:tcW w:w="0" w:type="auto"/>
            <w:tcBorders>
              <w:top w:val="single" w:sz="8" w:space="0" w:color="auto"/>
              <w:left w:val="nil"/>
              <w:bottom w:val="single" w:sz="8" w:space="0" w:color="auto"/>
              <w:right w:val="single" w:sz="8" w:space="0" w:color="auto"/>
            </w:tcBorders>
            <w:shd w:val="clear" w:color="auto" w:fill="B8CCE4"/>
            <w:vAlign w:val="center"/>
          </w:tcPr>
          <w:p w14:paraId="0B8F28BB" w14:textId="77777777" w:rsidR="006D2F5F" w:rsidRPr="00DD47DF" w:rsidRDefault="006D2F5F" w:rsidP="006D2F5F">
            <w:pPr>
              <w:pStyle w:val="Tabulka"/>
              <w:keepNext/>
              <w:keepLines/>
              <w:rPr>
                <w:rFonts w:cs="Calibri"/>
              </w:rPr>
            </w:pPr>
            <w:r w:rsidRPr="00DD47DF">
              <w:rPr>
                <w:rFonts w:cs="Calibri"/>
              </w:rPr>
              <w:t>Subjekty odpovědné za plnění</w:t>
            </w:r>
          </w:p>
        </w:tc>
      </w:tr>
      <w:tr w:rsidR="00DD47DF" w:rsidRPr="00DD47DF" w14:paraId="69034EB6" w14:textId="77777777" w:rsidTr="00DD47DF">
        <w:trPr>
          <w:trHeight w:val="2991"/>
        </w:trPr>
        <w:tc>
          <w:tcPr>
            <w:tcW w:w="0" w:type="auto"/>
            <w:vMerge w:val="restart"/>
            <w:tcBorders>
              <w:top w:val="nil"/>
              <w:left w:val="single" w:sz="8" w:space="0" w:color="auto"/>
              <w:bottom w:val="single" w:sz="4" w:space="0" w:color="000000"/>
              <w:right w:val="single" w:sz="4" w:space="0" w:color="auto"/>
            </w:tcBorders>
            <w:shd w:val="clear" w:color="auto" w:fill="auto"/>
          </w:tcPr>
          <w:p w14:paraId="1FE78F58" w14:textId="77777777" w:rsidR="00DD47DF" w:rsidRPr="00DD47DF" w:rsidRDefault="00DD47DF" w:rsidP="006D2F5F">
            <w:pPr>
              <w:pStyle w:val="Tabulka"/>
              <w:jc w:val="left"/>
              <w:rPr>
                <w:rFonts w:cs="Calibri"/>
                <w:b/>
              </w:rPr>
            </w:pPr>
            <w:r w:rsidRPr="00DD47DF">
              <w:rPr>
                <w:rFonts w:cs="Calibri"/>
                <w:b/>
              </w:rPr>
              <w:t xml:space="preserve">1.1. Výzkum a inovace: Existence národní nebo regionální strategie pro inteligentní specializaci v souladu s národním programem reforem na podporu soukromých výdajů na výzkum a inovace, která je v souladu s rysy dobře fungujících celostátních nebo regionálních systémů výzkumu a inovací. </w:t>
            </w:r>
          </w:p>
          <w:p w14:paraId="1172F325" w14:textId="77777777" w:rsidR="00DD47DF" w:rsidRPr="00DD47DF" w:rsidRDefault="00DD47DF" w:rsidP="006D2F5F">
            <w:pPr>
              <w:pStyle w:val="Tabulka"/>
              <w:jc w:val="left"/>
              <w:rPr>
                <w:rFonts w:cs="Calibri"/>
                <w:b/>
              </w:rPr>
            </w:pPr>
          </w:p>
        </w:tc>
        <w:tc>
          <w:tcPr>
            <w:tcW w:w="0" w:type="auto"/>
            <w:tcBorders>
              <w:top w:val="nil"/>
              <w:left w:val="nil"/>
              <w:bottom w:val="single" w:sz="4" w:space="0" w:color="auto"/>
              <w:right w:val="single" w:sz="4" w:space="0" w:color="auto"/>
            </w:tcBorders>
            <w:shd w:val="clear" w:color="auto" w:fill="auto"/>
          </w:tcPr>
          <w:p w14:paraId="01E6938F" w14:textId="77777777" w:rsidR="00DD47DF" w:rsidRPr="00DD47DF" w:rsidRDefault="00DD47DF" w:rsidP="006D2F5F">
            <w:pPr>
              <w:pStyle w:val="Tabulka"/>
              <w:jc w:val="left"/>
              <w:rPr>
                <w:rFonts w:cs="Calibri"/>
              </w:rPr>
            </w:pPr>
            <w:r w:rsidRPr="00DD47DF">
              <w:rPr>
                <w:rFonts w:cs="Calibri"/>
              </w:rPr>
              <w:t>Je k dispozici vnitrostátní nebo regionální Strategie pro inteligentní specializaci, která:</w:t>
            </w:r>
          </w:p>
          <w:p w14:paraId="05B78282" w14:textId="77777777" w:rsidR="00DD47DF" w:rsidRPr="00DD47DF" w:rsidRDefault="00DD47DF" w:rsidP="006D2F5F">
            <w:pPr>
              <w:pStyle w:val="Tabulka"/>
              <w:jc w:val="left"/>
              <w:rPr>
                <w:rFonts w:cs="Calibri"/>
              </w:rPr>
            </w:pPr>
            <w:r w:rsidRPr="00DD47DF">
              <w:rPr>
                <w:rFonts w:cs="Calibri"/>
              </w:rPr>
              <w:t>• obsahuje mechanismus sledování</w:t>
            </w:r>
          </w:p>
        </w:tc>
        <w:tc>
          <w:tcPr>
            <w:tcW w:w="6946" w:type="dxa"/>
            <w:tcBorders>
              <w:top w:val="nil"/>
              <w:left w:val="double" w:sz="6" w:space="0" w:color="auto"/>
              <w:bottom w:val="single" w:sz="4" w:space="0" w:color="auto"/>
              <w:right w:val="double" w:sz="6" w:space="0" w:color="auto"/>
            </w:tcBorders>
            <w:shd w:val="clear" w:color="auto" w:fill="auto"/>
          </w:tcPr>
          <w:p w14:paraId="6C16797C" w14:textId="77777777" w:rsidR="00DD47DF" w:rsidRPr="00DD47DF" w:rsidRDefault="00DD47DF" w:rsidP="00C85543">
            <w:pPr>
              <w:pStyle w:val="DAVA"/>
              <w:spacing w:before="0" w:after="120" w:line="276" w:lineRule="auto"/>
              <w:rPr>
                <w:rFonts w:ascii="Times New Roman" w:hAnsi="Times New Roman"/>
                <w:sz w:val="22"/>
                <w:szCs w:val="22"/>
              </w:rPr>
            </w:pPr>
            <w:r w:rsidRPr="00DD47DF">
              <w:rPr>
                <w:rFonts w:ascii="Times New Roman" w:hAnsi="Times New Roman"/>
                <w:sz w:val="22"/>
                <w:szCs w:val="22"/>
              </w:rPr>
              <w:t>Dle vyjádření EK ze dne 12.12.2014 kritérium nesplněno dostatečně.</w:t>
            </w:r>
          </w:p>
          <w:p w14:paraId="353F8D17" w14:textId="77777777" w:rsidR="00DD47DF" w:rsidRPr="00DD47DF" w:rsidRDefault="00DD47DF" w:rsidP="00C85543">
            <w:pPr>
              <w:pStyle w:val="Tabulka"/>
              <w:jc w:val="left"/>
            </w:pPr>
            <w:r w:rsidRPr="00DD47DF">
              <w:t>Monitorování Národní RIS3 strategie je rozpracováno v subkapitole 7.2 textu Národní RIS3, s důrazem na monitorovací zprávy a roli jednotlivých orgánů při jejich zpracování a na získávání vstupů pro monitorování z úrovně operačních programů a orgánů zodpovědných za implementaci národních podpůrných nástrojů. Metodika monitorování bude na základě požadavku EK dopracována popisem role krajských subjektů při monitorování intervencí RIS3, které jsou realizovány z krajské úrovně jako součást intervencí navržených v krajských přílohách Národní RIS3. Dále bude také dopracován a aktualizován návrh monitorovacích indikátorů Národní RIS3.</w:t>
            </w:r>
          </w:p>
        </w:tc>
        <w:tc>
          <w:tcPr>
            <w:tcW w:w="1801" w:type="dxa"/>
            <w:tcBorders>
              <w:top w:val="nil"/>
              <w:left w:val="nil"/>
              <w:bottom w:val="single" w:sz="4" w:space="0" w:color="auto"/>
              <w:right w:val="double" w:sz="6" w:space="0" w:color="auto"/>
            </w:tcBorders>
            <w:shd w:val="clear" w:color="auto" w:fill="auto"/>
          </w:tcPr>
          <w:p w14:paraId="62146A12" w14:textId="77777777" w:rsidR="00DD47DF" w:rsidRPr="00DD47DF" w:rsidRDefault="00DD47DF" w:rsidP="006D2F5F">
            <w:pPr>
              <w:pStyle w:val="Tabulka"/>
              <w:jc w:val="left"/>
              <w:rPr>
                <w:rFonts w:cs="Calibri"/>
              </w:rPr>
            </w:pPr>
            <w:r w:rsidRPr="00DD47DF">
              <w:rPr>
                <w:rFonts w:cs="Calibri"/>
              </w:rPr>
              <w:t>30.4.2015</w:t>
            </w:r>
          </w:p>
        </w:tc>
        <w:tc>
          <w:tcPr>
            <w:tcW w:w="0" w:type="auto"/>
            <w:tcBorders>
              <w:top w:val="nil"/>
              <w:left w:val="nil"/>
              <w:bottom w:val="single" w:sz="4" w:space="0" w:color="auto"/>
              <w:right w:val="single" w:sz="8" w:space="0" w:color="auto"/>
            </w:tcBorders>
            <w:shd w:val="clear" w:color="auto" w:fill="auto"/>
          </w:tcPr>
          <w:p w14:paraId="44360FA7" w14:textId="77777777" w:rsidR="00DD47DF" w:rsidRPr="00DD47DF" w:rsidRDefault="00DD47DF" w:rsidP="00DD47DF">
            <w:pPr>
              <w:pStyle w:val="Tabulka"/>
              <w:jc w:val="left"/>
              <w:rPr>
                <w:rFonts w:cs="Calibri"/>
              </w:rPr>
            </w:pPr>
            <w:r w:rsidRPr="00DD47DF">
              <w:t>Do 8. 12. 2014 MŠMT. Po tomto datu přebral agendu Úřad vlády (místopředseda vlády pro vědu, výzkum a inovace)</w:t>
            </w:r>
          </w:p>
        </w:tc>
      </w:tr>
      <w:tr w:rsidR="006D2F5F" w:rsidRPr="00DD47DF" w14:paraId="4D15A9BB" w14:textId="77777777" w:rsidTr="00DD47DF">
        <w:trPr>
          <w:trHeight w:val="765"/>
        </w:trPr>
        <w:tc>
          <w:tcPr>
            <w:tcW w:w="0" w:type="auto"/>
            <w:vMerge/>
            <w:tcBorders>
              <w:top w:val="nil"/>
              <w:left w:val="single" w:sz="8" w:space="0" w:color="auto"/>
              <w:bottom w:val="single" w:sz="4" w:space="0" w:color="auto"/>
              <w:right w:val="single" w:sz="4" w:space="0" w:color="auto"/>
            </w:tcBorders>
            <w:shd w:val="clear" w:color="auto" w:fill="auto"/>
          </w:tcPr>
          <w:p w14:paraId="3EEF7C2D" w14:textId="77777777" w:rsidR="006D2F5F" w:rsidRPr="00DD47DF" w:rsidRDefault="006D2F5F" w:rsidP="006D2F5F">
            <w:pPr>
              <w:pStyle w:val="Tabulka"/>
              <w:jc w:val="left"/>
              <w:rPr>
                <w:rFonts w:cs="Calibri"/>
                <w:b/>
              </w:rPr>
            </w:pPr>
          </w:p>
        </w:tc>
        <w:tc>
          <w:tcPr>
            <w:tcW w:w="0" w:type="auto"/>
            <w:tcBorders>
              <w:top w:val="single" w:sz="4" w:space="0" w:color="auto"/>
              <w:left w:val="nil"/>
              <w:bottom w:val="single" w:sz="4" w:space="0" w:color="auto"/>
              <w:right w:val="single" w:sz="4" w:space="0" w:color="auto"/>
            </w:tcBorders>
            <w:shd w:val="clear" w:color="auto" w:fill="auto"/>
          </w:tcPr>
          <w:p w14:paraId="047B9EF2" w14:textId="77777777" w:rsidR="006D2F5F" w:rsidRPr="00DD47DF" w:rsidRDefault="006D2F5F" w:rsidP="006D2F5F">
            <w:pPr>
              <w:pStyle w:val="Tabulka"/>
              <w:jc w:val="left"/>
              <w:rPr>
                <w:rFonts w:cs="Calibri"/>
              </w:rPr>
            </w:pPr>
            <w:r w:rsidRPr="00DD47DF">
              <w:rPr>
                <w:rFonts w:cs="Calibri"/>
              </w:rPr>
              <w:t>Byl přijat rámec, který vymezuje dostupné rozpočtové zdroje pro výzkum a inovace.</w:t>
            </w:r>
          </w:p>
        </w:tc>
        <w:tc>
          <w:tcPr>
            <w:tcW w:w="6946" w:type="dxa"/>
            <w:tcBorders>
              <w:top w:val="single" w:sz="4" w:space="0" w:color="auto"/>
              <w:left w:val="double" w:sz="6" w:space="0" w:color="auto"/>
              <w:bottom w:val="single" w:sz="4" w:space="0" w:color="auto"/>
              <w:right w:val="double" w:sz="6" w:space="0" w:color="auto"/>
            </w:tcBorders>
            <w:shd w:val="clear" w:color="auto" w:fill="auto"/>
          </w:tcPr>
          <w:p w14:paraId="158D602A" w14:textId="77777777" w:rsidR="00C85543" w:rsidRPr="00DD47DF" w:rsidRDefault="00C85543" w:rsidP="00C85543">
            <w:pPr>
              <w:spacing w:line="280" w:lineRule="exact"/>
              <w:jc w:val="both"/>
              <w:rPr>
                <w:sz w:val="22"/>
                <w:szCs w:val="22"/>
              </w:rPr>
            </w:pPr>
            <w:r w:rsidRPr="00DD47DF">
              <w:rPr>
                <w:sz w:val="22"/>
                <w:szCs w:val="22"/>
              </w:rPr>
              <w:t xml:space="preserve">Dle vyjádření EK ze dne 12.12.2014 kritérium nesplněno dostatečně. </w:t>
            </w:r>
          </w:p>
          <w:p w14:paraId="6BAEF236" w14:textId="77777777" w:rsidR="006D2F5F" w:rsidRPr="00DD47DF" w:rsidRDefault="00C85543" w:rsidP="00C85543">
            <w:pPr>
              <w:pStyle w:val="Tabulka"/>
              <w:jc w:val="left"/>
              <w:rPr>
                <w:rFonts w:cs="Calibri"/>
              </w:rPr>
            </w:pPr>
            <w:r w:rsidRPr="00DD47DF">
              <w:t>Obecný rámec pro vymezení dostupných rozpočtových zdrojů a priorit pro financování VaVaI obsahuje NP VaVaI (a její Aktualizace).). Z ní vychází principy pro přípravu rozpočtu na VaVaI a následně vlastní návrh a střednědobý výhled rozpočtu na VaVaI, zpracovávaný Radou pro výzkum, vývoj a inovace.  V průběhu roku 2015 bude na základě připomínky EK Úřadem vlády provedena revize zdrojů veřejných rozpočtů na podporu VaVaI (národních i krajských) tak, aby bylo možno diferencovat zdroje určené na implementaci RIS3 a zdroje ostatní</w:t>
            </w:r>
            <w:r w:rsidR="001315A2" w:rsidRPr="00DD47DF">
              <w:t xml:space="preserve"> (s termínem březen 2015 u krajských zdrojů na rok 2015, a termínem září 2015 u zdrojů národních na rok 2015 s výhledem na roky 2016-17).</w:t>
            </w:r>
          </w:p>
        </w:tc>
        <w:tc>
          <w:tcPr>
            <w:tcW w:w="1801" w:type="dxa"/>
            <w:tcBorders>
              <w:top w:val="single" w:sz="4" w:space="0" w:color="auto"/>
              <w:left w:val="nil"/>
              <w:bottom w:val="single" w:sz="4" w:space="0" w:color="auto"/>
              <w:right w:val="double" w:sz="6" w:space="0" w:color="auto"/>
            </w:tcBorders>
            <w:shd w:val="clear" w:color="auto" w:fill="auto"/>
          </w:tcPr>
          <w:p w14:paraId="318F0258" w14:textId="77777777" w:rsidR="006D2F5F" w:rsidRPr="00DD47DF" w:rsidRDefault="00C85543" w:rsidP="006D2F5F">
            <w:pPr>
              <w:pStyle w:val="Tabulka"/>
              <w:jc w:val="left"/>
              <w:rPr>
                <w:rFonts w:cs="Calibri"/>
              </w:rPr>
            </w:pPr>
            <w:r w:rsidRPr="00DD47DF">
              <w:rPr>
                <w:rFonts w:cs="Calibri"/>
              </w:rPr>
              <w:t>30.9.2015</w:t>
            </w:r>
          </w:p>
        </w:tc>
        <w:tc>
          <w:tcPr>
            <w:tcW w:w="0" w:type="auto"/>
            <w:tcBorders>
              <w:top w:val="single" w:sz="4" w:space="0" w:color="auto"/>
              <w:left w:val="nil"/>
              <w:bottom w:val="single" w:sz="4" w:space="0" w:color="auto"/>
              <w:right w:val="single" w:sz="8" w:space="0" w:color="auto"/>
            </w:tcBorders>
            <w:shd w:val="clear" w:color="auto" w:fill="auto"/>
          </w:tcPr>
          <w:p w14:paraId="5659C634" w14:textId="77777777" w:rsidR="006D2F5F" w:rsidRPr="00DD47DF" w:rsidRDefault="001315A2" w:rsidP="006D2F5F">
            <w:pPr>
              <w:pStyle w:val="Tabulka"/>
              <w:jc w:val="left"/>
              <w:rPr>
                <w:rFonts w:cs="Calibri"/>
              </w:rPr>
            </w:pPr>
            <w:r w:rsidRPr="00DD47DF">
              <w:t>Do 8. 12. 2014 MŠMT. Po tomto datu přebral agendu Úřad vlády (místopředseda vlády pro vědu, výzkum a inovace)</w:t>
            </w:r>
          </w:p>
        </w:tc>
      </w:tr>
      <w:tr w:rsidR="00DD47DF" w:rsidRPr="00DD47DF" w14:paraId="52963CBC" w14:textId="77777777" w:rsidTr="00DD47DF">
        <w:trPr>
          <w:trHeight w:val="3409"/>
        </w:trPr>
        <w:tc>
          <w:tcPr>
            <w:tcW w:w="0" w:type="auto"/>
            <w:vMerge w:val="restart"/>
            <w:tcBorders>
              <w:top w:val="single" w:sz="4" w:space="0" w:color="auto"/>
              <w:left w:val="single" w:sz="8" w:space="0" w:color="auto"/>
              <w:right w:val="single" w:sz="4" w:space="0" w:color="auto"/>
            </w:tcBorders>
            <w:shd w:val="clear" w:color="auto" w:fill="auto"/>
          </w:tcPr>
          <w:p w14:paraId="531D59E7" w14:textId="77777777" w:rsidR="00DD47DF" w:rsidRPr="00DD47DF" w:rsidRDefault="00DD47DF" w:rsidP="006D2F5F">
            <w:pPr>
              <w:pStyle w:val="Tabulka"/>
              <w:jc w:val="left"/>
              <w:rPr>
                <w:rFonts w:cs="Calibri"/>
                <w:b/>
              </w:rPr>
            </w:pPr>
            <w:r w:rsidRPr="00DD47DF">
              <w:rPr>
                <w:rFonts w:cs="Calibri"/>
                <w:b/>
              </w:rPr>
              <w:lastRenderedPageBreak/>
              <w:t>2.1: Digitální růst: Strategický rámec politiky pro digitální růst, který má podněcovat cenově dostupné, kvalitní a interoperabilní soukromé a veřejné služby v oblasti IKT a zvýšit míru jejich využívání občany (včetně zranitelných skupin), podniky a orgány veřejné správy včetně přeshraničních iniciativ</w:t>
            </w:r>
          </w:p>
        </w:tc>
        <w:tc>
          <w:tcPr>
            <w:tcW w:w="0" w:type="auto"/>
            <w:tcBorders>
              <w:top w:val="single" w:sz="4" w:space="0" w:color="auto"/>
              <w:left w:val="nil"/>
              <w:bottom w:val="single" w:sz="4" w:space="0" w:color="auto"/>
              <w:right w:val="single" w:sz="4" w:space="0" w:color="auto"/>
            </w:tcBorders>
            <w:shd w:val="clear" w:color="auto" w:fill="auto"/>
          </w:tcPr>
          <w:p w14:paraId="280ECD22" w14:textId="77777777" w:rsidR="00DD47DF" w:rsidRPr="00DD47DF" w:rsidRDefault="00DD47DF" w:rsidP="006D2F5F">
            <w:pPr>
              <w:pStyle w:val="Tabulka"/>
              <w:jc w:val="left"/>
              <w:rPr>
                <w:rFonts w:cs="Calibri"/>
              </w:rPr>
            </w:pPr>
            <w:r w:rsidRPr="00DD47DF">
              <w:rPr>
                <w:rFonts w:cs="Calibri"/>
              </w:rPr>
              <w:t>V rámci národní nebo regionální strategie pro inteligentní specializaci je vypracován například strategický rámec politiky pro digitální růst, který obsahuje:</w:t>
            </w:r>
          </w:p>
        </w:tc>
        <w:tc>
          <w:tcPr>
            <w:tcW w:w="6946" w:type="dxa"/>
            <w:tcBorders>
              <w:top w:val="single" w:sz="4" w:space="0" w:color="auto"/>
              <w:left w:val="double" w:sz="6" w:space="0" w:color="auto"/>
              <w:bottom w:val="single" w:sz="4" w:space="0" w:color="auto"/>
              <w:right w:val="double" w:sz="6" w:space="0" w:color="auto"/>
            </w:tcBorders>
            <w:shd w:val="clear" w:color="auto" w:fill="auto"/>
          </w:tcPr>
          <w:p w14:paraId="5AE05F80" w14:textId="77777777" w:rsidR="00DD47DF" w:rsidRPr="00DD47DF" w:rsidRDefault="00DD47DF" w:rsidP="00B83F1D">
            <w:pPr>
              <w:pStyle w:val="Tabulka"/>
              <w:jc w:val="left"/>
              <w:rPr>
                <w:rFonts w:cs="Calibri"/>
              </w:rPr>
            </w:pPr>
            <w:r w:rsidRPr="00DD47DF">
              <w:rPr>
                <w:rFonts w:cs="Calibri"/>
              </w:rPr>
              <w:t>Připravuje se „Strategie digitální gramotnosti ČR na období 2015 – 2020“ (podkladové analýzy, SWOT analýza, příprava návrhu strategie).</w:t>
            </w:r>
          </w:p>
          <w:p w14:paraId="6CBC9CA5" w14:textId="77777777" w:rsidR="00DD47DF" w:rsidRPr="00DD47DF" w:rsidRDefault="00DD47DF" w:rsidP="00B83F1D">
            <w:pPr>
              <w:pStyle w:val="Tabulka"/>
              <w:jc w:val="left"/>
              <w:rPr>
                <w:rFonts w:cs="Calibri"/>
              </w:rPr>
            </w:pPr>
          </w:p>
          <w:p w14:paraId="1AD25C68" w14:textId="77777777" w:rsidR="00DD47DF" w:rsidRPr="00DD47DF" w:rsidRDefault="00DD47DF" w:rsidP="00B83F1D">
            <w:pPr>
              <w:pStyle w:val="Tabulka"/>
              <w:jc w:val="left"/>
              <w:rPr>
                <w:rFonts w:cs="Calibri"/>
              </w:rPr>
            </w:pPr>
            <w:r w:rsidRPr="00DD47DF">
              <w:rPr>
                <w:rFonts w:cs="Calibri"/>
              </w:rPr>
              <w:t>Indikativní HMG:</w:t>
            </w:r>
          </w:p>
          <w:p w14:paraId="132FBC01" w14:textId="77777777" w:rsidR="00DD47DF" w:rsidRPr="00DD47DF" w:rsidRDefault="00DD47DF" w:rsidP="00B83F1D">
            <w:pPr>
              <w:pStyle w:val="Tabulka"/>
              <w:jc w:val="left"/>
              <w:rPr>
                <w:rFonts w:cs="Calibri"/>
              </w:rPr>
            </w:pPr>
            <w:r w:rsidRPr="00DD47DF">
              <w:rPr>
                <w:rFonts w:cs="Calibri"/>
              </w:rPr>
              <w:t>2014 - Příprava dokumentu (práce na strategii již byly zahájeny ve spolupráci MPSV s MŠMT)</w:t>
            </w:r>
          </w:p>
          <w:p w14:paraId="294C2B03" w14:textId="77777777" w:rsidR="00DD47DF" w:rsidRPr="00DD47DF" w:rsidRDefault="00DD47DF" w:rsidP="00B83F1D">
            <w:pPr>
              <w:jc w:val="both"/>
              <w:rPr>
                <w:rFonts w:cs="Calibri"/>
                <w:sz w:val="22"/>
                <w:szCs w:val="22"/>
              </w:rPr>
            </w:pPr>
            <w:r w:rsidRPr="00DD47DF">
              <w:rPr>
                <w:rFonts w:cs="Calibri"/>
                <w:sz w:val="22"/>
                <w:szCs w:val="22"/>
              </w:rPr>
              <w:t>Leden 2015: expertní konzultace k první verzi dokumentu (kulaté stoly) – připomínky z veřejného připomínkování byly vypořádány a zapracovány do konce ledna 2015</w:t>
            </w:r>
          </w:p>
          <w:p w14:paraId="6A1AD1DA" w14:textId="77777777" w:rsidR="00DD47DF" w:rsidRPr="00DD47DF" w:rsidRDefault="00DD47DF" w:rsidP="00B83F1D">
            <w:pPr>
              <w:jc w:val="both"/>
              <w:rPr>
                <w:rFonts w:cs="Calibri"/>
                <w:sz w:val="22"/>
                <w:szCs w:val="22"/>
              </w:rPr>
            </w:pPr>
            <w:r w:rsidRPr="00DD47DF">
              <w:rPr>
                <w:rFonts w:cs="Calibri"/>
                <w:sz w:val="22"/>
                <w:szCs w:val="22"/>
              </w:rPr>
              <w:t>Únor 2015: do konce února byla dopracována Strategie do druhé verze, která se následně předloží do mezirezortního připomínkového řízení.</w:t>
            </w:r>
          </w:p>
          <w:p w14:paraId="21F18824" w14:textId="77777777" w:rsidR="00DD47DF" w:rsidRPr="00DD47DF" w:rsidRDefault="00DD47DF" w:rsidP="00B83F1D">
            <w:pPr>
              <w:jc w:val="both"/>
              <w:rPr>
                <w:rFonts w:cs="Calibri"/>
              </w:rPr>
            </w:pPr>
            <w:r w:rsidRPr="00DD47DF">
              <w:rPr>
                <w:rFonts w:cs="Calibri"/>
                <w:sz w:val="22"/>
                <w:szCs w:val="22"/>
              </w:rPr>
              <w:t>30. 6. 2015 - Nejzazší termín schválení Strategie Vládou ČR.</w:t>
            </w:r>
          </w:p>
        </w:tc>
        <w:tc>
          <w:tcPr>
            <w:tcW w:w="1801" w:type="dxa"/>
            <w:tcBorders>
              <w:top w:val="single" w:sz="4" w:space="0" w:color="auto"/>
              <w:left w:val="nil"/>
              <w:bottom w:val="single" w:sz="4" w:space="0" w:color="auto"/>
              <w:right w:val="double" w:sz="6" w:space="0" w:color="auto"/>
            </w:tcBorders>
            <w:shd w:val="clear" w:color="auto" w:fill="auto"/>
          </w:tcPr>
          <w:p w14:paraId="4A008ECA" w14:textId="77777777" w:rsidR="00DD47DF" w:rsidRPr="00DD47DF" w:rsidRDefault="00DD47DF" w:rsidP="006D2F5F">
            <w:pPr>
              <w:pStyle w:val="Tabulka"/>
              <w:jc w:val="left"/>
              <w:rPr>
                <w:rFonts w:cs="Calibri"/>
              </w:rPr>
            </w:pPr>
            <w:r w:rsidRPr="00DD47DF">
              <w:rPr>
                <w:rFonts w:cs="Calibri"/>
              </w:rPr>
              <w:t>Do 30.6.2015</w:t>
            </w:r>
          </w:p>
          <w:p w14:paraId="1272C0B0" w14:textId="77777777" w:rsidR="00DD47DF" w:rsidRPr="00DD47DF" w:rsidRDefault="00DD47DF" w:rsidP="006D2F5F">
            <w:pPr>
              <w:pStyle w:val="Tabulka"/>
              <w:jc w:val="left"/>
              <w:rPr>
                <w:rFonts w:cs="Calibri"/>
              </w:rPr>
            </w:pPr>
          </w:p>
        </w:tc>
        <w:tc>
          <w:tcPr>
            <w:tcW w:w="0" w:type="auto"/>
            <w:tcBorders>
              <w:top w:val="single" w:sz="4" w:space="0" w:color="auto"/>
              <w:left w:val="nil"/>
              <w:bottom w:val="single" w:sz="4" w:space="0" w:color="auto"/>
              <w:right w:val="single" w:sz="8" w:space="0" w:color="auto"/>
            </w:tcBorders>
            <w:shd w:val="clear" w:color="auto" w:fill="auto"/>
          </w:tcPr>
          <w:p w14:paraId="5756E997" w14:textId="77777777" w:rsidR="00DD47DF" w:rsidRPr="00DD47DF" w:rsidRDefault="00DD47DF" w:rsidP="006D2F5F">
            <w:pPr>
              <w:pStyle w:val="Tabulka"/>
              <w:jc w:val="left"/>
              <w:rPr>
                <w:rFonts w:cs="Calibri"/>
              </w:rPr>
            </w:pPr>
            <w:r w:rsidRPr="00DD47DF">
              <w:rPr>
                <w:rFonts w:cs="Calibri"/>
              </w:rPr>
              <w:t xml:space="preserve">MPSV </w:t>
            </w:r>
          </w:p>
          <w:p w14:paraId="3C4C34E6" w14:textId="77777777" w:rsidR="00DD47DF" w:rsidRPr="00DD47DF" w:rsidRDefault="00DD47DF" w:rsidP="006D2F5F">
            <w:pPr>
              <w:pStyle w:val="Tabulka"/>
              <w:jc w:val="left"/>
            </w:pPr>
            <w:r w:rsidRPr="00DD47DF">
              <w:rPr>
                <w:rFonts w:cs="Calibri"/>
              </w:rPr>
              <w:t xml:space="preserve">MŠMT </w:t>
            </w:r>
          </w:p>
        </w:tc>
      </w:tr>
      <w:tr w:rsidR="006D2F5F" w:rsidRPr="00DD47DF" w14:paraId="398E22DD" w14:textId="77777777" w:rsidTr="00DD47DF">
        <w:trPr>
          <w:trHeight w:val="942"/>
        </w:trPr>
        <w:tc>
          <w:tcPr>
            <w:tcW w:w="0" w:type="auto"/>
            <w:vMerge/>
            <w:tcBorders>
              <w:left w:val="single" w:sz="8" w:space="0" w:color="auto"/>
              <w:right w:val="single" w:sz="4" w:space="0" w:color="auto"/>
            </w:tcBorders>
            <w:shd w:val="clear" w:color="auto" w:fill="auto"/>
          </w:tcPr>
          <w:p w14:paraId="68A4E8B0" w14:textId="77777777" w:rsidR="006D2F5F" w:rsidRPr="00DD47DF" w:rsidRDefault="006D2F5F" w:rsidP="006D2F5F">
            <w:pPr>
              <w:pStyle w:val="Tabulka"/>
              <w:rPr>
                <w:rFonts w:cs="Calibri"/>
                <w:b/>
              </w:rPr>
            </w:pPr>
          </w:p>
        </w:tc>
        <w:tc>
          <w:tcPr>
            <w:tcW w:w="0" w:type="auto"/>
            <w:vMerge w:val="restart"/>
            <w:tcBorders>
              <w:top w:val="single" w:sz="4" w:space="0" w:color="auto"/>
              <w:left w:val="nil"/>
              <w:right w:val="single" w:sz="4" w:space="0" w:color="auto"/>
            </w:tcBorders>
            <w:shd w:val="clear" w:color="auto" w:fill="auto"/>
          </w:tcPr>
          <w:p w14:paraId="197F9376" w14:textId="77777777" w:rsidR="006D2F5F" w:rsidRPr="00DD47DF" w:rsidRDefault="006D2F5F" w:rsidP="006D2F5F">
            <w:pPr>
              <w:pStyle w:val="Tabulka"/>
              <w:jc w:val="left"/>
              <w:rPr>
                <w:rFonts w:cs="Calibri"/>
              </w:rPr>
            </w:pPr>
            <w:r w:rsidRPr="00DD47DF">
              <w:rPr>
                <w:rFonts w:cs="Calibri"/>
              </w:rPr>
              <w:t xml:space="preserve">• ukazatele umožňující měření pokroku zásahů v oblastech, jako jsou počítačová gramotnost, digitální začlenění, digitální </w:t>
            </w:r>
            <w:r w:rsidRPr="00DD47DF">
              <w:rPr>
                <w:rFonts w:cs="Calibri"/>
              </w:rPr>
              <w:lastRenderedPageBreak/>
              <w:t>přístupnost a pokrok v elektronickém zdravotnictví v mezích článku 168 SFEU, jež jsou v souladu se stávajícími příslušnými unijními vnitrostátními nebo regionálními strategiemi pro jednotlivá odvětví,</w:t>
            </w:r>
          </w:p>
        </w:tc>
        <w:tc>
          <w:tcPr>
            <w:tcW w:w="6946" w:type="dxa"/>
            <w:tcBorders>
              <w:top w:val="single" w:sz="4" w:space="0" w:color="auto"/>
              <w:left w:val="double" w:sz="6" w:space="0" w:color="auto"/>
              <w:bottom w:val="single" w:sz="4" w:space="0" w:color="auto"/>
              <w:right w:val="double" w:sz="6" w:space="0" w:color="auto"/>
            </w:tcBorders>
            <w:shd w:val="clear" w:color="auto" w:fill="auto"/>
          </w:tcPr>
          <w:p w14:paraId="4E48E271" w14:textId="77777777" w:rsidR="006D2F5F" w:rsidRPr="00DD47DF" w:rsidRDefault="006D2F5F" w:rsidP="007B7EF7">
            <w:pPr>
              <w:pStyle w:val="Tabulka"/>
              <w:spacing w:before="0" w:after="0"/>
              <w:jc w:val="left"/>
              <w:rPr>
                <w:rFonts w:cs="Calibri"/>
              </w:rPr>
            </w:pPr>
            <w:r w:rsidRPr="00DD47DF">
              <w:rPr>
                <w:rFonts w:cs="Calibri"/>
              </w:rPr>
              <w:lastRenderedPageBreak/>
              <w:t xml:space="preserve">Zpracování </w:t>
            </w:r>
            <w:r w:rsidR="007B7EF7" w:rsidRPr="00DD47DF">
              <w:rPr>
                <w:rFonts w:cs="Calibri"/>
              </w:rPr>
              <w:t>„Strategie digitální gramotnosti ČR na období 2015 – 2020“</w:t>
            </w:r>
            <w:r w:rsidRPr="00DD47DF">
              <w:rPr>
                <w:rFonts w:cs="Calibri"/>
              </w:rPr>
              <w:t>S, která naplňuje opatření Digitálního Česka 2.0 v kapitole 5.6. Digitální gramotnost, elektronické dovednosti (e-skills).</w:t>
            </w:r>
          </w:p>
          <w:p w14:paraId="5D23FB51" w14:textId="77777777" w:rsidR="00BE7846" w:rsidRPr="00DD47DF" w:rsidRDefault="00BE7846" w:rsidP="00BE7846">
            <w:pPr>
              <w:rPr>
                <w:color w:val="000000"/>
                <w:sz w:val="22"/>
                <w:szCs w:val="22"/>
              </w:rPr>
            </w:pPr>
            <w:r w:rsidRPr="00DD47DF">
              <w:rPr>
                <w:rFonts w:asciiTheme="minorHAnsi" w:hAnsiTheme="minorHAnsi" w:cstheme="minorHAnsi"/>
                <w:sz w:val="22"/>
                <w:szCs w:val="22"/>
              </w:rPr>
              <w:t>S</w:t>
            </w:r>
            <w:r w:rsidRPr="00DD47DF">
              <w:rPr>
                <w:sz w:val="22"/>
                <w:szCs w:val="22"/>
              </w:rPr>
              <w:t>trategie digitální gramotnosti ČR na období 2015 – 2020</w:t>
            </w:r>
            <w:r w:rsidRPr="00DD47DF">
              <w:rPr>
                <w:color w:val="000000"/>
                <w:sz w:val="22"/>
                <w:szCs w:val="22"/>
              </w:rPr>
              <w:t xml:space="preserve"> vznikne v gesci MPSV (MŠMT bude spolugestorem). Přípravy byly zahájeny v prvním kvartálu roku 2014, v lednu 2015 byla dokončena a je projednávána první verze dokumentu, přičemž následné projednání a schválení je plánováno do konce 2 Q. roku 2015.</w:t>
            </w:r>
          </w:p>
          <w:p w14:paraId="486D2C57" w14:textId="77777777" w:rsidR="00BE7846" w:rsidRPr="00DD47DF" w:rsidRDefault="00BE7846" w:rsidP="00BE7846">
            <w:pPr>
              <w:pStyle w:val="Tabulka"/>
              <w:spacing w:before="0" w:after="0"/>
              <w:jc w:val="left"/>
            </w:pPr>
            <w:r w:rsidRPr="00DD47DF">
              <w:rPr>
                <w:color w:val="000000"/>
              </w:rPr>
              <w:t>Součástí této strategie budou ukazatele umožňující měření pokroku zásahů v oblasti počítačové gramotnosti a digitálního začlenění.</w:t>
            </w:r>
          </w:p>
          <w:p w14:paraId="1F4ADE3F" w14:textId="77777777" w:rsidR="007B7EF7" w:rsidRPr="00DD47DF" w:rsidRDefault="007B7EF7" w:rsidP="007B7EF7">
            <w:pPr>
              <w:pStyle w:val="Tabulka"/>
              <w:spacing w:before="0" w:after="0"/>
              <w:jc w:val="left"/>
              <w:rPr>
                <w:rFonts w:cs="Calibri"/>
              </w:rPr>
            </w:pPr>
            <w:r w:rsidRPr="00DD47DF">
              <w:rPr>
                <w:rFonts w:cs="Calibri"/>
              </w:rPr>
              <w:t>Indikativní harmonogram viz výše.</w:t>
            </w:r>
          </w:p>
        </w:tc>
        <w:tc>
          <w:tcPr>
            <w:tcW w:w="1801" w:type="dxa"/>
            <w:tcBorders>
              <w:top w:val="single" w:sz="4" w:space="0" w:color="auto"/>
              <w:left w:val="nil"/>
              <w:bottom w:val="single" w:sz="4" w:space="0" w:color="auto"/>
              <w:right w:val="double" w:sz="6" w:space="0" w:color="auto"/>
            </w:tcBorders>
            <w:shd w:val="clear" w:color="auto" w:fill="auto"/>
          </w:tcPr>
          <w:p w14:paraId="163CEC28" w14:textId="77777777" w:rsidR="006D2F5F" w:rsidRPr="00DD47DF" w:rsidRDefault="006D2F5F" w:rsidP="006D2F5F">
            <w:pPr>
              <w:pStyle w:val="Tabulka"/>
              <w:jc w:val="left"/>
              <w:rPr>
                <w:rFonts w:cs="Calibri"/>
              </w:rPr>
            </w:pPr>
            <w:r w:rsidRPr="00DD47DF">
              <w:rPr>
                <w:rFonts w:cs="Calibri"/>
              </w:rPr>
              <w:t>Do 30.6.2015</w:t>
            </w:r>
          </w:p>
        </w:tc>
        <w:tc>
          <w:tcPr>
            <w:tcW w:w="0" w:type="auto"/>
            <w:tcBorders>
              <w:top w:val="single" w:sz="4" w:space="0" w:color="auto"/>
              <w:left w:val="nil"/>
              <w:bottom w:val="single" w:sz="4" w:space="0" w:color="auto"/>
              <w:right w:val="single" w:sz="8" w:space="0" w:color="auto"/>
            </w:tcBorders>
            <w:shd w:val="clear" w:color="auto" w:fill="auto"/>
          </w:tcPr>
          <w:p w14:paraId="3A3C8922" w14:textId="77777777" w:rsidR="006D2F5F" w:rsidRPr="00DD47DF" w:rsidRDefault="006D2F5F" w:rsidP="006D2F5F">
            <w:pPr>
              <w:pStyle w:val="Tabulka"/>
              <w:jc w:val="left"/>
              <w:rPr>
                <w:rFonts w:cs="Calibri"/>
              </w:rPr>
            </w:pPr>
            <w:r w:rsidRPr="00DD47DF">
              <w:rPr>
                <w:rFonts w:cs="Calibri"/>
              </w:rPr>
              <w:t>MPSV</w:t>
            </w:r>
          </w:p>
          <w:p w14:paraId="3F65A595" w14:textId="77777777" w:rsidR="006D2F5F" w:rsidRPr="00DD47DF" w:rsidRDefault="006D2F5F" w:rsidP="006D2F5F">
            <w:pPr>
              <w:pStyle w:val="Tabulka"/>
              <w:jc w:val="left"/>
              <w:rPr>
                <w:rFonts w:cs="Calibri"/>
              </w:rPr>
            </w:pPr>
            <w:r w:rsidRPr="00DD47DF">
              <w:rPr>
                <w:rFonts w:cs="Calibri"/>
              </w:rPr>
              <w:t xml:space="preserve">MŠMT </w:t>
            </w:r>
          </w:p>
        </w:tc>
      </w:tr>
      <w:tr w:rsidR="007414AD" w:rsidRPr="00DD47DF" w14:paraId="7AEC967E" w14:textId="77777777" w:rsidTr="00BD2266">
        <w:trPr>
          <w:trHeight w:val="4048"/>
        </w:trPr>
        <w:tc>
          <w:tcPr>
            <w:tcW w:w="0" w:type="auto"/>
            <w:vMerge/>
            <w:tcBorders>
              <w:left w:val="single" w:sz="8" w:space="0" w:color="auto"/>
              <w:right w:val="single" w:sz="4" w:space="0" w:color="auto"/>
            </w:tcBorders>
            <w:shd w:val="clear" w:color="auto" w:fill="auto"/>
          </w:tcPr>
          <w:p w14:paraId="1CDC5B0B" w14:textId="77777777" w:rsidR="007414AD" w:rsidRPr="00DD47DF" w:rsidRDefault="007414AD" w:rsidP="006D2F5F">
            <w:pPr>
              <w:pStyle w:val="Tabulka"/>
              <w:rPr>
                <w:rFonts w:cs="Calibri"/>
                <w:b/>
              </w:rPr>
            </w:pPr>
          </w:p>
        </w:tc>
        <w:tc>
          <w:tcPr>
            <w:tcW w:w="0" w:type="auto"/>
            <w:vMerge/>
            <w:tcBorders>
              <w:left w:val="nil"/>
              <w:bottom w:val="single" w:sz="4" w:space="0" w:color="auto"/>
              <w:right w:val="single" w:sz="4" w:space="0" w:color="auto"/>
            </w:tcBorders>
            <w:shd w:val="clear" w:color="auto" w:fill="auto"/>
          </w:tcPr>
          <w:p w14:paraId="4C9D77E8" w14:textId="77777777" w:rsidR="007414AD" w:rsidRPr="00DD47DF" w:rsidRDefault="007414AD" w:rsidP="006D2F5F">
            <w:pPr>
              <w:pStyle w:val="Tabulka"/>
              <w:jc w:val="left"/>
              <w:rPr>
                <w:rFonts w:cs="Calibri"/>
              </w:rPr>
            </w:pPr>
          </w:p>
        </w:tc>
        <w:tc>
          <w:tcPr>
            <w:tcW w:w="6946" w:type="dxa"/>
            <w:tcBorders>
              <w:top w:val="nil"/>
              <w:left w:val="double" w:sz="6" w:space="0" w:color="auto"/>
              <w:bottom w:val="single" w:sz="4" w:space="0" w:color="auto"/>
              <w:right w:val="double" w:sz="6" w:space="0" w:color="auto"/>
            </w:tcBorders>
            <w:shd w:val="clear" w:color="auto" w:fill="auto"/>
          </w:tcPr>
          <w:p w14:paraId="500DE0FD" w14:textId="77777777" w:rsidR="007414AD" w:rsidRPr="00DD47DF" w:rsidRDefault="007414AD" w:rsidP="006D2F5F">
            <w:pPr>
              <w:pStyle w:val="Tabulka"/>
              <w:jc w:val="left"/>
            </w:pPr>
          </w:p>
        </w:tc>
        <w:tc>
          <w:tcPr>
            <w:tcW w:w="1801" w:type="dxa"/>
            <w:tcBorders>
              <w:top w:val="nil"/>
              <w:left w:val="nil"/>
              <w:bottom w:val="single" w:sz="4" w:space="0" w:color="auto"/>
              <w:right w:val="double" w:sz="6" w:space="0" w:color="auto"/>
            </w:tcBorders>
            <w:shd w:val="clear" w:color="auto" w:fill="auto"/>
          </w:tcPr>
          <w:p w14:paraId="3F7D1E5B" w14:textId="77777777" w:rsidR="007414AD" w:rsidRPr="00DD47DF" w:rsidRDefault="007414AD" w:rsidP="006D2F5F">
            <w:pPr>
              <w:pStyle w:val="Tabulka"/>
              <w:jc w:val="left"/>
              <w:rPr>
                <w:rFonts w:cs="Calibri"/>
              </w:rPr>
            </w:pPr>
          </w:p>
        </w:tc>
        <w:tc>
          <w:tcPr>
            <w:tcW w:w="0" w:type="auto"/>
            <w:tcBorders>
              <w:top w:val="nil"/>
              <w:left w:val="nil"/>
              <w:bottom w:val="single" w:sz="4" w:space="0" w:color="auto"/>
              <w:right w:val="single" w:sz="8" w:space="0" w:color="auto"/>
            </w:tcBorders>
            <w:shd w:val="clear" w:color="auto" w:fill="auto"/>
          </w:tcPr>
          <w:p w14:paraId="3E0257BC" w14:textId="77777777" w:rsidR="007414AD" w:rsidRPr="00DD47DF" w:rsidRDefault="007414AD" w:rsidP="006D2F5F">
            <w:pPr>
              <w:pStyle w:val="Tabulka"/>
              <w:jc w:val="left"/>
              <w:rPr>
                <w:rFonts w:cs="Calibri"/>
              </w:rPr>
            </w:pPr>
          </w:p>
        </w:tc>
      </w:tr>
      <w:tr w:rsidR="006D2F5F" w:rsidRPr="00DD47DF" w14:paraId="5B111E7F" w14:textId="77777777" w:rsidTr="00DD47DF">
        <w:trPr>
          <w:trHeight w:val="1214"/>
        </w:trPr>
        <w:tc>
          <w:tcPr>
            <w:tcW w:w="0" w:type="auto"/>
            <w:vMerge w:val="restart"/>
            <w:tcBorders>
              <w:top w:val="single" w:sz="4" w:space="0" w:color="auto"/>
              <w:left w:val="single" w:sz="8" w:space="0" w:color="auto"/>
              <w:right w:val="single" w:sz="4" w:space="0" w:color="auto"/>
            </w:tcBorders>
            <w:shd w:val="clear" w:color="auto" w:fill="auto"/>
          </w:tcPr>
          <w:p w14:paraId="61565FC0" w14:textId="77777777" w:rsidR="006D2F5F" w:rsidRPr="00DD47DF" w:rsidRDefault="006D2F5F" w:rsidP="006D2F5F">
            <w:pPr>
              <w:pStyle w:val="Tabulka"/>
              <w:jc w:val="left"/>
              <w:rPr>
                <w:rFonts w:cs="Calibri"/>
                <w:b/>
              </w:rPr>
            </w:pPr>
            <w:r w:rsidRPr="00DD47DF">
              <w:rPr>
                <w:rFonts w:cs="Calibri"/>
                <w:b/>
              </w:rPr>
              <w:t xml:space="preserve">2.2. Infrastruktura přístupových sítí nové generace: Existence celostátních nebo regionálních plánů přístupových sítí nové generace, které zohledňují regionální opatření k dosažení cílů Unie v oblasti vysokorychlostního přístupu k internetu se zaměřením na oblasti, kde trh není schopen poskytovat otevřenou infrastrukturu za </w:t>
            </w:r>
            <w:r w:rsidRPr="00DD47DF">
              <w:rPr>
                <w:rFonts w:cs="Calibri"/>
                <w:b/>
              </w:rPr>
              <w:lastRenderedPageBreak/>
              <w:t>dostupnou cenu a v odpovídající kvalitě v souladu s pravidly Unie pro hospodářskou soutěž a státní podpory, a poskytují dostupné služby zranitelným skupinám.</w:t>
            </w:r>
          </w:p>
        </w:tc>
        <w:tc>
          <w:tcPr>
            <w:tcW w:w="0" w:type="auto"/>
            <w:tcBorders>
              <w:top w:val="single" w:sz="4" w:space="0" w:color="auto"/>
              <w:left w:val="nil"/>
              <w:bottom w:val="single" w:sz="4" w:space="0" w:color="auto"/>
              <w:right w:val="single" w:sz="4" w:space="0" w:color="auto"/>
            </w:tcBorders>
            <w:shd w:val="clear" w:color="auto" w:fill="auto"/>
          </w:tcPr>
          <w:p w14:paraId="49A42BE1" w14:textId="77777777" w:rsidR="006D2F5F" w:rsidRPr="00DD47DF" w:rsidRDefault="006D2F5F" w:rsidP="006D2F5F">
            <w:pPr>
              <w:pStyle w:val="Tabulka"/>
              <w:jc w:val="left"/>
              <w:rPr>
                <w:rFonts w:cs="Calibri"/>
              </w:rPr>
            </w:pPr>
            <w:r w:rsidRPr="00DD47DF">
              <w:rPr>
                <w:rFonts w:cs="Calibri"/>
              </w:rPr>
              <w:lastRenderedPageBreak/>
              <w:t>Je vypracován celostátní nebo regionální plán přístupových sítí</w:t>
            </w:r>
            <w:r w:rsidR="00DD47DF">
              <w:rPr>
                <w:rFonts w:cs="Calibri"/>
              </w:rPr>
              <w:t xml:space="preserve"> nové generace, který obsahuje:</w:t>
            </w:r>
          </w:p>
        </w:tc>
        <w:tc>
          <w:tcPr>
            <w:tcW w:w="6946" w:type="dxa"/>
            <w:tcBorders>
              <w:top w:val="single" w:sz="4" w:space="0" w:color="auto"/>
              <w:left w:val="double" w:sz="6" w:space="0" w:color="auto"/>
              <w:bottom w:val="single" w:sz="4" w:space="0" w:color="auto"/>
              <w:right w:val="double" w:sz="6" w:space="0" w:color="auto"/>
            </w:tcBorders>
            <w:shd w:val="clear" w:color="auto" w:fill="auto"/>
          </w:tcPr>
          <w:p w14:paraId="3A343C7E" w14:textId="77777777" w:rsidR="006D2F5F" w:rsidRPr="00DD47DF" w:rsidRDefault="006D2F5F" w:rsidP="006D2F5F">
            <w:pPr>
              <w:pStyle w:val="Tabulka"/>
              <w:jc w:val="left"/>
              <w:rPr>
                <w:rFonts w:cs="Calibri"/>
              </w:rPr>
            </w:pPr>
            <w:r w:rsidRPr="00DD47DF">
              <w:rPr>
                <w:rFonts w:cs="Calibri"/>
              </w:rPr>
              <w:t>Zpracování Národního plánu rozvoje sítí nové generace.</w:t>
            </w:r>
          </w:p>
          <w:p w14:paraId="01017AE1" w14:textId="77777777" w:rsidR="006D2F5F" w:rsidRPr="00DD47DF" w:rsidRDefault="006D2F5F" w:rsidP="006D2F5F">
            <w:pPr>
              <w:pStyle w:val="Tabulka"/>
              <w:jc w:val="left"/>
              <w:rPr>
                <w:rFonts w:cs="Calibri"/>
              </w:rPr>
            </w:pPr>
          </w:p>
        </w:tc>
        <w:tc>
          <w:tcPr>
            <w:tcW w:w="1801" w:type="dxa"/>
            <w:tcBorders>
              <w:top w:val="single" w:sz="4" w:space="0" w:color="auto"/>
              <w:left w:val="nil"/>
              <w:bottom w:val="single" w:sz="4" w:space="0" w:color="auto"/>
              <w:right w:val="double" w:sz="6" w:space="0" w:color="auto"/>
            </w:tcBorders>
            <w:shd w:val="clear" w:color="auto" w:fill="auto"/>
          </w:tcPr>
          <w:p w14:paraId="30D3B9B2" w14:textId="77777777" w:rsidR="006D2F5F" w:rsidRPr="00DD47DF" w:rsidRDefault="002D0399" w:rsidP="006D2F5F">
            <w:pPr>
              <w:pStyle w:val="Tabulka"/>
              <w:jc w:val="left"/>
              <w:rPr>
                <w:rFonts w:cs="Calibri"/>
              </w:rPr>
            </w:pPr>
            <w:r>
              <w:rPr>
                <w:rFonts w:cs="Calibri"/>
              </w:rPr>
              <w:t>30.</w:t>
            </w:r>
            <w:r w:rsidR="00A60930" w:rsidRPr="00DD47DF">
              <w:rPr>
                <w:rFonts w:cs="Calibri"/>
              </w:rPr>
              <w:t>6</w:t>
            </w:r>
            <w:r>
              <w:rPr>
                <w:rFonts w:cs="Calibri"/>
              </w:rPr>
              <w:t>.</w:t>
            </w:r>
            <w:r w:rsidR="006D2F5F" w:rsidRPr="00DD47DF">
              <w:rPr>
                <w:rFonts w:cs="Calibri"/>
              </w:rPr>
              <w:t>2015</w:t>
            </w:r>
          </w:p>
          <w:p w14:paraId="45879EBB" w14:textId="77777777" w:rsidR="006D2F5F" w:rsidRPr="00DD47DF" w:rsidRDefault="006D2F5F" w:rsidP="006D2F5F">
            <w:pPr>
              <w:pStyle w:val="Tabulka"/>
              <w:jc w:val="left"/>
              <w:rPr>
                <w:rFonts w:cs="Calibri"/>
              </w:rPr>
            </w:pPr>
          </w:p>
          <w:p w14:paraId="7EE152B2" w14:textId="77777777" w:rsidR="006D2F5F" w:rsidRPr="00DD47DF" w:rsidRDefault="006D2F5F" w:rsidP="006D2F5F">
            <w:pPr>
              <w:pStyle w:val="Tabulka"/>
              <w:jc w:val="left"/>
              <w:rPr>
                <w:rFonts w:cs="Calibri"/>
              </w:rPr>
            </w:pPr>
          </w:p>
        </w:tc>
        <w:tc>
          <w:tcPr>
            <w:tcW w:w="0" w:type="auto"/>
            <w:tcBorders>
              <w:top w:val="single" w:sz="4" w:space="0" w:color="auto"/>
              <w:left w:val="nil"/>
              <w:bottom w:val="single" w:sz="4" w:space="0" w:color="auto"/>
              <w:right w:val="single" w:sz="8" w:space="0" w:color="auto"/>
            </w:tcBorders>
            <w:shd w:val="clear" w:color="auto" w:fill="auto"/>
          </w:tcPr>
          <w:p w14:paraId="252E6842" w14:textId="77777777" w:rsidR="006D2F5F" w:rsidRPr="00DD47DF" w:rsidRDefault="006D2F5F" w:rsidP="006D2F5F">
            <w:pPr>
              <w:pStyle w:val="Tabulka"/>
              <w:jc w:val="left"/>
              <w:rPr>
                <w:rFonts w:cs="Calibri"/>
              </w:rPr>
            </w:pPr>
            <w:r w:rsidRPr="00DD47DF">
              <w:rPr>
                <w:rFonts w:cs="Calibri"/>
              </w:rPr>
              <w:t>MPO</w:t>
            </w:r>
          </w:p>
          <w:p w14:paraId="00626D8B" w14:textId="77777777" w:rsidR="006D2F5F" w:rsidRPr="00DD47DF" w:rsidRDefault="006D2F5F">
            <w:pPr>
              <w:pStyle w:val="Tabulka"/>
              <w:jc w:val="left"/>
              <w:rPr>
                <w:rFonts w:cs="Calibri"/>
              </w:rPr>
            </w:pPr>
          </w:p>
        </w:tc>
      </w:tr>
      <w:tr w:rsidR="006D2F5F" w:rsidRPr="00DD47DF" w14:paraId="7762B7C0" w14:textId="77777777" w:rsidTr="00DD47DF">
        <w:trPr>
          <w:trHeight w:val="660"/>
        </w:trPr>
        <w:tc>
          <w:tcPr>
            <w:tcW w:w="0" w:type="auto"/>
            <w:vMerge/>
            <w:tcBorders>
              <w:left w:val="single" w:sz="8" w:space="0" w:color="auto"/>
              <w:right w:val="single" w:sz="4" w:space="0" w:color="auto"/>
            </w:tcBorders>
            <w:shd w:val="clear" w:color="auto" w:fill="auto"/>
          </w:tcPr>
          <w:p w14:paraId="3ACBE666" w14:textId="77777777" w:rsidR="006D2F5F" w:rsidRPr="00DD47DF" w:rsidRDefault="006D2F5F" w:rsidP="006D2F5F">
            <w:pPr>
              <w:pStyle w:val="Tabulka"/>
              <w:jc w:val="left"/>
              <w:rPr>
                <w:rFonts w:cs="Calibri"/>
                <w:b/>
              </w:rPr>
            </w:pPr>
          </w:p>
        </w:tc>
        <w:tc>
          <w:tcPr>
            <w:tcW w:w="0" w:type="auto"/>
            <w:tcBorders>
              <w:top w:val="single" w:sz="4" w:space="0" w:color="auto"/>
              <w:left w:val="nil"/>
              <w:bottom w:val="single" w:sz="4" w:space="0" w:color="auto"/>
              <w:right w:val="single" w:sz="4" w:space="0" w:color="auto"/>
            </w:tcBorders>
            <w:shd w:val="clear" w:color="auto" w:fill="auto"/>
          </w:tcPr>
          <w:p w14:paraId="3B52AD5F" w14:textId="77777777" w:rsidR="006D2F5F" w:rsidRPr="00DD47DF" w:rsidRDefault="006D2F5F" w:rsidP="006D2F5F">
            <w:pPr>
              <w:pStyle w:val="Tabulka"/>
              <w:jc w:val="left"/>
              <w:rPr>
                <w:rFonts w:cs="Calibri"/>
              </w:rPr>
            </w:pPr>
            <w:r w:rsidRPr="00DD47DF">
              <w:rPr>
                <w:rFonts w:cs="Calibri"/>
              </w:rPr>
              <w:t xml:space="preserve">• plán investic do infrastruktury vycházející z ekonomické analýzy a zohledňující stávající infrastrukturu a </w:t>
            </w:r>
            <w:r w:rsidRPr="00DD47DF">
              <w:rPr>
                <w:rFonts w:cs="Calibri"/>
              </w:rPr>
              <w:lastRenderedPageBreak/>
              <w:t>plánované investice,</w:t>
            </w:r>
          </w:p>
        </w:tc>
        <w:tc>
          <w:tcPr>
            <w:tcW w:w="6946" w:type="dxa"/>
            <w:tcBorders>
              <w:top w:val="nil"/>
              <w:left w:val="double" w:sz="6" w:space="0" w:color="auto"/>
              <w:bottom w:val="single" w:sz="4" w:space="0" w:color="auto"/>
              <w:right w:val="double" w:sz="6" w:space="0" w:color="auto"/>
            </w:tcBorders>
            <w:shd w:val="clear" w:color="auto" w:fill="auto"/>
          </w:tcPr>
          <w:p w14:paraId="6DD1F8F0" w14:textId="77777777" w:rsidR="006D2F5F" w:rsidRPr="00DD47DF" w:rsidRDefault="006D2F5F" w:rsidP="006D2F5F">
            <w:pPr>
              <w:pStyle w:val="Tabulka"/>
              <w:jc w:val="left"/>
              <w:rPr>
                <w:rFonts w:cs="Calibri"/>
              </w:rPr>
            </w:pPr>
            <w:r w:rsidRPr="00DD47DF">
              <w:rPr>
                <w:rFonts w:cs="Calibri"/>
              </w:rPr>
              <w:lastRenderedPageBreak/>
              <w:t>Zpracování Národního plánu rozvoje sítí nové generace.</w:t>
            </w:r>
          </w:p>
          <w:p w14:paraId="2B4810D1" w14:textId="77777777" w:rsidR="006D2F5F" w:rsidRPr="00DD47DF" w:rsidRDefault="006D2F5F" w:rsidP="006D2F5F">
            <w:pPr>
              <w:pStyle w:val="Tabulka"/>
              <w:jc w:val="left"/>
              <w:rPr>
                <w:rFonts w:cs="Calibri"/>
              </w:rPr>
            </w:pPr>
          </w:p>
        </w:tc>
        <w:tc>
          <w:tcPr>
            <w:tcW w:w="1801" w:type="dxa"/>
            <w:tcBorders>
              <w:top w:val="nil"/>
              <w:left w:val="nil"/>
              <w:bottom w:val="single" w:sz="4" w:space="0" w:color="auto"/>
              <w:right w:val="double" w:sz="6" w:space="0" w:color="auto"/>
            </w:tcBorders>
            <w:shd w:val="clear" w:color="auto" w:fill="auto"/>
          </w:tcPr>
          <w:p w14:paraId="06B9DEB2" w14:textId="77777777" w:rsidR="006D2F5F" w:rsidRPr="00DD47DF" w:rsidRDefault="002D0399" w:rsidP="006D2F5F">
            <w:pPr>
              <w:pStyle w:val="Tabulka"/>
              <w:jc w:val="left"/>
              <w:rPr>
                <w:rFonts w:cs="Calibri"/>
              </w:rPr>
            </w:pPr>
            <w:r>
              <w:rPr>
                <w:rFonts w:cs="Calibri"/>
              </w:rPr>
              <w:t>30.</w:t>
            </w:r>
            <w:r w:rsidRPr="00DD47DF">
              <w:rPr>
                <w:rFonts w:cs="Calibri"/>
              </w:rPr>
              <w:t>6</w:t>
            </w:r>
            <w:r>
              <w:rPr>
                <w:rFonts w:cs="Calibri"/>
              </w:rPr>
              <w:t>.</w:t>
            </w:r>
            <w:r w:rsidRPr="00DD47DF">
              <w:rPr>
                <w:rFonts w:cs="Calibri"/>
              </w:rPr>
              <w:t>2015</w:t>
            </w:r>
          </w:p>
        </w:tc>
        <w:tc>
          <w:tcPr>
            <w:tcW w:w="0" w:type="auto"/>
            <w:tcBorders>
              <w:top w:val="nil"/>
              <w:left w:val="nil"/>
              <w:bottom w:val="single" w:sz="4" w:space="0" w:color="auto"/>
              <w:right w:val="single" w:sz="8" w:space="0" w:color="auto"/>
            </w:tcBorders>
            <w:shd w:val="clear" w:color="auto" w:fill="auto"/>
          </w:tcPr>
          <w:p w14:paraId="23A1120E" w14:textId="77777777" w:rsidR="006D2F5F" w:rsidRPr="00DD47DF" w:rsidRDefault="006D2F5F" w:rsidP="006D2F5F">
            <w:pPr>
              <w:pStyle w:val="Tabulka"/>
              <w:jc w:val="left"/>
              <w:rPr>
                <w:rFonts w:cs="Calibri"/>
              </w:rPr>
            </w:pPr>
            <w:r w:rsidRPr="00DD47DF">
              <w:rPr>
                <w:rFonts w:cs="Calibri"/>
              </w:rPr>
              <w:t>MPO</w:t>
            </w:r>
          </w:p>
          <w:p w14:paraId="753E702F" w14:textId="77777777" w:rsidR="006D2F5F" w:rsidRPr="00DD47DF" w:rsidRDefault="006D2F5F" w:rsidP="006D2F5F">
            <w:pPr>
              <w:pStyle w:val="Tabulka"/>
              <w:jc w:val="left"/>
              <w:rPr>
                <w:rFonts w:cs="Calibri"/>
              </w:rPr>
            </w:pPr>
          </w:p>
        </w:tc>
      </w:tr>
      <w:tr w:rsidR="00DD47DF" w:rsidRPr="00DD47DF" w14:paraId="684A5EAB" w14:textId="77777777" w:rsidTr="001C2A07">
        <w:trPr>
          <w:trHeight w:val="3662"/>
        </w:trPr>
        <w:tc>
          <w:tcPr>
            <w:tcW w:w="0" w:type="auto"/>
            <w:vMerge/>
            <w:tcBorders>
              <w:left w:val="single" w:sz="8" w:space="0" w:color="auto"/>
              <w:right w:val="single" w:sz="4" w:space="0" w:color="auto"/>
            </w:tcBorders>
            <w:shd w:val="clear" w:color="auto" w:fill="auto"/>
          </w:tcPr>
          <w:p w14:paraId="21304A8C" w14:textId="77777777" w:rsidR="00DD47DF" w:rsidRPr="00DD47DF" w:rsidRDefault="00DD47DF" w:rsidP="006D2F5F">
            <w:pPr>
              <w:pStyle w:val="Tabulka"/>
              <w:jc w:val="left"/>
              <w:rPr>
                <w:rFonts w:cs="Calibri"/>
                <w:b/>
              </w:rPr>
            </w:pPr>
          </w:p>
        </w:tc>
        <w:tc>
          <w:tcPr>
            <w:tcW w:w="0" w:type="auto"/>
            <w:tcBorders>
              <w:top w:val="single" w:sz="4" w:space="0" w:color="auto"/>
              <w:left w:val="nil"/>
              <w:right w:val="single" w:sz="4" w:space="0" w:color="auto"/>
            </w:tcBorders>
            <w:shd w:val="clear" w:color="auto" w:fill="auto"/>
          </w:tcPr>
          <w:p w14:paraId="54A891D5" w14:textId="77777777" w:rsidR="00DD47DF" w:rsidRPr="00DD47DF" w:rsidRDefault="00DD47DF" w:rsidP="006D2F5F">
            <w:pPr>
              <w:pStyle w:val="Tabulka"/>
              <w:jc w:val="left"/>
              <w:rPr>
                <w:rFonts w:cs="Calibri"/>
              </w:rPr>
            </w:pPr>
            <w:r w:rsidRPr="00DD47DF">
              <w:rPr>
                <w:rFonts w:cs="Calibri"/>
              </w:rPr>
              <w:t>• modely udržitelných investic, které posilují hospodářskou soutěž a zajišťují přístup k otevřeným, cenově dostupným, kvalitním a progresivním infrastrukturám a službám,</w:t>
            </w:r>
          </w:p>
        </w:tc>
        <w:tc>
          <w:tcPr>
            <w:tcW w:w="6946" w:type="dxa"/>
            <w:tcBorders>
              <w:top w:val="single" w:sz="4" w:space="0" w:color="auto"/>
              <w:left w:val="double" w:sz="6" w:space="0" w:color="auto"/>
              <w:right w:val="double" w:sz="6" w:space="0" w:color="auto"/>
            </w:tcBorders>
            <w:shd w:val="clear" w:color="auto" w:fill="auto"/>
          </w:tcPr>
          <w:p w14:paraId="61EF8253" w14:textId="77777777" w:rsidR="00DD47DF" w:rsidRPr="00DD47DF" w:rsidRDefault="00DD47DF" w:rsidP="006D2F5F">
            <w:pPr>
              <w:pStyle w:val="Tabulka"/>
              <w:jc w:val="left"/>
              <w:rPr>
                <w:rFonts w:cs="Calibri"/>
              </w:rPr>
            </w:pPr>
            <w:r w:rsidRPr="00DD47DF">
              <w:rPr>
                <w:rFonts w:cs="Calibri"/>
              </w:rPr>
              <w:t>Zpracování Národního plánu rozvoje sítí nové generace.</w:t>
            </w:r>
          </w:p>
          <w:p w14:paraId="3C67A436" w14:textId="77777777" w:rsidR="00DD47DF" w:rsidRPr="00DD47DF" w:rsidRDefault="00DD47DF" w:rsidP="006D2F5F">
            <w:pPr>
              <w:pStyle w:val="Tabulka"/>
              <w:jc w:val="left"/>
              <w:rPr>
                <w:rFonts w:cs="Calibri"/>
              </w:rPr>
            </w:pPr>
          </w:p>
        </w:tc>
        <w:tc>
          <w:tcPr>
            <w:tcW w:w="1801" w:type="dxa"/>
            <w:tcBorders>
              <w:top w:val="single" w:sz="4" w:space="0" w:color="auto"/>
              <w:left w:val="nil"/>
              <w:right w:val="double" w:sz="6" w:space="0" w:color="auto"/>
            </w:tcBorders>
            <w:shd w:val="clear" w:color="auto" w:fill="auto"/>
          </w:tcPr>
          <w:p w14:paraId="6F138155" w14:textId="77777777" w:rsidR="00DD47DF" w:rsidRPr="00DD47DF" w:rsidRDefault="002D0399" w:rsidP="006D2F5F">
            <w:pPr>
              <w:pStyle w:val="Tabulka"/>
              <w:jc w:val="left"/>
              <w:rPr>
                <w:rFonts w:cs="Calibri"/>
              </w:rPr>
            </w:pPr>
            <w:r>
              <w:rPr>
                <w:rFonts w:cs="Calibri"/>
              </w:rPr>
              <w:t>30.</w:t>
            </w:r>
            <w:r w:rsidRPr="00DD47DF">
              <w:rPr>
                <w:rFonts w:cs="Calibri"/>
              </w:rPr>
              <w:t>6</w:t>
            </w:r>
            <w:r>
              <w:rPr>
                <w:rFonts w:cs="Calibri"/>
              </w:rPr>
              <w:t>.</w:t>
            </w:r>
            <w:r w:rsidRPr="00DD47DF">
              <w:rPr>
                <w:rFonts w:cs="Calibri"/>
              </w:rPr>
              <w:t>2015</w:t>
            </w:r>
          </w:p>
          <w:p w14:paraId="5A55924A" w14:textId="77777777" w:rsidR="00DD47DF" w:rsidRPr="00DD47DF" w:rsidRDefault="00DD47DF" w:rsidP="006D2F5F">
            <w:pPr>
              <w:pStyle w:val="Tabulka"/>
              <w:jc w:val="left"/>
              <w:rPr>
                <w:rFonts w:cs="Calibri"/>
              </w:rPr>
            </w:pPr>
          </w:p>
          <w:p w14:paraId="1FD9F6D4" w14:textId="77777777" w:rsidR="00DD47DF" w:rsidRPr="00DD47DF" w:rsidRDefault="00DD47DF" w:rsidP="006D2F5F">
            <w:pPr>
              <w:pStyle w:val="Tabulka"/>
              <w:jc w:val="left"/>
              <w:rPr>
                <w:rFonts w:cs="Calibri"/>
              </w:rPr>
            </w:pPr>
          </w:p>
        </w:tc>
        <w:tc>
          <w:tcPr>
            <w:tcW w:w="0" w:type="auto"/>
            <w:tcBorders>
              <w:top w:val="single" w:sz="4" w:space="0" w:color="auto"/>
              <w:left w:val="nil"/>
              <w:right w:val="single" w:sz="8" w:space="0" w:color="auto"/>
            </w:tcBorders>
            <w:shd w:val="clear" w:color="auto" w:fill="auto"/>
          </w:tcPr>
          <w:p w14:paraId="07DEE39C" w14:textId="77777777" w:rsidR="00DD47DF" w:rsidRPr="00DD47DF" w:rsidRDefault="00DD47DF" w:rsidP="006D2F5F">
            <w:pPr>
              <w:pStyle w:val="Tabulka"/>
              <w:jc w:val="left"/>
              <w:rPr>
                <w:rFonts w:cs="Calibri"/>
              </w:rPr>
            </w:pPr>
            <w:r w:rsidRPr="00DD47DF">
              <w:rPr>
                <w:rFonts w:cs="Calibri"/>
              </w:rPr>
              <w:t>MPO</w:t>
            </w:r>
          </w:p>
          <w:p w14:paraId="0CCE7AD1" w14:textId="77777777" w:rsidR="00DD47DF" w:rsidRPr="00DD47DF" w:rsidRDefault="00DD47DF" w:rsidP="001C2A07">
            <w:pPr>
              <w:pStyle w:val="Tabulka"/>
              <w:jc w:val="left"/>
              <w:rPr>
                <w:rFonts w:cs="Calibri"/>
              </w:rPr>
            </w:pPr>
          </w:p>
        </w:tc>
      </w:tr>
      <w:tr w:rsidR="006D2F5F" w:rsidRPr="00DD47DF" w14:paraId="5027C4ED" w14:textId="77777777" w:rsidTr="00437632">
        <w:trPr>
          <w:trHeight w:val="364"/>
        </w:trPr>
        <w:tc>
          <w:tcPr>
            <w:tcW w:w="0" w:type="auto"/>
            <w:vMerge/>
            <w:tcBorders>
              <w:left w:val="single" w:sz="8" w:space="0" w:color="auto"/>
              <w:bottom w:val="single" w:sz="4" w:space="0" w:color="000000"/>
              <w:right w:val="single" w:sz="4" w:space="0" w:color="auto"/>
            </w:tcBorders>
            <w:shd w:val="clear" w:color="auto" w:fill="auto"/>
          </w:tcPr>
          <w:p w14:paraId="081EAF8D" w14:textId="77777777" w:rsidR="006D2F5F" w:rsidRPr="00DD47DF" w:rsidRDefault="006D2F5F" w:rsidP="006D2F5F">
            <w:pPr>
              <w:pStyle w:val="Tabulka"/>
              <w:jc w:val="left"/>
              <w:rPr>
                <w:rFonts w:cs="Calibri"/>
                <w:b/>
              </w:rPr>
            </w:pPr>
          </w:p>
        </w:tc>
        <w:tc>
          <w:tcPr>
            <w:tcW w:w="0" w:type="auto"/>
            <w:tcBorders>
              <w:top w:val="single" w:sz="4" w:space="0" w:color="auto"/>
              <w:left w:val="single" w:sz="4" w:space="0" w:color="auto"/>
              <w:right w:val="double" w:sz="6" w:space="0" w:color="auto"/>
            </w:tcBorders>
            <w:shd w:val="clear" w:color="auto" w:fill="auto"/>
          </w:tcPr>
          <w:p w14:paraId="1C415724" w14:textId="77777777" w:rsidR="006D2F5F" w:rsidRPr="00DD47DF" w:rsidRDefault="006D2F5F" w:rsidP="00F91E8F">
            <w:pPr>
              <w:pStyle w:val="Tabulka"/>
              <w:numPr>
                <w:ilvl w:val="0"/>
                <w:numId w:val="80"/>
              </w:numPr>
              <w:ind w:left="234" w:hanging="200"/>
              <w:jc w:val="left"/>
              <w:rPr>
                <w:rFonts w:cs="Calibri"/>
              </w:rPr>
            </w:pPr>
            <w:r w:rsidRPr="00DD47DF">
              <w:rPr>
                <w:rFonts w:cs="Calibri"/>
              </w:rPr>
              <w:t>opatření k podnícení soukromých investic</w:t>
            </w:r>
          </w:p>
        </w:tc>
        <w:tc>
          <w:tcPr>
            <w:tcW w:w="6946" w:type="dxa"/>
            <w:tcBorders>
              <w:top w:val="single" w:sz="4" w:space="0" w:color="auto"/>
              <w:left w:val="nil"/>
              <w:right w:val="double" w:sz="6" w:space="0" w:color="auto"/>
            </w:tcBorders>
            <w:shd w:val="clear" w:color="auto" w:fill="auto"/>
          </w:tcPr>
          <w:p w14:paraId="11B8CC49" w14:textId="77777777" w:rsidR="006D2F5F" w:rsidRPr="00DD47DF" w:rsidRDefault="006D2F5F" w:rsidP="006D2F5F">
            <w:pPr>
              <w:pStyle w:val="Tabulka"/>
              <w:jc w:val="left"/>
              <w:rPr>
                <w:rFonts w:cs="Calibri"/>
              </w:rPr>
            </w:pPr>
            <w:r w:rsidRPr="00DD47DF">
              <w:rPr>
                <w:rFonts w:cs="Calibri"/>
              </w:rPr>
              <w:t>Zpracování Národního plánu rozvoje sítí nové generace.</w:t>
            </w:r>
          </w:p>
          <w:p w14:paraId="7981B594" w14:textId="77777777" w:rsidR="006D2F5F" w:rsidRPr="00DD47DF" w:rsidRDefault="006D2F5F" w:rsidP="006D2F5F">
            <w:pPr>
              <w:pStyle w:val="Tabulka"/>
              <w:jc w:val="left"/>
              <w:rPr>
                <w:rFonts w:cs="Calibri"/>
              </w:rPr>
            </w:pPr>
          </w:p>
        </w:tc>
        <w:tc>
          <w:tcPr>
            <w:tcW w:w="1801" w:type="dxa"/>
            <w:tcBorders>
              <w:top w:val="single" w:sz="4" w:space="0" w:color="auto"/>
              <w:left w:val="nil"/>
              <w:right w:val="double" w:sz="6" w:space="0" w:color="auto"/>
            </w:tcBorders>
            <w:shd w:val="clear" w:color="auto" w:fill="auto"/>
          </w:tcPr>
          <w:p w14:paraId="001FDD4A" w14:textId="77777777" w:rsidR="006D2F5F" w:rsidRPr="00DD47DF" w:rsidRDefault="002D0399" w:rsidP="006D2F5F">
            <w:pPr>
              <w:pStyle w:val="Tabulka"/>
              <w:jc w:val="left"/>
              <w:rPr>
                <w:rFonts w:cs="Calibri"/>
              </w:rPr>
            </w:pPr>
            <w:r>
              <w:rPr>
                <w:rFonts w:cs="Calibri"/>
              </w:rPr>
              <w:t>30.</w:t>
            </w:r>
            <w:r w:rsidRPr="00DD47DF">
              <w:rPr>
                <w:rFonts w:cs="Calibri"/>
              </w:rPr>
              <w:t>6</w:t>
            </w:r>
            <w:r>
              <w:rPr>
                <w:rFonts w:cs="Calibri"/>
              </w:rPr>
              <w:t>.</w:t>
            </w:r>
            <w:r w:rsidRPr="00DD47DF">
              <w:rPr>
                <w:rFonts w:cs="Calibri"/>
              </w:rPr>
              <w:t>2015</w:t>
            </w:r>
          </w:p>
          <w:p w14:paraId="6179105C" w14:textId="77777777" w:rsidR="006D2F5F" w:rsidRPr="00DD47DF" w:rsidRDefault="006D2F5F" w:rsidP="006D2F5F">
            <w:pPr>
              <w:pStyle w:val="Tabulka"/>
              <w:jc w:val="left"/>
              <w:rPr>
                <w:rFonts w:cs="Calibri"/>
              </w:rPr>
            </w:pPr>
          </w:p>
          <w:p w14:paraId="7C758744" w14:textId="77777777" w:rsidR="006D2F5F" w:rsidRPr="00DD47DF" w:rsidRDefault="006D2F5F" w:rsidP="006D2F5F">
            <w:pPr>
              <w:pStyle w:val="Tabulka"/>
              <w:jc w:val="left"/>
              <w:rPr>
                <w:rFonts w:cs="Calibri"/>
              </w:rPr>
            </w:pPr>
          </w:p>
        </w:tc>
        <w:tc>
          <w:tcPr>
            <w:tcW w:w="0" w:type="auto"/>
            <w:tcBorders>
              <w:top w:val="single" w:sz="4" w:space="0" w:color="auto"/>
              <w:left w:val="nil"/>
              <w:right w:val="single" w:sz="8" w:space="0" w:color="auto"/>
            </w:tcBorders>
            <w:shd w:val="clear" w:color="auto" w:fill="auto"/>
          </w:tcPr>
          <w:p w14:paraId="43D32EDE" w14:textId="77777777" w:rsidR="006D2F5F" w:rsidRPr="00DD47DF" w:rsidRDefault="006D2F5F" w:rsidP="006D2F5F">
            <w:pPr>
              <w:pStyle w:val="Tabulka"/>
              <w:spacing w:before="0" w:after="0"/>
              <w:jc w:val="left"/>
              <w:rPr>
                <w:rFonts w:cs="Calibri"/>
              </w:rPr>
            </w:pPr>
            <w:r w:rsidRPr="00DD47DF">
              <w:rPr>
                <w:rFonts w:cs="Calibri"/>
              </w:rPr>
              <w:t>MPO</w:t>
            </w:r>
          </w:p>
          <w:p w14:paraId="17B9DB89" w14:textId="77777777" w:rsidR="006D2F5F" w:rsidRPr="00DD47DF" w:rsidRDefault="006D2F5F" w:rsidP="005B5EFF">
            <w:pPr>
              <w:pStyle w:val="Tabulka"/>
              <w:spacing w:before="0" w:after="0"/>
              <w:jc w:val="left"/>
              <w:rPr>
                <w:rFonts w:cs="Calibri"/>
              </w:rPr>
            </w:pPr>
          </w:p>
        </w:tc>
      </w:tr>
      <w:tr w:rsidR="006D2F5F" w:rsidRPr="00DD47DF" w14:paraId="0840CE23" w14:textId="77777777" w:rsidTr="00437632">
        <w:trPr>
          <w:trHeight w:val="364"/>
        </w:trPr>
        <w:tc>
          <w:tcPr>
            <w:tcW w:w="0" w:type="auto"/>
            <w:tcBorders>
              <w:top w:val="nil"/>
              <w:left w:val="single" w:sz="8" w:space="0" w:color="auto"/>
              <w:bottom w:val="single" w:sz="4" w:space="0" w:color="000000"/>
              <w:right w:val="double" w:sz="6" w:space="0" w:color="auto"/>
            </w:tcBorders>
            <w:shd w:val="clear" w:color="auto" w:fill="auto"/>
          </w:tcPr>
          <w:p w14:paraId="20BA8DBE" w14:textId="77777777" w:rsidR="006D2F5F" w:rsidRPr="00DD47DF" w:rsidRDefault="006D2F5F" w:rsidP="00917C08">
            <w:pPr>
              <w:pStyle w:val="Tabulka"/>
              <w:jc w:val="left"/>
              <w:rPr>
                <w:rFonts w:cs="Calibri"/>
                <w:b/>
              </w:rPr>
            </w:pPr>
            <w:r w:rsidRPr="00DD47DF">
              <w:rPr>
                <w:rFonts w:cs="Calibri"/>
                <w:b/>
              </w:rPr>
              <w:t xml:space="preserve">3.1. </w:t>
            </w:r>
            <w:r w:rsidR="00917C08" w:rsidRPr="00DD47DF">
              <w:rPr>
                <w:rFonts w:cs="Calibri"/>
                <w:b/>
              </w:rPr>
              <w:t>Byla provedena zvláštní opatření, o něž se opírá podpora podnikání, zohledňující „Small Business Act“ (SBA).</w:t>
            </w:r>
          </w:p>
        </w:tc>
        <w:tc>
          <w:tcPr>
            <w:tcW w:w="0" w:type="auto"/>
            <w:tcBorders>
              <w:top w:val="single" w:sz="4" w:space="0" w:color="auto"/>
              <w:left w:val="nil"/>
              <w:right w:val="double" w:sz="6" w:space="0" w:color="auto"/>
            </w:tcBorders>
            <w:shd w:val="clear" w:color="auto" w:fill="auto"/>
          </w:tcPr>
          <w:p w14:paraId="2FDC7D1A" w14:textId="77777777" w:rsidR="006D2F5F" w:rsidRPr="00DD47DF" w:rsidRDefault="006D2F5F" w:rsidP="006D2F5F">
            <w:pPr>
              <w:pStyle w:val="Tabulka"/>
              <w:jc w:val="left"/>
              <w:rPr>
                <w:rFonts w:cs="Calibri"/>
              </w:rPr>
            </w:pPr>
            <w:r w:rsidRPr="00DD47DF">
              <w:rPr>
                <w:rFonts w:cs="Calibri"/>
              </w:rPr>
              <w:t xml:space="preserve"> opatření zavedená s cílem zkrátit dobu potřebnou k založení firmy a snížit příslušné náklady, která zohledňují cíle SBA</w:t>
            </w:r>
          </w:p>
        </w:tc>
        <w:tc>
          <w:tcPr>
            <w:tcW w:w="6946" w:type="dxa"/>
            <w:tcBorders>
              <w:top w:val="single" w:sz="4" w:space="0" w:color="auto"/>
              <w:left w:val="nil"/>
              <w:right w:val="double" w:sz="6" w:space="0" w:color="auto"/>
            </w:tcBorders>
            <w:shd w:val="clear" w:color="auto" w:fill="auto"/>
          </w:tcPr>
          <w:p w14:paraId="38B8286F" w14:textId="77777777" w:rsidR="00C03599" w:rsidRPr="00DD47DF" w:rsidRDefault="006D2F5F" w:rsidP="00C03599">
            <w:pPr>
              <w:pStyle w:val="Tabulka"/>
              <w:jc w:val="left"/>
              <w:rPr>
                <w:rFonts w:cs="Calibri"/>
              </w:rPr>
            </w:pPr>
            <w:r w:rsidRPr="00DD47DF">
              <w:rPr>
                <w:rFonts w:cs="Calibri"/>
              </w:rPr>
              <w:t xml:space="preserve">Návrh legislativního řešení </w:t>
            </w:r>
            <w:r w:rsidR="003D49D0" w:rsidRPr="00DD47DF">
              <w:rPr>
                <w:rFonts w:cs="Calibri"/>
              </w:rPr>
              <w:t xml:space="preserve">osvobození od soudních poplatků a </w:t>
            </w:r>
            <w:r w:rsidRPr="00DD47DF">
              <w:rPr>
                <w:rFonts w:cs="Calibri"/>
              </w:rPr>
              <w:t>snížení odměny notáře za zakládání podniků (společností)</w:t>
            </w:r>
          </w:p>
          <w:p w14:paraId="0BF409F0" w14:textId="77777777" w:rsidR="006D2F5F" w:rsidRPr="00DD47DF" w:rsidRDefault="003D49D0" w:rsidP="006D2F5F">
            <w:pPr>
              <w:pStyle w:val="Tabulka"/>
              <w:jc w:val="left"/>
              <w:rPr>
                <w:rFonts w:cs="Calibri"/>
              </w:rPr>
            </w:pPr>
            <w:r w:rsidRPr="00DD47DF">
              <w:rPr>
                <w:rFonts w:cs="Calibri"/>
              </w:rPr>
              <w:t>Předložení návrhu novely vládě:</w:t>
            </w:r>
          </w:p>
          <w:p w14:paraId="2C2DE6F9" w14:textId="77777777" w:rsidR="003D49D0" w:rsidRPr="00DD47DF" w:rsidRDefault="003D49D0" w:rsidP="006D2F5F">
            <w:pPr>
              <w:pStyle w:val="Tabulka"/>
              <w:jc w:val="left"/>
              <w:rPr>
                <w:rFonts w:cs="Calibri"/>
              </w:rPr>
            </w:pPr>
            <w:r w:rsidRPr="00DD47DF">
              <w:rPr>
                <w:rFonts w:cs="Calibri"/>
              </w:rPr>
              <w:t>12/2014</w:t>
            </w:r>
          </w:p>
          <w:p w14:paraId="7802AD6E" w14:textId="77777777" w:rsidR="003D49D0" w:rsidRPr="00DD47DF" w:rsidRDefault="003D49D0" w:rsidP="006D2F5F">
            <w:pPr>
              <w:pStyle w:val="Tabulka"/>
              <w:jc w:val="left"/>
              <w:rPr>
                <w:rFonts w:cs="Calibri"/>
              </w:rPr>
            </w:pPr>
            <w:r w:rsidRPr="00DD47DF">
              <w:rPr>
                <w:rFonts w:cs="Calibri"/>
              </w:rPr>
              <w:t>Nabytí účinnosti novely:</w:t>
            </w:r>
          </w:p>
          <w:p w14:paraId="19C44009" w14:textId="77777777" w:rsidR="003D49D0" w:rsidRPr="00DD47DF" w:rsidRDefault="003D49D0" w:rsidP="006D2F5F">
            <w:pPr>
              <w:pStyle w:val="Tabulka"/>
              <w:jc w:val="left"/>
              <w:rPr>
                <w:rFonts w:cs="Calibri"/>
              </w:rPr>
            </w:pPr>
            <w:r w:rsidRPr="00DD47DF">
              <w:rPr>
                <w:rFonts w:cs="Calibri"/>
              </w:rPr>
              <w:t>10/2015</w:t>
            </w:r>
          </w:p>
          <w:p w14:paraId="18D9627A" w14:textId="77777777" w:rsidR="006D2F5F" w:rsidRPr="00DD47DF" w:rsidRDefault="006D2F5F" w:rsidP="006D2F5F">
            <w:pPr>
              <w:pStyle w:val="Tabulka"/>
              <w:jc w:val="left"/>
              <w:rPr>
                <w:rFonts w:cs="Calibri"/>
              </w:rPr>
            </w:pPr>
            <w:r w:rsidRPr="00DD47DF">
              <w:rPr>
                <w:rFonts w:cs="Calibri"/>
              </w:rPr>
              <w:t>Podrobn</w:t>
            </w:r>
            <w:r w:rsidR="00C03599" w:rsidRPr="00DD47DF">
              <w:rPr>
                <w:rFonts w:cs="Calibri"/>
              </w:rPr>
              <w:t>ěji</w:t>
            </w:r>
            <w:r w:rsidRPr="00DD47DF">
              <w:rPr>
                <w:rFonts w:cs="Calibri"/>
              </w:rPr>
              <w:t xml:space="preserve"> viz Příloha II</w:t>
            </w:r>
            <w:r w:rsidR="00C03599" w:rsidRPr="00DD47DF">
              <w:rPr>
                <w:rFonts w:cs="Calibri"/>
              </w:rPr>
              <w:t xml:space="preserve"> a Akční plán</w:t>
            </w:r>
            <w:r w:rsidRPr="00DD47DF">
              <w:rPr>
                <w:rFonts w:cs="Calibri"/>
              </w:rPr>
              <w:t>.</w:t>
            </w:r>
          </w:p>
        </w:tc>
        <w:tc>
          <w:tcPr>
            <w:tcW w:w="1801" w:type="dxa"/>
            <w:tcBorders>
              <w:top w:val="single" w:sz="4" w:space="0" w:color="auto"/>
              <w:left w:val="nil"/>
              <w:right w:val="double" w:sz="6" w:space="0" w:color="auto"/>
            </w:tcBorders>
            <w:shd w:val="clear" w:color="auto" w:fill="auto"/>
          </w:tcPr>
          <w:p w14:paraId="66A3A78D" w14:textId="77777777" w:rsidR="003D49D0" w:rsidRPr="00DD47DF" w:rsidRDefault="002D0399" w:rsidP="006D2F5F">
            <w:pPr>
              <w:pStyle w:val="Tabulka"/>
              <w:jc w:val="left"/>
              <w:rPr>
                <w:rFonts w:cs="Calibri"/>
              </w:rPr>
            </w:pPr>
            <w:r>
              <w:rPr>
                <w:rFonts w:cs="Calibri"/>
              </w:rPr>
              <w:t>31.10.</w:t>
            </w:r>
            <w:r w:rsidR="003D49D0" w:rsidRPr="00DD47DF">
              <w:rPr>
                <w:rFonts w:cs="Calibri"/>
              </w:rPr>
              <w:t>2015</w:t>
            </w:r>
          </w:p>
        </w:tc>
        <w:tc>
          <w:tcPr>
            <w:tcW w:w="0" w:type="auto"/>
            <w:tcBorders>
              <w:top w:val="single" w:sz="4" w:space="0" w:color="auto"/>
              <w:left w:val="nil"/>
              <w:right w:val="single" w:sz="8" w:space="0" w:color="auto"/>
            </w:tcBorders>
            <w:shd w:val="clear" w:color="auto" w:fill="auto"/>
          </w:tcPr>
          <w:p w14:paraId="2F5FC622" w14:textId="77777777" w:rsidR="006D2F5F" w:rsidRPr="00DD47DF" w:rsidRDefault="006D2F5F" w:rsidP="006D2F5F">
            <w:pPr>
              <w:pStyle w:val="Tabulka"/>
              <w:jc w:val="left"/>
              <w:rPr>
                <w:rFonts w:cs="Calibri"/>
              </w:rPr>
            </w:pPr>
            <w:r w:rsidRPr="00DD47DF">
              <w:rPr>
                <w:rFonts w:cs="Calibri"/>
              </w:rPr>
              <w:t>MSp</w:t>
            </w:r>
          </w:p>
        </w:tc>
      </w:tr>
      <w:tr w:rsidR="006D2F5F" w:rsidRPr="00DD47DF" w14:paraId="303316C1" w14:textId="77777777" w:rsidTr="00437632">
        <w:trPr>
          <w:trHeight w:val="363"/>
        </w:trPr>
        <w:tc>
          <w:tcPr>
            <w:tcW w:w="0" w:type="auto"/>
            <w:vMerge w:val="restart"/>
            <w:tcBorders>
              <w:top w:val="single" w:sz="4" w:space="0" w:color="auto"/>
              <w:left w:val="single" w:sz="8" w:space="0" w:color="auto"/>
              <w:right w:val="double" w:sz="6" w:space="0" w:color="auto"/>
            </w:tcBorders>
            <w:shd w:val="clear" w:color="auto" w:fill="auto"/>
          </w:tcPr>
          <w:p w14:paraId="3930C8A4" w14:textId="77777777" w:rsidR="006D2F5F" w:rsidRPr="00DD47DF" w:rsidRDefault="006D2F5F" w:rsidP="006D2F5F">
            <w:pPr>
              <w:pStyle w:val="Tabulka"/>
              <w:jc w:val="left"/>
              <w:rPr>
                <w:rFonts w:cs="Calibri"/>
                <w:b/>
              </w:rPr>
            </w:pPr>
            <w:r w:rsidRPr="00DD47DF">
              <w:rPr>
                <w:rFonts w:cs="Calibri"/>
                <w:b/>
              </w:rPr>
              <w:lastRenderedPageBreak/>
              <w:t>4.1. Byla provedena opatření na podporu nákladově efektivního zvyšování energetické účinnosti u koncového uživatele a nákladově efektivních investic do energetické účinnosti při výstavbě a renovaci budov</w:t>
            </w:r>
          </w:p>
        </w:tc>
        <w:tc>
          <w:tcPr>
            <w:tcW w:w="0" w:type="auto"/>
            <w:tcBorders>
              <w:top w:val="single" w:sz="4" w:space="0" w:color="auto"/>
              <w:left w:val="nil"/>
              <w:right w:val="double" w:sz="6" w:space="0" w:color="auto"/>
            </w:tcBorders>
            <w:shd w:val="clear" w:color="auto" w:fill="auto"/>
          </w:tcPr>
          <w:p w14:paraId="1F8E10B3" w14:textId="77777777" w:rsidR="006D2F5F" w:rsidRPr="00DD47DF" w:rsidRDefault="006D2F5F" w:rsidP="006D2F5F">
            <w:pPr>
              <w:pStyle w:val="Tabulka"/>
              <w:jc w:val="left"/>
              <w:rPr>
                <w:rFonts w:cs="Calibri"/>
              </w:rPr>
            </w:pPr>
            <w:r w:rsidRPr="00DD47DF">
              <w:rPr>
                <w:rFonts w:cs="Calibri"/>
              </w:rPr>
              <w:t>Opatření k zajištění minimálních požadavků týkajících se energetické náročnosti budov v souladu s články 3, 4 a 5 směrnice Evropského parlamentu a Rady 2010/31/EU,</w:t>
            </w:r>
          </w:p>
        </w:tc>
        <w:tc>
          <w:tcPr>
            <w:tcW w:w="6946" w:type="dxa"/>
            <w:tcBorders>
              <w:top w:val="single" w:sz="4" w:space="0" w:color="auto"/>
              <w:left w:val="nil"/>
              <w:bottom w:val="single" w:sz="4" w:space="0" w:color="auto"/>
              <w:right w:val="double" w:sz="6" w:space="0" w:color="auto"/>
            </w:tcBorders>
            <w:shd w:val="clear" w:color="auto" w:fill="auto"/>
          </w:tcPr>
          <w:p w14:paraId="282363B1" w14:textId="77777777" w:rsidR="006D2F5F" w:rsidRPr="00DD47DF" w:rsidRDefault="006D2F5F" w:rsidP="006D2F5F">
            <w:pPr>
              <w:pStyle w:val="Tabulka"/>
              <w:jc w:val="left"/>
              <w:rPr>
                <w:rFonts w:cs="Calibri"/>
              </w:rPr>
            </w:pPr>
            <w:r w:rsidRPr="00DD47DF">
              <w:rPr>
                <w:rFonts w:cs="Calibri"/>
              </w:rPr>
              <w:t xml:space="preserve">Úprava zákona č. 406/2000 Sb., o hospodaření s energií a vyhlášky č. 78/2013 Sb. </w:t>
            </w:r>
          </w:p>
          <w:p w14:paraId="70B44DC5" w14:textId="77777777" w:rsidR="008C4BF4" w:rsidRPr="00DD47DF" w:rsidRDefault="008C4BF4" w:rsidP="008C4BF4">
            <w:pPr>
              <w:pStyle w:val="Tabulka"/>
              <w:jc w:val="left"/>
              <w:rPr>
                <w:rFonts w:cs="Calibri"/>
              </w:rPr>
            </w:pPr>
            <w:r w:rsidRPr="00DD47DF">
              <w:rPr>
                <w:rFonts w:cs="Calibri"/>
              </w:rPr>
              <w:t>Předložení návrhu vládě</w:t>
            </w:r>
          </w:p>
          <w:p w14:paraId="501881EA" w14:textId="77777777" w:rsidR="008C4BF4" w:rsidRPr="00DD47DF" w:rsidRDefault="008C4BF4" w:rsidP="008C4BF4">
            <w:pPr>
              <w:pStyle w:val="Tabulka"/>
              <w:jc w:val="left"/>
              <w:rPr>
                <w:rFonts w:cs="Calibri"/>
              </w:rPr>
            </w:pPr>
            <w:r w:rsidRPr="00DD47DF">
              <w:rPr>
                <w:rFonts w:cs="Calibri"/>
              </w:rPr>
              <w:t>7/2014</w:t>
            </w:r>
          </w:p>
          <w:p w14:paraId="573CD7E1" w14:textId="77777777" w:rsidR="008C4BF4" w:rsidRPr="00DD47DF" w:rsidRDefault="008C4BF4" w:rsidP="008C4BF4">
            <w:pPr>
              <w:pStyle w:val="Tabulka"/>
              <w:jc w:val="left"/>
              <w:rPr>
                <w:rFonts w:cs="Calibri"/>
              </w:rPr>
            </w:pPr>
            <w:r w:rsidRPr="00DD47DF">
              <w:rPr>
                <w:rFonts w:cs="Calibri"/>
              </w:rPr>
              <w:t xml:space="preserve">Předložení Parlamentu </w:t>
            </w:r>
          </w:p>
          <w:p w14:paraId="5432C5D4" w14:textId="77777777" w:rsidR="008C4BF4" w:rsidRPr="00DD47DF" w:rsidRDefault="008C4BF4" w:rsidP="008C4BF4">
            <w:pPr>
              <w:pStyle w:val="Tabulka"/>
              <w:jc w:val="left"/>
              <w:rPr>
                <w:rFonts w:cs="Calibri"/>
              </w:rPr>
            </w:pPr>
            <w:r w:rsidRPr="00DD47DF">
              <w:rPr>
                <w:rFonts w:cs="Calibri"/>
              </w:rPr>
              <w:t>9/2014</w:t>
            </w:r>
          </w:p>
          <w:p w14:paraId="3ADC2FDB" w14:textId="77777777" w:rsidR="008C4BF4" w:rsidRPr="00DD47DF" w:rsidRDefault="008C4BF4" w:rsidP="008C4BF4">
            <w:pPr>
              <w:pStyle w:val="Tabulka"/>
              <w:jc w:val="left"/>
              <w:rPr>
                <w:rFonts w:cs="Calibri"/>
              </w:rPr>
            </w:pPr>
            <w:r w:rsidRPr="00DD47DF">
              <w:rPr>
                <w:rFonts w:cs="Calibri"/>
              </w:rPr>
              <w:t>Předpokládané nabytí účinnosti</w:t>
            </w:r>
          </w:p>
          <w:p w14:paraId="2C24B63B" w14:textId="77777777" w:rsidR="006D2F5F" w:rsidRPr="00DD47DF" w:rsidDel="00C8176E" w:rsidRDefault="00F907CF" w:rsidP="008C4BF4">
            <w:pPr>
              <w:pStyle w:val="Tabulka"/>
              <w:jc w:val="left"/>
              <w:rPr>
                <w:rFonts w:cs="Calibri"/>
              </w:rPr>
            </w:pPr>
            <w:r w:rsidRPr="00DD47DF">
              <w:rPr>
                <w:rFonts w:cs="Calibri"/>
              </w:rPr>
              <w:t>7</w:t>
            </w:r>
            <w:r w:rsidR="008C4BF4" w:rsidRPr="00DD47DF">
              <w:rPr>
                <w:rFonts w:cs="Calibri"/>
              </w:rPr>
              <w:t>/2015</w:t>
            </w:r>
          </w:p>
          <w:p w14:paraId="176FCED3" w14:textId="77777777" w:rsidR="006D2F5F" w:rsidRPr="00DD47DF" w:rsidRDefault="006D2F5F" w:rsidP="006D2F5F">
            <w:pPr>
              <w:pStyle w:val="Tabulka"/>
              <w:jc w:val="left"/>
              <w:rPr>
                <w:rFonts w:cs="Calibri"/>
              </w:rPr>
            </w:pPr>
          </w:p>
        </w:tc>
        <w:tc>
          <w:tcPr>
            <w:tcW w:w="1801" w:type="dxa"/>
            <w:tcBorders>
              <w:top w:val="single" w:sz="4" w:space="0" w:color="auto"/>
              <w:left w:val="nil"/>
              <w:bottom w:val="single" w:sz="4" w:space="0" w:color="auto"/>
              <w:right w:val="double" w:sz="6" w:space="0" w:color="auto"/>
            </w:tcBorders>
            <w:shd w:val="clear" w:color="auto" w:fill="auto"/>
          </w:tcPr>
          <w:p w14:paraId="375E42E1" w14:textId="77777777" w:rsidR="006D2F5F" w:rsidRPr="00DD47DF" w:rsidRDefault="00CC5680" w:rsidP="006D2F5F">
            <w:pPr>
              <w:pStyle w:val="Tabulka"/>
              <w:jc w:val="left"/>
              <w:rPr>
                <w:rFonts w:cs="Calibri"/>
              </w:rPr>
            </w:pPr>
            <w:r>
              <w:rPr>
                <w:rFonts w:cs="Calibri"/>
              </w:rPr>
              <w:t>1.7.2015</w:t>
            </w:r>
          </w:p>
        </w:tc>
        <w:tc>
          <w:tcPr>
            <w:tcW w:w="0" w:type="auto"/>
            <w:tcBorders>
              <w:top w:val="single" w:sz="4" w:space="0" w:color="auto"/>
              <w:left w:val="nil"/>
              <w:bottom w:val="single" w:sz="4" w:space="0" w:color="auto"/>
              <w:right w:val="single" w:sz="8" w:space="0" w:color="auto"/>
            </w:tcBorders>
            <w:shd w:val="clear" w:color="auto" w:fill="auto"/>
          </w:tcPr>
          <w:p w14:paraId="36387D7E" w14:textId="77777777" w:rsidR="006D2F5F" w:rsidRPr="00DD47DF" w:rsidRDefault="006D2F5F" w:rsidP="006D2F5F">
            <w:pPr>
              <w:pStyle w:val="Tabulka"/>
              <w:jc w:val="left"/>
              <w:rPr>
                <w:rFonts w:cs="Calibri"/>
              </w:rPr>
            </w:pPr>
            <w:r w:rsidRPr="00DD47DF">
              <w:rPr>
                <w:rFonts w:cs="Calibri"/>
              </w:rPr>
              <w:t>MPO</w:t>
            </w:r>
          </w:p>
        </w:tc>
      </w:tr>
      <w:tr w:rsidR="006D2F5F" w:rsidRPr="00DD47DF" w14:paraId="0425B68F" w14:textId="77777777" w:rsidTr="00CE43D2">
        <w:trPr>
          <w:trHeight w:val="3057"/>
        </w:trPr>
        <w:tc>
          <w:tcPr>
            <w:tcW w:w="0" w:type="auto"/>
            <w:vMerge/>
            <w:tcBorders>
              <w:left w:val="single" w:sz="8" w:space="0" w:color="auto"/>
              <w:right w:val="double" w:sz="6" w:space="0" w:color="auto"/>
            </w:tcBorders>
            <w:shd w:val="clear" w:color="auto" w:fill="auto"/>
          </w:tcPr>
          <w:p w14:paraId="32FCA4A2" w14:textId="77777777" w:rsidR="006D2F5F" w:rsidRPr="00DD47DF" w:rsidRDefault="006D2F5F" w:rsidP="006D2F5F">
            <w:pPr>
              <w:pStyle w:val="Tabulka"/>
              <w:jc w:val="left"/>
              <w:rPr>
                <w:rFonts w:cs="Calibri"/>
                <w:b/>
              </w:rPr>
            </w:pPr>
          </w:p>
        </w:tc>
        <w:tc>
          <w:tcPr>
            <w:tcW w:w="0" w:type="auto"/>
            <w:tcBorders>
              <w:top w:val="single" w:sz="4" w:space="0" w:color="auto"/>
              <w:left w:val="nil"/>
              <w:right w:val="double" w:sz="6" w:space="0" w:color="auto"/>
            </w:tcBorders>
            <w:shd w:val="clear" w:color="auto" w:fill="auto"/>
          </w:tcPr>
          <w:p w14:paraId="2144AF5F" w14:textId="77777777" w:rsidR="006D2F5F" w:rsidRPr="00DD47DF" w:rsidRDefault="006D2F5F" w:rsidP="006D2F5F">
            <w:pPr>
              <w:pStyle w:val="Tabulka"/>
              <w:jc w:val="left"/>
              <w:rPr>
                <w:rFonts w:cs="Calibri"/>
              </w:rPr>
            </w:pPr>
            <w:r w:rsidRPr="00DD47DF">
              <w:rPr>
                <w:rFonts w:cs="Calibri"/>
              </w:rPr>
              <w:t>Opatření nezbytná pro zavedení systému certifikace energetické náročnosti budov v souladu s článkem 11 směrnice 2010/31/EU,</w:t>
            </w:r>
          </w:p>
        </w:tc>
        <w:tc>
          <w:tcPr>
            <w:tcW w:w="6946" w:type="dxa"/>
            <w:tcBorders>
              <w:top w:val="single" w:sz="4" w:space="0" w:color="auto"/>
              <w:left w:val="nil"/>
              <w:right w:val="double" w:sz="6" w:space="0" w:color="auto"/>
            </w:tcBorders>
            <w:shd w:val="clear" w:color="auto" w:fill="auto"/>
          </w:tcPr>
          <w:p w14:paraId="6308A527" w14:textId="77777777" w:rsidR="006D2F5F" w:rsidRPr="00DD47DF" w:rsidRDefault="006D2F5F" w:rsidP="006D2F5F">
            <w:pPr>
              <w:pStyle w:val="Tabulka"/>
              <w:jc w:val="left"/>
              <w:rPr>
                <w:rFonts w:cs="Calibri"/>
              </w:rPr>
            </w:pPr>
            <w:r w:rsidRPr="00DD47DF">
              <w:rPr>
                <w:rFonts w:cs="Calibri"/>
              </w:rPr>
              <w:t xml:space="preserve">Úprava zákona č. 406/2000 Sb., o hospodaření s energií a vyhlášky č. 78/2013 Sb. </w:t>
            </w:r>
          </w:p>
          <w:p w14:paraId="5DB4BA9C" w14:textId="77777777" w:rsidR="008C4BF4" w:rsidRPr="00DD47DF" w:rsidRDefault="008C4BF4" w:rsidP="008C4BF4">
            <w:pPr>
              <w:pStyle w:val="Tabulka"/>
              <w:jc w:val="left"/>
              <w:rPr>
                <w:rFonts w:cs="Calibri"/>
              </w:rPr>
            </w:pPr>
            <w:r w:rsidRPr="00DD47DF">
              <w:rPr>
                <w:rFonts w:cs="Calibri"/>
              </w:rPr>
              <w:t>Předložení návrhu vládě</w:t>
            </w:r>
          </w:p>
          <w:p w14:paraId="7967CCA8" w14:textId="77777777" w:rsidR="008C4BF4" w:rsidRPr="00DD47DF" w:rsidRDefault="008C4BF4" w:rsidP="008C4BF4">
            <w:pPr>
              <w:pStyle w:val="Tabulka"/>
              <w:jc w:val="left"/>
              <w:rPr>
                <w:rFonts w:cs="Calibri"/>
              </w:rPr>
            </w:pPr>
            <w:r w:rsidRPr="00DD47DF">
              <w:rPr>
                <w:rFonts w:cs="Calibri"/>
              </w:rPr>
              <w:t>7/2014</w:t>
            </w:r>
          </w:p>
          <w:p w14:paraId="1E234F01" w14:textId="77777777" w:rsidR="008C4BF4" w:rsidRPr="00DD47DF" w:rsidRDefault="008C4BF4" w:rsidP="008C4BF4">
            <w:pPr>
              <w:pStyle w:val="Tabulka"/>
              <w:jc w:val="left"/>
              <w:rPr>
                <w:rFonts w:cs="Calibri"/>
              </w:rPr>
            </w:pPr>
            <w:r w:rsidRPr="00DD47DF">
              <w:rPr>
                <w:rFonts w:cs="Calibri"/>
              </w:rPr>
              <w:t xml:space="preserve">Předložení Parlamentu </w:t>
            </w:r>
          </w:p>
          <w:p w14:paraId="4B9AAA83" w14:textId="77777777" w:rsidR="008C4BF4" w:rsidRPr="00DD47DF" w:rsidRDefault="008C4BF4" w:rsidP="008C4BF4">
            <w:pPr>
              <w:pStyle w:val="Tabulka"/>
              <w:jc w:val="left"/>
              <w:rPr>
                <w:rFonts w:cs="Calibri"/>
              </w:rPr>
            </w:pPr>
            <w:r w:rsidRPr="00DD47DF">
              <w:rPr>
                <w:rFonts w:cs="Calibri"/>
              </w:rPr>
              <w:t>9/2014</w:t>
            </w:r>
          </w:p>
          <w:p w14:paraId="078C3291" w14:textId="77777777" w:rsidR="008C4BF4" w:rsidRPr="00DD47DF" w:rsidRDefault="008C4BF4" w:rsidP="008C4BF4">
            <w:pPr>
              <w:pStyle w:val="Tabulka"/>
              <w:jc w:val="left"/>
              <w:rPr>
                <w:rFonts w:cs="Calibri"/>
              </w:rPr>
            </w:pPr>
            <w:r w:rsidRPr="00DD47DF">
              <w:rPr>
                <w:rFonts w:cs="Calibri"/>
              </w:rPr>
              <w:t>Předpokládané nabytí účinnosti</w:t>
            </w:r>
          </w:p>
          <w:p w14:paraId="287CA963" w14:textId="77777777" w:rsidR="006D2F5F" w:rsidRPr="00DD47DF" w:rsidDel="008E10C9" w:rsidRDefault="00F907CF" w:rsidP="008C4BF4">
            <w:pPr>
              <w:pStyle w:val="Tabulka"/>
              <w:jc w:val="left"/>
              <w:rPr>
                <w:rFonts w:cs="Calibri"/>
              </w:rPr>
            </w:pPr>
            <w:r w:rsidRPr="00DD47DF">
              <w:rPr>
                <w:rFonts w:cs="Calibri"/>
              </w:rPr>
              <w:t>7</w:t>
            </w:r>
            <w:r w:rsidR="008C4BF4" w:rsidRPr="00DD47DF">
              <w:rPr>
                <w:rFonts w:cs="Calibri"/>
              </w:rPr>
              <w:t>/2015</w:t>
            </w:r>
          </w:p>
          <w:p w14:paraId="517B0418" w14:textId="77777777" w:rsidR="006D2F5F" w:rsidRPr="00DD47DF" w:rsidRDefault="006D2F5F" w:rsidP="006D2F5F">
            <w:pPr>
              <w:pStyle w:val="Tabulka"/>
              <w:jc w:val="left"/>
              <w:rPr>
                <w:rFonts w:cs="Calibri"/>
              </w:rPr>
            </w:pPr>
          </w:p>
        </w:tc>
        <w:tc>
          <w:tcPr>
            <w:tcW w:w="1801" w:type="dxa"/>
            <w:tcBorders>
              <w:top w:val="single" w:sz="4" w:space="0" w:color="auto"/>
              <w:left w:val="nil"/>
              <w:right w:val="double" w:sz="6" w:space="0" w:color="auto"/>
            </w:tcBorders>
            <w:shd w:val="clear" w:color="auto" w:fill="auto"/>
          </w:tcPr>
          <w:p w14:paraId="7758F158" w14:textId="77777777" w:rsidR="006D2F5F" w:rsidRPr="00DD47DF" w:rsidRDefault="00CC5680" w:rsidP="006D2F5F">
            <w:pPr>
              <w:pStyle w:val="Tabulka"/>
              <w:jc w:val="left"/>
              <w:rPr>
                <w:rFonts w:cs="Calibri"/>
              </w:rPr>
            </w:pPr>
            <w:r>
              <w:rPr>
                <w:rFonts w:cs="Calibri"/>
              </w:rPr>
              <w:t>1.7.2015</w:t>
            </w:r>
          </w:p>
        </w:tc>
        <w:tc>
          <w:tcPr>
            <w:tcW w:w="0" w:type="auto"/>
            <w:tcBorders>
              <w:top w:val="single" w:sz="4" w:space="0" w:color="auto"/>
              <w:left w:val="nil"/>
              <w:right w:val="single" w:sz="8" w:space="0" w:color="auto"/>
            </w:tcBorders>
            <w:shd w:val="clear" w:color="auto" w:fill="auto"/>
          </w:tcPr>
          <w:p w14:paraId="2A2FBB00" w14:textId="77777777" w:rsidR="006D2F5F" w:rsidRPr="00DD47DF" w:rsidRDefault="006D2F5F" w:rsidP="006D2F5F">
            <w:pPr>
              <w:pStyle w:val="Tabulka"/>
              <w:jc w:val="left"/>
              <w:rPr>
                <w:rFonts w:cs="Calibri"/>
              </w:rPr>
            </w:pPr>
            <w:r w:rsidRPr="00DD47DF">
              <w:rPr>
                <w:rFonts w:cs="Calibri"/>
              </w:rPr>
              <w:t>MPO</w:t>
            </w:r>
          </w:p>
        </w:tc>
      </w:tr>
      <w:tr w:rsidR="006D2F5F" w:rsidRPr="00DD47DF" w14:paraId="1370A6F1" w14:textId="77777777" w:rsidTr="002D60A4">
        <w:trPr>
          <w:trHeight w:val="2444"/>
        </w:trPr>
        <w:tc>
          <w:tcPr>
            <w:tcW w:w="0" w:type="auto"/>
            <w:vMerge/>
            <w:tcBorders>
              <w:left w:val="single" w:sz="8" w:space="0" w:color="auto"/>
              <w:right w:val="double" w:sz="6" w:space="0" w:color="auto"/>
            </w:tcBorders>
            <w:shd w:val="clear" w:color="auto" w:fill="auto"/>
          </w:tcPr>
          <w:p w14:paraId="35D95155" w14:textId="77777777" w:rsidR="006D2F5F" w:rsidRPr="00DD47DF" w:rsidRDefault="006D2F5F" w:rsidP="006D2F5F">
            <w:pPr>
              <w:pStyle w:val="Tabulka"/>
              <w:jc w:val="left"/>
              <w:rPr>
                <w:rFonts w:cs="Calibri"/>
                <w:b/>
              </w:rPr>
            </w:pPr>
          </w:p>
        </w:tc>
        <w:tc>
          <w:tcPr>
            <w:tcW w:w="0" w:type="auto"/>
            <w:tcBorders>
              <w:top w:val="single" w:sz="4" w:space="0" w:color="auto"/>
              <w:left w:val="nil"/>
              <w:right w:val="double" w:sz="6" w:space="0" w:color="auto"/>
            </w:tcBorders>
            <w:shd w:val="clear" w:color="auto" w:fill="auto"/>
          </w:tcPr>
          <w:p w14:paraId="6D120B5C" w14:textId="77777777" w:rsidR="006D2F5F" w:rsidRPr="00DD47DF" w:rsidRDefault="006D2F5F" w:rsidP="006D2F5F">
            <w:pPr>
              <w:pStyle w:val="Tabulka"/>
              <w:jc w:val="left"/>
              <w:rPr>
                <w:rFonts w:cs="Calibri"/>
              </w:rPr>
            </w:pPr>
            <w:r w:rsidRPr="00DD47DF">
              <w:rPr>
                <w:rFonts w:cs="Calibri"/>
              </w:rPr>
              <w:t>Opatření k zajištění strategického plánování v oblasti energetické účinnosti v souladu s čl. 3 směrnice 2012/27/EU</w:t>
            </w:r>
            <w:r w:rsidRPr="00DD47DF">
              <w:rPr>
                <w:rStyle w:val="Znakapoznpodarou"/>
                <w:rFonts w:cs="Calibri"/>
              </w:rPr>
              <w:footnoteReference w:id="106"/>
            </w:r>
          </w:p>
        </w:tc>
        <w:tc>
          <w:tcPr>
            <w:tcW w:w="6946" w:type="dxa"/>
            <w:tcBorders>
              <w:top w:val="single" w:sz="4" w:space="0" w:color="auto"/>
              <w:left w:val="nil"/>
              <w:bottom w:val="single" w:sz="4" w:space="0" w:color="auto"/>
              <w:right w:val="double" w:sz="6" w:space="0" w:color="auto"/>
            </w:tcBorders>
            <w:shd w:val="clear" w:color="auto" w:fill="auto"/>
          </w:tcPr>
          <w:p w14:paraId="684AAE52" w14:textId="77777777" w:rsidR="006D2F5F" w:rsidRPr="00DD47DF" w:rsidRDefault="006D2F5F" w:rsidP="006D2F5F">
            <w:pPr>
              <w:pStyle w:val="Tabulka"/>
              <w:keepNext/>
              <w:keepLines/>
              <w:jc w:val="left"/>
              <w:rPr>
                <w:rFonts w:cs="Calibri"/>
              </w:rPr>
            </w:pPr>
            <w:r w:rsidRPr="00DD47DF">
              <w:rPr>
                <w:rFonts w:cs="Calibri"/>
              </w:rPr>
              <w:t>Novela zákona č. 406/2000 Sb., o hospodaření s energií</w:t>
            </w:r>
          </w:p>
          <w:p w14:paraId="140E8131" w14:textId="77777777" w:rsidR="008C4BF4" w:rsidRPr="00DD47DF" w:rsidRDefault="008C4BF4" w:rsidP="008C4BF4">
            <w:pPr>
              <w:pStyle w:val="Tabulka"/>
              <w:keepNext/>
              <w:keepLines/>
              <w:jc w:val="left"/>
              <w:rPr>
                <w:rFonts w:cs="Calibri"/>
              </w:rPr>
            </w:pPr>
            <w:r w:rsidRPr="00DD47DF">
              <w:rPr>
                <w:rFonts w:cs="Calibri"/>
              </w:rPr>
              <w:t>Zákon č. 406/2000 Sb.:</w:t>
            </w:r>
          </w:p>
          <w:p w14:paraId="0B7F02E1" w14:textId="77777777" w:rsidR="008C4BF4" w:rsidRPr="00DD47DF" w:rsidRDefault="008C4BF4" w:rsidP="008C4BF4">
            <w:pPr>
              <w:pStyle w:val="Tabulka"/>
              <w:keepNext/>
              <w:keepLines/>
              <w:jc w:val="left"/>
              <w:rPr>
                <w:rFonts w:cs="Calibri"/>
              </w:rPr>
            </w:pPr>
            <w:r w:rsidRPr="00DD47DF">
              <w:rPr>
                <w:rFonts w:cs="Calibri"/>
              </w:rPr>
              <w:t>Předložení návrhu vládě</w:t>
            </w:r>
          </w:p>
          <w:p w14:paraId="229E2F8E" w14:textId="77777777" w:rsidR="008C4BF4" w:rsidRPr="00DD47DF" w:rsidRDefault="008C4BF4" w:rsidP="008C4BF4">
            <w:pPr>
              <w:pStyle w:val="Tabulka"/>
              <w:keepNext/>
              <w:keepLines/>
              <w:jc w:val="left"/>
              <w:rPr>
                <w:rFonts w:cs="Calibri"/>
              </w:rPr>
            </w:pPr>
            <w:r w:rsidRPr="00DD47DF">
              <w:rPr>
                <w:rFonts w:cs="Calibri"/>
              </w:rPr>
              <w:t>7/2014</w:t>
            </w:r>
          </w:p>
          <w:p w14:paraId="29932ECF" w14:textId="77777777" w:rsidR="008C4BF4" w:rsidRPr="00DD47DF" w:rsidRDefault="008C4BF4" w:rsidP="008C4BF4">
            <w:pPr>
              <w:pStyle w:val="Tabulka"/>
              <w:keepNext/>
              <w:keepLines/>
              <w:jc w:val="left"/>
              <w:rPr>
                <w:rFonts w:cs="Calibri"/>
              </w:rPr>
            </w:pPr>
            <w:r w:rsidRPr="00DD47DF">
              <w:rPr>
                <w:rFonts w:cs="Calibri"/>
              </w:rPr>
              <w:t>Předložení Parlamentu</w:t>
            </w:r>
          </w:p>
          <w:p w14:paraId="0E7774F9" w14:textId="77777777" w:rsidR="008C4BF4" w:rsidRPr="00DD47DF" w:rsidRDefault="008C4BF4" w:rsidP="008C4BF4">
            <w:pPr>
              <w:pStyle w:val="Tabulka"/>
              <w:keepNext/>
              <w:keepLines/>
              <w:jc w:val="left"/>
              <w:rPr>
                <w:rFonts w:cs="Calibri"/>
              </w:rPr>
            </w:pPr>
            <w:r w:rsidRPr="00DD47DF">
              <w:rPr>
                <w:rFonts w:cs="Calibri"/>
              </w:rPr>
              <w:t>9/2014</w:t>
            </w:r>
          </w:p>
          <w:p w14:paraId="17CF29A9" w14:textId="77777777" w:rsidR="008C4BF4" w:rsidRPr="00DD47DF" w:rsidRDefault="008C4BF4" w:rsidP="008C4BF4">
            <w:pPr>
              <w:pStyle w:val="Tabulka"/>
              <w:keepNext/>
              <w:keepLines/>
              <w:jc w:val="left"/>
              <w:rPr>
                <w:rFonts w:cs="Calibri"/>
              </w:rPr>
            </w:pPr>
            <w:r w:rsidRPr="00DD47DF">
              <w:rPr>
                <w:rFonts w:cs="Calibri"/>
              </w:rPr>
              <w:t>Předpokládané nabytí účinnosti</w:t>
            </w:r>
          </w:p>
          <w:p w14:paraId="017DEA87" w14:textId="77777777" w:rsidR="008C4BF4" w:rsidRPr="00DD47DF" w:rsidRDefault="00F907CF" w:rsidP="008C4BF4">
            <w:pPr>
              <w:pStyle w:val="Tabulka"/>
              <w:keepNext/>
              <w:keepLines/>
              <w:jc w:val="left"/>
              <w:rPr>
                <w:rFonts w:cs="Calibri"/>
              </w:rPr>
            </w:pPr>
            <w:r w:rsidRPr="00DD47DF">
              <w:rPr>
                <w:rFonts w:cs="Calibri"/>
              </w:rPr>
              <w:t>7</w:t>
            </w:r>
            <w:r w:rsidR="008C4BF4" w:rsidRPr="00DD47DF">
              <w:rPr>
                <w:rFonts w:cs="Calibri"/>
              </w:rPr>
              <w:t>/2015</w:t>
            </w:r>
          </w:p>
          <w:p w14:paraId="569ADE03" w14:textId="77777777" w:rsidR="006D2F5F" w:rsidRPr="00DD47DF" w:rsidRDefault="006D2F5F" w:rsidP="006D2F5F">
            <w:pPr>
              <w:pStyle w:val="Tabulka"/>
              <w:jc w:val="left"/>
              <w:rPr>
                <w:rFonts w:cs="Calibri"/>
              </w:rPr>
            </w:pPr>
            <w:r w:rsidRPr="00DD47DF">
              <w:rPr>
                <w:rFonts w:cs="Calibri"/>
              </w:rPr>
              <w:t>Novela energetického zákona (zákon č. 458/2000 Sb.)</w:t>
            </w:r>
          </w:p>
          <w:p w14:paraId="0E43EFF0" w14:textId="77777777" w:rsidR="008C4BF4" w:rsidRPr="00DD47DF" w:rsidRDefault="008C4BF4" w:rsidP="008C4BF4">
            <w:pPr>
              <w:pStyle w:val="Tabulka"/>
              <w:keepNext/>
              <w:keepLines/>
              <w:jc w:val="left"/>
              <w:rPr>
                <w:rFonts w:cs="Calibri"/>
              </w:rPr>
            </w:pPr>
            <w:r w:rsidRPr="00DD47DF">
              <w:rPr>
                <w:rFonts w:cs="Calibri"/>
              </w:rPr>
              <w:t>Zákon 458/2000 Sb.:</w:t>
            </w:r>
          </w:p>
          <w:p w14:paraId="5F5876C5" w14:textId="77777777" w:rsidR="008C4BF4" w:rsidRPr="00DD47DF" w:rsidRDefault="008C4BF4" w:rsidP="008C4BF4">
            <w:pPr>
              <w:pStyle w:val="Tabulka"/>
              <w:keepNext/>
              <w:keepLines/>
              <w:jc w:val="left"/>
              <w:rPr>
                <w:rFonts w:cs="Calibri"/>
              </w:rPr>
            </w:pPr>
            <w:r w:rsidRPr="00DD47DF">
              <w:rPr>
                <w:rFonts w:cs="Calibri"/>
              </w:rPr>
              <w:t>Předložení návrhu vládě</w:t>
            </w:r>
          </w:p>
          <w:p w14:paraId="5FD14053" w14:textId="77777777" w:rsidR="008C4BF4" w:rsidRPr="00DD47DF" w:rsidRDefault="008C4BF4" w:rsidP="008C4BF4">
            <w:pPr>
              <w:pStyle w:val="Tabulka"/>
              <w:keepNext/>
              <w:keepLines/>
              <w:jc w:val="left"/>
              <w:rPr>
                <w:rFonts w:cs="Calibri"/>
              </w:rPr>
            </w:pPr>
            <w:r w:rsidRPr="00DD47DF">
              <w:rPr>
                <w:rFonts w:cs="Calibri"/>
              </w:rPr>
              <w:t>8/2014</w:t>
            </w:r>
          </w:p>
          <w:p w14:paraId="799DAB68" w14:textId="77777777" w:rsidR="008C4BF4" w:rsidRPr="00DD47DF" w:rsidRDefault="008C4BF4" w:rsidP="008C4BF4">
            <w:pPr>
              <w:pStyle w:val="Tabulka"/>
              <w:keepNext/>
              <w:keepLines/>
              <w:jc w:val="left"/>
              <w:rPr>
                <w:rFonts w:cs="Calibri"/>
              </w:rPr>
            </w:pPr>
            <w:r w:rsidRPr="00DD47DF">
              <w:rPr>
                <w:rFonts w:cs="Calibri"/>
              </w:rPr>
              <w:t>Předložení Parlamentu</w:t>
            </w:r>
          </w:p>
          <w:p w14:paraId="30C5AD44" w14:textId="77777777" w:rsidR="008C4BF4" w:rsidRPr="00DD47DF" w:rsidRDefault="008C4BF4" w:rsidP="008C4BF4">
            <w:pPr>
              <w:pStyle w:val="Tabulka"/>
              <w:keepNext/>
              <w:keepLines/>
              <w:jc w:val="left"/>
              <w:rPr>
                <w:rFonts w:cs="Calibri"/>
              </w:rPr>
            </w:pPr>
            <w:r w:rsidRPr="00DD47DF">
              <w:rPr>
                <w:rFonts w:cs="Calibri"/>
              </w:rPr>
              <w:t>10/2014</w:t>
            </w:r>
          </w:p>
          <w:p w14:paraId="2A94E68A" w14:textId="77777777" w:rsidR="008C4BF4" w:rsidRPr="00DD47DF" w:rsidRDefault="008C4BF4" w:rsidP="008C4BF4">
            <w:pPr>
              <w:pStyle w:val="Tabulka"/>
              <w:keepNext/>
              <w:keepLines/>
              <w:jc w:val="left"/>
              <w:rPr>
                <w:rFonts w:cs="Calibri"/>
              </w:rPr>
            </w:pPr>
            <w:r w:rsidRPr="00DD47DF">
              <w:rPr>
                <w:rFonts w:cs="Calibri"/>
              </w:rPr>
              <w:t>Předpokládané nabytí účinnosti</w:t>
            </w:r>
          </w:p>
          <w:p w14:paraId="2D5D17FF" w14:textId="77777777" w:rsidR="008C4BF4" w:rsidRPr="00DD47DF" w:rsidRDefault="008C4BF4" w:rsidP="008C4BF4">
            <w:pPr>
              <w:pStyle w:val="Tabulka"/>
              <w:jc w:val="left"/>
              <w:rPr>
                <w:rFonts w:cs="Calibri"/>
              </w:rPr>
            </w:pPr>
            <w:r w:rsidRPr="00DD47DF">
              <w:rPr>
                <w:rFonts w:cs="Calibri"/>
              </w:rPr>
              <w:t>7/2015</w:t>
            </w:r>
          </w:p>
        </w:tc>
        <w:tc>
          <w:tcPr>
            <w:tcW w:w="1801" w:type="dxa"/>
            <w:tcBorders>
              <w:top w:val="single" w:sz="4" w:space="0" w:color="auto"/>
              <w:left w:val="nil"/>
              <w:bottom w:val="single" w:sz="4" w:space="0" w:color="auto"/>
              <w:right w:val="double" w:sz="6" w:space="0" w:color="auto"/>
            </w:tcBorders>
            <w:shd w:val="clear" w:color="auto" w:fill="auto"/>
          </w:tcPr>
          <w:p w14:paraId="676E5FA3" w14:textId="77777777" w:rsidR="006D2F5F" w:rsidRPr="00DD47DF" w:rsidRDefault="00CC5680" w:rsidP="002D60A4">
            <w:pPr>
              <w:pStyle w:val="Tabulka"/>
              <w:keepNext/>
              <w:keepLines/>
              <w:jc w:val="left"/>
              <w:rPr>
                <w:rFonts w:cs="Calibri"/>
              </w:rPr>
            </w:pPr>
            <w:r>
              <w:rPr>
                <w:rFonts w:cs="Calibri"/>
              </w:rPr>
              <w:t>1.7.2015</w:t>
            </w:r>
          </w:p>
        </w:tc>
        <w:tc>
          <w:tcPr>
            <w:tcW w:w="0" w:type="auto"/>
            <w:tcBorders>
              <w:top w:val="single" w:sz="4" w:space="0" w:color="auto"/>
              <w:left w:val="nil"/>
              <w:bottom w:val="single" w:sz="4" w:space="0" w:color="auto"/>
              <w:right w:val="single" w:sz="8" w:space="0" w:color="auto"/>
            </w:tcBorders>
            <w:shd w:val="clear" w:color="auto" w:fill="auto"/>
          </w:tcPr>
          <w:p w14:paraId="1057CD6E" w14:textId="77777777" w:rsidR="006D2F5F" w:rsidRPr="00DD47DF" w:rsidRDefault="006D2F5F" w:rsidP="006D2F5F">
            <w:pPr>
              <w:pStyle w:val="Tabulka"/>
              <w:jc w:val="left"/>
              <w:rPr>
                <w:rFonts w:cs="Calibri"/>
              </w:rPr>
            </w:pPr>
            <w:r w:rsidRPr="00DD47DF">
              <w:rPr>
                <w:rFonts w:cs="Calibri"/>
              </w:rPr>
              <w:t>MPO</w:t>
            </w:r>
          </w:p>
        </w:tc>
      </w:tr>
      <w:tr w:rsidR="006D2F5F" w:rsidRPr="00DD47DF" w14:paraId="4296DA59" w14:textId="77777777" w:rsidTr="00BD2266">
        <w:trPr>
          <w:trHeight w:val="930"/>
        </w:trPr>
        <w:tc>
          <w:tcPr>
            <w:tcW w:w="0" w:type="auto"/>
            <w:vMerge/>
            <w:tcBorders>
              <w:left w:val="single" w:sz="8" w:space="0" w:color="auto"/>
              <w:right w:val="double" w:sz="6" w:space="0" w:color="auto"/>
            </w:tcBorders>
            <w:shd w:val="clear" w:color="auto" w:fill="auto"/>
          </w:tcPr>
          <w:p w14:paraId="63C124F2" w14:textId="77777777" w:rsidR="006D2F5F" w:rsidRPr="00DD47DF" w:rsidRDefault="006D2F5F" w:rsidP="006D2F5F">
            <w:pPr>
              <w:pStyle w:val="Tabulka"/>
              <w:jc w:val="left"/>
              <w:rPr>
                <w:rFonts w:cs="Calibri"/>
                <w:b/>
              </w:rPr>
            </w:pPr>
          </w:p>
        </w:tc>
        <w:tc>
          <w:tcPr>
            <w:tcW w:w="0" w:type="auto"/>
            <w:tcBorders>
              <w:top w:val="single" w:sz="4" w:space="0" w:color="auto"/>
              <w:left w:val="nil"/>
              <w:right w:val="double" w:sz="6" w:space="0" w:color="auto"/>
            </w:tcBorders>
            <w:shd w:val="clear" w:color="auto" w:fill="auto"/>
          </w:tcPr>
          <w:p w14:paraId="03B33701" w14:textId="77777777" w:rsidR="006D2F5F" w:rsidRPr="00DD47DF" w:rsidRDefault="006D2F5F" w:rsidP="006D2F5F">
            <w:pPr>
              <w:pStyle w:val="Tabulka"/>
              <w:jc w:val="left"/>
              <w:rPr>
                <w:rFonts w:cs="Calibri"/>
              </w:rPr>
            </w:pPr>
            <w:r w:rsidRPr="00DD47DF">
              <w:rPr>
                <w:rFonts w:cs="Calibri"/>
              </w:rPr>
              <w:t xml:space="preserve">Opatření v souladu s článkem 13 směrnice Evropského parlamentu a Rady 2006/32/ES zajišťující, aby </w:t>
            </w:r>
            <w:r w:rsidRPr="00DD47DF">
              <w:rPr>
                <w:rFonts w:cs="Calibri"/>
              </w:rPr>
              <w:lastRenderedPageBreak/>
              <w:t>pokud je to technicky možné, finančně únosné a úměrné potenciálním úsporám energie, byli koneční zákazníci vybaveni individuálními měřiči.</w:t>
            </w:r>
          </w:p>
        </w:tc>
        <w:tc>
          <w:tcPr>
            <w:tcW w:w="6946" w:type="dxa"/>
            <w:tcBorders>
              <w:top w:val="single" w:sz="4" w:space="0" w:color="auto"/>
              <w:left w:val="nil"/>
              <w:bottom w:val="single" w:sz="4" w:space="0" w:color="auto"/>
              <w:right w:val="double" w:sz="6" w:space="0" w:color="auto"/>
            </w:tcBorders>
            <w:shd w:val="clear" w:color="auto" w:fill="auto"/>
          </w:tcPr>
          <w:p w14:paraId="0D51C1BC" w14:textId="77777777" w:rsidR="006D2F5F" w:rsidRPr="00DD47DF" w:rsidRDefault="006D2F5F" w:rsidP="006D2F5F">
            <w:pPr>
              <w:pStyle w:val="Tabulka"/>
              <w:jc w:val="left"/>
              <w:rPr>
                <w:rFonts w:cs="Calibri"/>
              </w:rPr>
            </w:pPr>
            <w:r w:rsidRPr="00DD47DF">
              <w:rPr>
                <w:rFonts w:cs="Calibri"/>
              </w:rPr>
              <w:lastRenderedPageBreak/>
              <w:t>Doplnění energetického zákona (zákon č. 458/2000 Sb.) a novelizace vyhlášky č. 194/2007 Sb., úprava zákona č. 406/2000 Sb., o hospodaření s</w:t>
            </w:r>
            <w:r w:rsidR="008C4BF4" w:rsidRPr="00DD47DF">
              <w:rPr>
                <w:rFonts w:cs="Calibri"/>
              </w:rPr>
              <w:t> </w:t>
            </w:r>
            <w:r w:rsidRPr="00DD47DF">
              <w:rPr>
                <w:rFonts w:cs="Calibri"/>
              </w:rPr>
              <w:t>energií</w:t>
            </w:r>
          </w:p>
          <w:p w14:paraId="14820EC2" w14:textId="77777777" w:rsidR="008C4BF4" w:rsidRPr="00DD47DF" w:rsidRDefault="008C4BF4" w:rsidP="008C4BF4">
            <w:pPr>
              <w:pStyle w:val="Tabulka"/>
              <w:keepNext/>
              <w:keepLines/>
              <w:jc w:val="left"/>
              <w:rPr>
                <w:rFonts w:cs="Calibri"/>
              </w:rPr>
            </w:pPr>
            <w:r w:rsidRPr="00DD47DF">
              <w:rPr>
                <w:rFonts w:cs="Calibri"/>
              </w:rPr>
              <w:t>Zákon 458/2000 Sb.:</w:t>
            </w:r>
          </w:p>
          <w:p w14:paraId="5C7CEA90" w14:textId="77777777" w:rsidR="008C4BF4" w:rsidRPr="00DD47DF" w:rsidRDefault="008C4BF4" w:rsidP="008C4BF4">
            <w:pPr>
              <w:pStyle w:val="Tabulka"/>
              <w:jc w:val="left"/>
              <w:rPr>
                <w:rFonts w:cs="Calibri"/>
              </w:rPr>
            </w:pPr>
            <w:r w:rsidRPr="00DD47DF">
              <w:rPr>
                <w:rFonts w:cs="Calibri"/>
              </w:rPr>
              <w:t>Předložení návrhu vládě</w:t>
            </w:r>
          </w:p>
          <w:p w14:paraId="3F3F7818" w14:textId="77777777" w:rsidR="008C4BF4" w:rsidRPr="00DD47DF" w:rsidRDefault="008C4BF4" w:rsidP="008C4BF4">
            <w:pPr>
              <w:pStyle w:val="Tabulka"/>
              <w:jc w:val="left"/>
              <w:rPr>
                <w:rFonts w:cs="Calibri"/>
              </w:rPr>
            </w:pPr>
            <w:r w:rsidRPr="00DD47DF">
              <w:rPr>
                <w:rFonts w:cs="Calibri"/>
              </w:rPr>
              <w:t>8/2014</w:t>
            </w:r>
          </w:p>
          <w:p w14:paraId="00EF0C23" w14:textId="77777777" w:rsidR="008C4BF4" w:rsidRPr="00DD47DF" w:rsidRDefault="008C4BF4" w:rsidP="008C4BF4">
            <w:pPr>
              <w:pStyle w:val="Tabulka"/>
              <w:jc w:val="left"/>
              <w:rPr>
                <w:rFonts w:cs="Calibri"/>
              </w:rPr>
            </w:pPr>
            <w:r w:rsidRPr="00DD47DF">
              <w:rPr>
                <w:rFonts w:cs="Calibri"/>
              </w:rPr>
              <w:t xml:space="preserve">Předložení Parlamentu </w:t>
            </w:r>
          </w:p>
          <w:p w14:paraId="6DB13EE7" w14:textId="77777777" w:rsidR="008C4BF4" w:rsidRPr="00DD47DF" w:rsidRDefault="008C4BF4" w:rsidP="008C4BF4">
            <w:pPr>
              <w:pStyle w:val="Tabulka"/>
              <w:jc w:val="left"/>
              <w:rPr>
                <w:rFonts w:cs="Calibri"/>
              </w:rPr>
            </w:pPr>
            <w:r w:rsidRPr="00DD47DF">
              <w:rPr>
                <w:rFonts w:cs="Calibri"/>
              </w:rPr>
              <w:lastRenderedPageBreak/>
              <w:t>10/2014</w:t>
            </w:r>
          </w:p>
          <w:p w14:paraId="43C719DB" w14:textId="77777777" w:rsidR="008C4BF4" w:rsidRPr="00DD47DF" w:rsidRDefault="008C4BF4" w:rsidP="008C4BF4">
            <w:pPr>
              <w:pStyle w:val="Tabulka"/>
              <w:jc w:val="left"/>
              <w:rPr>
                <w:rFonts w:cs="Calibri"/>
              </w:rPr>
            </w:pPr>
            <w:r w:rsidRPr="00DD47DF">
              <w:rPr>
                <w:rFonts w:cs="Calibri"/>
              </w:rPr>
              <w:t>Předpokládané nabytí účinnosti</w:t>
            </w:r>
          </w:p>
          <w:p w14:paraId="4837C831" w14:textId="77777777" w:rsidR="008C4BF4" w:rsidRPr="00DD47DF" w:rsidRDefault="008C4BF4" w:rsidP="008C4BF4">
            <w:pPr>
              <w:pStyle w:val="Tabulka"/>
              <w:jc w:val="left"/>
              <w:rPr>
                <w:rFonts w:cs="Calibri"/>
              </w:rPr>
            </w:pPr>
            <w:r w:rsidRPr="00DD47DF">
              <w:rPr>
                <w:rFonts w:cs="Calibri"/>
              </w:rPr>
              <w:t>7/2015</w:t>
            </w:r>
          </w:p>
          <w:p w14:paraId="1F07CD47" w14:textId="77777777" w:rsidR="008C4BF4" w:rsidRPr="00DD47DF" w:rsidRDefault="008C4BF4" w:rsidP="008C4BF4">
            <w:pPr>
              <w:pStyle w:val="Tabulka"/>
              <w:keepNext/>
              <w:keepLines/>
              <w:jc w:val="left"/>
              <w:rPr>
                <w:rFonts w:cs="Calibri"/>
              </w:rPr>
            </w:pPr>
            <w:r w:rsidRPr="00DD47DF">
              <w:rPr>
                <w:rFonts w:cs="Calibri"/>
              </w:rPr>
              <w:t>zákon č. 406/2000 Sb.:</w:t>
            </w:r>
          </w:p>
          <w:p w14:paraId="095AEF98" w14:textId="77777777" w:rsidR="008C4BF4" w:rsidRPr="00DD47DF" w:rsidRDefault="008C4BF4" w:rsidP="008C4BF4">
            <w:pPr>
              <w:pStyle w:val="Tabulka"/>
              <w:keepNext/>
              <w:keepLines/>
              <w:jc w:val="left"/>
              <w:rPr>
                <w:rFonts w:cs="Calibri"/>
              </w:rPr>
            </w:pPr>
            <w:r w:rsidRPr="00DD47DF">
              <w:rPr>
                <w:rFonts w:cs="Calibri"/>
              </w:rPr>
              <w:t>Předložení návrhu vládě</w:t>
            </w:r>
          </w:p>
          <w:p w14:paraId="00A642AF" w14:textId="77777777" w:rsidR="008C4BF4" w:rsidRPr="00DD47DF" w:rsidRDefault="008C4BF4" w:rsidP="008C4BF4">
            <w:pPr>
              <w:pStyle w:val="Tabulka"/>
              <w:keepNext/>
              <w:keepLines/>
              <w:jc w:val="left"/>
              <w:rPr>
                <w:rFonts w:cs="Calibri"/>
              </w:rPr>
            </w:pPr>
            <w:r w:rsidRPr="00DD47DF">
              <w:rPr>
                <w:rFonts w:cs="Calibri"/>
              </w:rPr>
              <w:t>7/2014</w:t>
            </w:r>
          </w:p>
          <w:p w14:paraId="0558EA5A" w14:textId="77777777" w:rsidR="008C4BF4" w:rsidRPr="00DD47DF" w:rsidRDefault="008C4BF4" w:rsidP="008C4BF4">
            <w:pPr>
              <w:pStyle w:val="Tabulka"/>
              <w:keepNext/>
              <w:keepLines/>
              <w:jc w:val="left"/>
              <w:rPr>
                <w:rFonts w:cs="Calibri"/>
              </w:rPr>
            </w:pPr>
            <w:r w:rsidRPr="00DD47DF">
              <w:rPr>
                <w:rFonts w:cs="Calibri"/>
              </w:rPr>
              <w:t>Předložení Parlamentu</w:t>
            </w:r>
          </w:p>
          <w:p w14:paraId="3F2329B5" w14:textId="77777777" w:rsidR="008C4BF4" w:rsidRPr="00DD47DF" w:rsidRDefault="008C4BF4" w:rsidP="008C4BF4">
            <w:pPr>
              <w:pStyle w:val="Tabulka"/>
              <w:keepNext/>
              <w:keepLines/>
              <w:jc w:val="left"/>
              <w:rPr>
                <w:rFonts w:cs="Calibri"/>
              </w:rPr>
            </w:pPr>
            <w:r w:rsidRPr="00DD47DF">
              <w:rPr>
                <w:rFonts w:cs="Calibri"/>
              </w:rPr>
              <w:t>9/2014</w:t>
            </w:r>
          </w:p>
          <w:p w14:paraId="4303CDC4" w14:textId="77777777" w:rsidR="008C4BF4" w:rsidRPr="00DD47DF" w:rsidRDefault="008C4BF4" w:rsidP="008C4BF4">
            <w:pPr>
              <w:pStyle w:val="Tabulka"/>
              <w:keepNext/>
              <w:keepLines/>
              <w:jc w:val="left"/>
              <w:rPr>
                <w:rFonts w:cs="Calibri"/>
              </w:rPr>
            </w:pPr>
            <w:r w:rsidRPr="00DD47DF">
              <w:rPr>
                <w:rFonts w:cs="Calibri"/>
              </w:rPr>
              <w:t>Předpokládané nabytí účinnosti</w:t>
            </w:r>
          </w:p>
          <w:p w14:paraId="03F9BDF6" w14:textId="77777777" w:rsidR="008C4BF4" w:rsidRPr="00DD47DF" w:rsidRDefault="00F907CF" w:rsidP="008C4BF4">
            <w:pPr>
              <w:pStyle w:val="Tabulka"/>
              <w:jc w:val="left"/>
              <w:rPr>
                <w:rFonts w:cs="Calibri"/>
              </w:rPr>
            </w:pPr>
            <w:r w:rsidRPr="00DD47DF">
              <w:rPr>
                <w:rFonts w:cs="Calibri"/>
              </w:rPr>
              <w:t>7</w:t>
            </w:r>
            <w:r w:rsidR="008C4BF4" w:rsidRPr="00DD47DF">
              <w:rPr>
                <w:rFonts w:cs="Calibri"/>
              </w:rPr>
              <w:t>/2015</w:t>
            </w:r>
          </w:p>
          <w:p w14:paraId="1EF92D1C" w14:textId="77777777" w:rsidR="008C4BF4" w:rsidRPr="00DD47DF" w:rsidRDefault="008C4BF4" w:rsidP="006D2F5F">
            <w:pPr>
              <w:pStyle w:val="Tabulka"/>
              <w:jc w:val="left"/>
              <w:rPr>
                <w:rFonts w:cs="Calibri"/>
              </w:rPr>
            </w:pPr>
          </w:p>
        </w:tc>
        <w:tc>
          <w:tcPr>
            <w:tcW w:w="1801" w:type="dxa"/>
            <w:tcBorders>
              <w:top w:val="single" w:sz="4" w:space="0" w:color="auto"/>
              <w:left w:val="nil"/>
              <w:bottom w:val="single" w:sz="4" w:space="0" w:color="auto"/>
              <w:right w:val="double" w:sz="6" w:space="0" w:color="auto"/>
            </w:tcBorders>
            <w:shd w:val="clear" w:color="auto" w:fill="auto"/>
          </w:tcPr>
          <w:p w14:paraId="58443B20" w14:textId="77777777" w:rsidR="006D2F5F" w:rsidRPr="00DD47DF" w:rsidRDefault="00CC5680" w:rsidP="00CC5680">
            <w:pPr>
              <w:pStyle w:val="Tabulka"/>
              <w:keepNext/>
              <w:keepLines/>
              <w:jc w:val="left"/>
              <w:rPr>
                <w:rFonts w:cs="Calibri"/>
              </w:rPr>
            </w:pPr>
            <w:r>
              <w:rPr>
                <w:rFonts w:cs="Calibri"/>
              </w:rPr>
              <w:lastRenderedPageBreak/>
              <w:t>1.7.2015</w:t>
            </w:r>
          </w:p>
        </w:tc>
        <w:tc>
          <w:tcPr>
            <w:tcW w:w="0" w:type="auto"/>
            <w:tcBorders>
              <w:top w:val="single" w:sz="4" w:space="0" w:color="auto"/>
              <w:left w:val="nil"/>
              <w:bottom w:val="single" w:sz="4" w:space="0" w:color="auto"/>
              <w:right w:val="single" w:sz="8" w:space="0" w:color="auto"/>
            </w:tcBorders>
            <w:shd w:val="clear" w:color="auto" w:fill="auto"/>
          </w:tcPr>
          <w:p w14:paraId="4C9D1E0E" w14:textId="77777777" w:rsidR="006D2F5F" w:rsidRPr="00DD47DF" w:rsidRDefault="006D2F5F" w:rsidP="006D2F5F">
            <w:pPr>
              <w:pStyle w:val="Tabulka"/>
              <w:jc w:val="left"/>
              <w:rPr>
                <w:rFonts w:cs="Calibri"/>
              </w:rPr>
            </w:pPr>
            <w:r w:rsidRPr="00DD47DF">
              <w:rPr>
                <w:rFonts w:cs="Calibri"/>
              </w:rPr>
              <w:t>MPO</w:t>
            </w:r>
          </w:p>
        </w:tc>
      </w:tr>
      <w:tr w:rsidR="006D2F5F" w:rsidRPr="00DD47DF" w14:paraId="7081A186" w14:textId="77777777" w:rsidTr="00437632">
        <w:trPr>
          <w:trHeight w:val="1275"/>
        </w:trPr>
        <w:tc>
          <w:tcPr>
            <w:tcW w:w="2419" w:type="dxa"/>
            <w:tcBorders>
              <w:top w:val="single" w:sz="4" w:space="0" w:color="auto"/>
              <w:left w:val="single" w:sz="8" w:space="0" w:color="auto"/>
              <w:bottom w:val="single" w:sz="8" w:space="0" w:color="000000"/>
              <w:right w:val="double" w:sz="6" w:space="0" w:color="auto"/>
            </w:tcBorders>
            <w:shd w:val="clear" w:color="auto" w:fill="auto"/>
          </w:tcPr>
          <w:p w14:paraId="30436B50" w14:textId="77777777" w:rsidR="006D2F5F" w:rsidRPr="00DD47DF" w:rsidRDefault="006D2F5F" w:rsidP="006D2F5F">
            <w:pPr>
              <w:pStyle w:val="Tabulka"/>
              <w:jc w:val="left"/>
              <w:rPr>
                <w:rFonts w:cs="Calibri"/>
                <w:b/>
              </w:rPr>
            </w:pPr>
            <w:r w:rsidRPr="00DD47DF">
              <w:rPr>
                <w:rFonts w:cs="Calibri"/>
                <w:b/>
              </w:rPr>
              <w:t>8.2. Samostatná výdělečná činnost, podnikání a zakládání firem: existence strategického rámce politiky podpory začínajících podniků přispívající k začlenění.</w:t>
            </w:r>
          </w:p>
        </w:tc>
        <w:tc>
          <w:tcPr>
            <w:tcW w:w="1550" w:type="dxa"/>
            <w:tcBorders>
              <w:top w:val="single" w:sz="4" w:space="0" w:color="auto"/>
              <w:left w:val="nil"/>
              <w:bottom w:val="single" w:sz="8" w:space="0" w:color="auto"/>
              <w:right w:val="double" w:sz="6" w:space="0" w:color="auto"/>
            </w:tcBorders>
            <w:shd w:val="clear" w:color="auto" w:fill="auto"/>
          </w:tcPr>
          <w:p w14:paraId="2578B3E1" w14:textId="77777777" w:rsidR="006D2F5F" w:rsidRPr="00DD47DF" w:rsidRDefault="006D2F5F" w:rsidP="006D2F5F">
            <w:pPr>
              <w:pStyle w:val="Tabulka"/>
              <w:jc w:val="left"/>
              <w:rPr>
                <w:rFonts w:cs="Calibri"/>
              </w:rPr>
            </w:pPr>
            <w:r w:rsidRPr="00DD47DF">
              <w:rPr>
                <w:rFonts w:cs="Calibri"/>
              </w:rPr>
              <w:t>Opatření zavedená s cílem zkrátit dobu potřebnou k založení firmy a snížit příslušné náklady, která zohledňují cíle SBA</w:t>
            </w:r>
          </w:p>
        </w:tc>
        <w:tc>
          <w:tcPr>
            <w:tcW w:w="6946" w:type="dxa"/>
            <w:tcBorders>
              <w:top w:val="single" w:sz="4" w:space="0" w:color="auto"/>
              <w:left w:val="nil"/>
              <w:bottom w:val="single" w:sz="8" w:space="0" w:color="auto"/>
              <w:right w:val="double" w:sz="6" w:space="0" w:color="auto"/>
            </w:tcBorders>
            <w:shd w:val="clear" w:color="auto" w:fill="auto"/>
          </w:tcPr>
          <w:p w14:paraId="22999415" w14:textId="77777777" w:rsidR="00C03599" w:rsidRPr="00DD47DF" w:rsidRDefault="006D2F5F" w:rsidP="00C03599">
            <w:pPr>
              <w:pStyle w:val="Tabulka"/>
              <w:jc w:val="left"/>
              <w:rPr>
                <w:rFonts w:cs="Calibri"/>
              </w:rPr>
            </w:pPr>
            <w:r w:rsidRPr="00DD47DF">
              <w:rPr>
                <w:rFonts w:cs="Calibri"/>
              </w:rPr>
              <w:t xml:space="preserve">Návrh legislativního řešení </w:t>
            </w:r>
            <w:r w:rsidR="009E6E27" w:rsidRPr="00DD47DF">
              <w:rPr>
                <w:rFonts w:cs="Calibri"/>
              </w:rPr>
              <w:t xml:space="preserve">osvobození od soudních poplatků a </w:t>
            </w:r>
            <w:r w:rsidRPr="00DD47DF">
              <w:rPr>
                <w:rFonts w:cs="Calibri"/>
              </w:rPr>
              <w:t>snížení odměny notáře za zakládání podniků (společností)</w:t>
            </w:r>
          </w:p>
          <w:p w14:paraId="78D2BF32" w14:textId="77777777" w:rsidR="006D2F5F" w:rsidRPr="00DD47DF" w:rsidRDefault="006D2F5F" w:rsidP="006D2F5F">
            <w:pPr>
              <w:pStyle w:val="Tabulka"/>
              <w:jc w:val="left"/>
              <w:rPr>
                <w:rFonts w:cs="Calibri"/>
              </w:rPr>
            </w:pPr>
          </w:p>
          <w:p w14:paraId="47FDCBA3" w14:textId="77777777" w:rsidR="006D2F5F" w:rsidRPr="00DD47DF" w:rsidRDefault="006D2F5F" w:rsidP="00E96581">
            <w:pPr>
              <w:pStyle w:val="Tabulka"/>
              <w:jc w:val="left"/>
              <w:rPr>
                <w:rFonts w:cs="Calibri"/>
              </w:rPr>
            </w:pPr>
            <w:r w:rsidRPr="00DD47DF">
              <w:rPr>
                <w:rFonts w:cs="Calibri"/>
              </w:rPr>
              <w:t xml:space="preserve">Viz podmínka č. 3.1. </w:t>
            </w:r>
          </w:p>
        </w:tc>
        <w:tc>
          <w:tcPr>
            <w:tcW w:w="1801" w:type="dxa"/>
            <w:tcBorders>
              <w:top w:val="single" w:sz="4" w:space="0" w:color="auto"/>
              <w:left w:val="nil"/>
              <w:bottom w:val="single" w:sz="8" w:space="0" w:color="auto"/>
              <w:right w:val="double" w:sz="6" w:space="0" w:color="auto"/>
            </w:tcBorders>
            <w:shd w:val="clear" w:color="auto" w:fill="auto"/>
          </w:tcPr>
          <w:p w14:paraId="6E7A0A66" w14:textId="77777777" w:rsidR="00C03599" w:rsidRPr="00DD47DF" w:rsidRDefault="002D0399" w:rsidP="006D2F5F">
            <w:pPr>
              <w:pStyle w:val="Tabulka"/>
              <w:jc w:val="left"/>
              <w:rPr>
                <w:rFonts w:cs="Calibri"/>
              </w:rPr>
            </w:pPr>
            <w:r>
              <w:rPr>
                <w:rFonts w:cs="Calibri"/>
              </w:rPr>
              <w:t>31.10.</w:t>
            </w:r>
            <w:r w:rsidR="00D44763" w:rsidRPr="00DD47DF">
              <w:rPr>
                <w:rFonts w:cs="Calibri"/>
              </w:rPr>
              <w:t>2015</w:t>
            </w:r>
          </w:p>
        </w:tc>
        <w:tc>
          <w:tcPr>
            <w:tcW w:w="1640" w:type="dxa"/>
            <w:tcBorders>
              <w:top w:val="single" w:sz="4" w:space="0" w:color="auto"/>
              <w:left w:val="nil"/>
              <w:bottom w:val="single" w:sz="8" w:space="0" w:color="auto"/>
              <w:right w:val="single" w:sz="8" w:space="0" w:color="auto"/>
            </w:tcBorders>
            <w:shd w:val="clear" w:color="auto" w:fill="auto"/>
          </w:tcPr>
          <w:p w14:paraId="5AEDD141" w14:textId="77777777" w:rsidR="006D2F5F" w:rsidRPr="00DD47DF" w:rsidRDefault="006D2F5F" w:rsidP="006D2F5F">
            <w:pPr>
              <w:pStyle w:val="Tabulka"/>
              <w:jc w:val="left"/>
              <w:rPr>
                <w:rFonts w:cs="Calibri"/>
              </w:rPr>
            </w:pPr>
            <w:r w:rsidRPr="00DD47DF">
              <w:rPr>
                <w:rFonts w:cs="Calibri"/>
              </w:rPr>
              <w:t>MSp</w:t>
            </w:r>
          </w:p>
        </w:tc>
      </w:tr>
    </w:tbl>
    <w:p w14:paraId="381E75A3" w14:textId="77777777" w:rsidR="006D2F5F" w:rsidRPr="00DD47DF" w:rsidRDefault="006D2F5F" w:rsidP="004B5A6C">
      <w:pPr>
        <w:jc w:val="both"/>
        <w:rPr>
          <w:rFonts w:ascii="Calibri" w:hAnsi="Calibri" w:cs="Calibri"/>
          <w:sz w:val="28"/>
          <w:szCs w:val="28"/>
        </w:rPr>
        <w:sectPr w:rsidR="006D2F5F" w:rsidRPr="00DD47DF" w:rsidSect="00A72DFD">
          <w:headerReference w:type="default" r:id="rId169"/>
          <w:footerReference w:type="default" r:id="rId170"/>
          <w:pgSz w:w="16838" w:h="11906" w:orient="landscape"/>
          <w:pgMar w:top="1418" w:right="1418" w:bottom="1276" w:left="1276" w:header="709" w:footer="709" w:gutter="0"/>
          <w:cols w:space="708"/>
          <w:docGrid w:linePitch="272"/>
        </w:sectPr>
      </w:pPr>
    </w:p>
    <w:p w14:paraId="0393ADAF" w14:textId="77777777" w:rsidR="00FF200C" w:rsidRPr="00DD47DF" w:rsidRDefault="00FF200C" w:rsidP="00FF200C">
      <w:pPr>
        <w:pStyle w:val="Nadpis1"/>
      </w:pPr>
      <w:bookmarkStart w:id="139" w:name="_Toc506885076"/>
      <w:r w:rsidRPr="00DD47DF">
        <w:lastRenderedPageBreak/>
        <w:t>Snižování administrativní zátěže pro příjemce</w:t>
      </w:r>
      <w:bookmarkEnd w:id="139"/>
    </w:p>
    <w:p w14:paraId="537AC048" w14:textId="77777777" w:rsidR="00D162A4" w:rsidRPr="00DD47DF" w:rsidRDefault="00223D40" w:rsidP="00223D40">
      <w:pPr>
        <w:pStyle w:val="Standardntext"/>
        <w:rPr>
          <w:u w:val="single"/>
        </w:rPr>
      </w:pPr>
      <w:r w:rsidRPr="00DD47DF">
        <w:t>Snižování administrativní zátěže byla věnována pozornost již v průběhu implementace OPPI. Zásadním prvkem bylo využ</w:t>
      </w:r>
      <w:r w:rsidR="00D162A4" w:rsidRPr="00DD47DF">
        <w:t>ívání IS</w:t>
      </w:r>
      <w:r w:rsidRPr="00DD47DF">
        <w:t xml:space="preserve"> ISOP-Centrum a internetové aplikace e-Account pro zajištění elektronické komunikace mezi žadateli a příjemci podpory a implementační strukturou. Tato aplikace přinesla snížení nákladů u žadatelů a příjemců i zjednodušení procesů v rámci administrace projektů</w:t>
      </w:r>
      <w:r w:rsidR="00D162A4" w:rsidRPr="00DD47DF">
        <w:t>, a</w:t>
      </w:r>
      <w:r w:rsidRPr="00DD47DF">
        <w:t xml:space="preserve"> byla na základě zkušeností a potřeb v průběhu využívání doplňována </w:t>
      </w:r>
      <w:r w:rsidR="00D162A4" w:rsidRPr="00DD47DF">
        <w:t xml:space="preserve">o další funkce, </w:t>
      </w:r>
      <w:r w:rsidRPr="00DD47DF">
        <w:t>mj. na základě externě zpracované evaluace</w:t>
      </w:r>
      <w:r w:rsidRPr="00DD47DF">
        <w:rPr>
          <w:rStyle w:val="Znakapoznpodarou"/>
        </w:rPr>
        <w:footnoteReference w:id="107"/>
      </w:r>
      <w:r w:rsidRPr="00DD47DF">
        <w:t>. Dále bylo vyhodnoceno nastavení některých dalších procesů při implementaci OPPI</w:t>
      </w:r>
      <w:r w:rsidRPr="00DD47DF">
        <w:rPr>
          <w:rStyle w:val="Znakapoznpodarou"/>
        </w:rPr>
        <w:footnoteReference w:id="108"/>
      </w:r>
      <w:r w:rsidRPr="00DD47DF">
        <w:t>, na základě kterého došlo k optimalizaci administrativních procesů a postupů na straně Řídícího orgánu s pozitivním dopadem na administrativní nároky na žadatele a příjemce, stejně jako evaluace procesů souvisejících s žádostí o platbu</w:t>
      </w:r>
      <w:r w:rsidRPr="00DD47DF">
        <w:rPr>
          <w:rStyle w:val="Znakapoznpodarou"/>
        </w:rPr>
        <w:footnoteReference w:id="109"/>
      </w:r>
      <w:r w:rsidRPr="00DD47DF">
        <w:t xml:space="preserve">. Závěry z této evaluace budou využity pro nastavení procesů v OP PIK. Při implementaci programu </w:t>
      </w:r>
      <w:r w:rsidR="00D162A4" w:rsidRPr="00DD47DF">
        <w:t xml:space="preserve">bude kladen </w:t>
      </w:r>
      <w:r w:rsidRPr="00DD47DF">
        <w:t>důraz na intenzivní komunikaci s žadateli a příjemci podpory s cílem napomoci jim při plnění administrativních povinností při realizaci projektů v problémových oblastech,</w:t>
      </w:r>
      <w:r w:rsidR="00D162A4" w:rsidRPr="00DD47DF">
        <w:t xml:space="preserve"> zejména v oblasti</w:t>
      </w:r>
      <w:r w:rsidRPr="00DD47DF">
        <w:t xml:space="preserve"> </w:t>
      </w:r>
      <w:r w:rsidR="00D162A4" w:rsidRPr="00DD47DF">
        <w:t xml:space="preserve">veřejných </w:t>
      </w:r>
      <w:r w:rsidRPr="00DD47DF">
        <w:t>zakáz</w:t>
      </w:r>
      <w:r w:rsidR="00D162A4" w:rsidRPr="00DD47DF">
        <w:t>ek</w:t>
      </w:r>
      <w:r w:rsidRPr="00DD47DF">
        <w:t>, příprav žádostí o platbu, kontrol.</w:t>
      </w:r>
      <w:r w:rsidRPr="00DD47DF" w:rsidDel="009D218D">
        <w:t xml:space="preserve"> </w:t>
      </w:r>
      <w:r w:rsidR="00D162A4" w:rsidRPr="00DD47DF">
        <w:rPr>
          <w:u w:val="single"/>
        </w:rPr>
        <w:t>Semináře k těmto tématům pro uvedenou cílovou skupinu budou součástí komunikační strategie programu, řídící orgán je bude organizovat v termínech daných touto strategií.</w:t>
      </w:r>
    </w:p>
    <w:p w14:paraId="272F5C5B" w14:textId="77777777" w:rsidR="00223D40" w:rsidRPr="00DD47DF" w:rsidRDefault="00223D40" w:rsidP="00223D40">
      <w:pPr>
        <w:pStyle w:val="Standardntext"/>
      </w:pPr>
      <w:r w:rsidRPr="00DD47DF">
        <w:t xml:space="preserve">Snižování administrativní zátěže pro příjemce bude probíhat v souladu s usnesením vlády ČR ze dne 21. března 2012 č. 184 </w:t>
      </w:r>
      <w:r w:rsidRPr="00DD47DF">
        <w:rPr>
          <w:i/>
        </w:rPr>
        <w:t>o doporučeních ke zjednodušení administrativní zátěže pro žadatele a příjemce při čerpání finančních prostředků z fondů EU v programovém období 2014–2020</w:t>
      </w:r>
      <w:r w:rsidRPr="00DD47DF">
        <w:t xml:space="preserve"> ve třech rovinách:</w:t>
      </w:r>
    </w:p>
    <w:p w14:paraId="5EF6CC80" w14:textId="77777777" w:rsidR="00223D40" w:rsidRPr="00DD47DF" w:rsidRDefault="00223D40" w:rsidP="00DA3512">
      <w:pPr>
        <w:pStyle w:val="Standardntext"/>
        <w:numPr>
          <w:ilvl w:val="0"/>
          <w:numId w:val="73"/>
        </w:numPr>
        <w:spacing w:after="60"/>
        <w:ind w:left="714" w:hanging="357"/>
      </w:pPr>
      <w:r w:rsidRPr="00DD47DF">
        <w:t>Vstřícný přístup k žadatelům</w:t>
      </w:r>
    </w:p>
    <w:p w14:paraId="3D10223E" w14:textId="77777777" w:rsidR="00223D40" w:rsidRPr="00DD47DF" w:rsidRDefault="00223D40" w:rsidP="00223D40">
      <w:pPr>
        <w:pStyle w:val="Standardntext"/>
        <w:ind w:left="720"/>
      </w:pPr>
      <w:r w:rsidRPr="00DD47DF">
        <w:t>Cílem je redukovat požadavky na rozsah projektových žádostí a jejich příloh jen na informace nezbytné k posouzení žádosti. Předávání žádostí o platbu bude v maximální možné míř</w:t>
      </w:r>
      <w:r w:rsidR="00C8287F" w:rsidRPr="00DD47DF">
        <w:t>e probíhat v elektronické podobě.</w:t>
      </w:r>
      <w:r w:rsidRPr="00DD47DF">
        <w:t xml:space="preserve"> Samozřejmostí je oboustranná elektronická komunikace Řídícího orgánu se žadatelem, předávání rozhodnutí a jeho změn elektronicky do datové schránky žadatele či uchovávání dokumentů v informačním systému elektronicky. Tato opatření se osvědčila</w:t>
      </w:r>
      <w:r w:rsidR="00BA4E72" w:rsidRPr="00DD47DF">
        <w:t xml:space="preserve"> </w:t>
      </w:r>
      <w:r w:rsidRPr="00DD47DF">
        <w:t xml:space="preserve">v letech 2007 – 2013. Nezbytné je nastavení jednotlivých procesů při administraci žádosti a realizaci projektu tak, aby jednotlivé procesy a postupy na sebe navazovaly a měly jednoznačně stanoven svůj počátek a konec a také předcházející a návazný proces. Dále je nutné jednoznačně nastavit lhůty jednotlivých procesů tam, kde je to možné. Lhůty musí být součástí interních dokumentů Řídícího orgánu a musí být dodržovány. Cílem je dosáhnout jejich měření, vyhodnocení a následně také zkrácení. </w:t>
      </w:r>
      <w:r w:rsidRPr="00DD47DF">
        <w:rPr>
          <w:u w:val="single"/>
        </w:rPr>
        <w:t>Indikativním časovým rámcem pro naplnění výše uvedených opatření je prosinec 2014.</w:t>
      </w:r>
    </w:p>
    <w:p w14:paraId="2EFE72E6" w14:textId="77777777" w:rsidR="00223D40" w:rsidRPr="00DD47DF" w:rsidRDefault="00223D40" w:rsidP="00DA3512">
      <w:pPr>
        <w:pStyle w:val="Standardntext"/>
        <w:keepNext/>
        <w:keepLines/>
        <w:numPr>
          <w:ilvl w:val="0"/>
          <w:numId w:val="73"/>
        </w:numPr>
        <w:spacing w:after="60"/>
        <w:ind w:left="714" w:hanging="357"/>
      </w:pPr>
      <w:r w:rsidRPr="00DD47DF">
        <w:lastRenderedPageBreak/>
        <w:t>Efektivní a uživatelsky přívětivý informační systém</w:t>
      </w:r>
    </w:p>
    <w:p w14:paraId="728ABB3E" w14:textId="77777777" w:rsidR="00223D40" w:rsidRPr="00DD47DF" w:rsidRDefault="00223D40" w:rsidP="003E1311">
      <w:pPr>
        <w:pStyle w:val="Standardntext"/>
        <w:keepNext/>
        <w:keepLines/>
        <w:ind w:left="720"/>
        <w:rPr>
          <w:u w:val="single"/>
        </w:rPr>
      </w:pPr>
      <w:r w:rsidRPr="00DD47DF">
        <w:t>Ve spolupráci s gestorem jednotného monitorovacího prostředí (MMR) usiluje Řídící orgán OP PIK o to, aby informační systém vytvořil prostředí, které poskytne žadateli či příjemci jasné a přehledné uživatelské prostředí a naplní výše nastíněná opatření. Půjde zejména o to zabezpečit optimální míru elektronizace celého procesu přípravy projektových žádostí, jejich podání (včetně příloh, např. digitalizované kopie faktur, dokladů o úhradě apod.) formou elektronických formulářů a systému elektronického podepisování platné dokumentace, administrace projektových žádostí, systému hodnocení a výběru projektů, administrace monitorovacích zpráv a žádostí o platbu. Dalším opatřením bude maximální využití centrálních registrů v procesech Operačního programu</w:t>
      </w:r>
      <w:r w:rsidR="00E33D19" w:rsidRPr="00DD47DF">
        <w:t>, tj. možnost online ověření identity žadatele, jeho možných insolvenčních řízení apod</w:t>
      </w:r>
      <w:r w:rsidRPr="00DD47DF">
        <w:t>. Z hlediska monitoringu</w:t>
      </w:r>
      <w:r w:rsidRPr="00DD47DF">
        <w:rPr>
          <w:rStyle w:val="Znakapoznpodarou"/>
        </w:rPr>
        <w:footnoteReference w:id="110"/>
      </w:r>
      <w:r w:rsidRPr="00DD47DF">
        <w:t xml:space="preserve"> se předpokládá existence systému statistického sledování projektů a jejich výstupů, systemizace sledování hodnocení předkládaných projektů formou jejich umístění v konkrétních hodnocených stavech a logická provázanost jednotlivých dílčích kroků. Nezbytná je rovněž existence komunikačního kanálu pro jasnou a rychlou spolupráci s příjemcem. Systém by měl umožnit efektivní nastavení, sledování a urgování plnění lhůt, aby žadatelé nemuseli dlouho čekat na vydání rozhodnutí a na proplacení příslušné výše podpory. </w:t>
      </w:r>
      <w:r w:rsidRPr="00DD47DF">
        <w:rPr>
          <w:u w:val="single"/>
        </w:rPr>
        <w:t>Indikativní časový rám</w:t>
      </w:r>
      <w:r w:rsidR="00E33D19" w:rsidRPr="00DD47DF">
        <w:rPr>
          <w:u w:val="single"/>
        </w:rPr>
        <w:t>ec</w:t>
      </w:r>
      <w:r w:rsidRPr="00DD47DF">
        <w:rPr>
          <w:u w:val="single"/>
        </w:rPr>
        <w:t xml:space="preserve"> pro naplnění výše uvedených opatření je </w:t>
      </w:r>
      <w:r w:rsidR="00E33D19" w:rsidRPr="00DD47DF">
        <w:rPr>
          <w:u w:val="single"/>
        </w:rPr>
        <w:t xml:space="preserve">dán </w:t>
      </w:r>
      <w:r w:rsidRPr="00DD47DF">
        <w:rPr>
          <w:u w:val="single"/>
        </w:rPr>
        <w:t>harmonogram</w:t>
      </w:r>
      <w:r w:rsidR="00E33D19" w:rsidRPr="00DD47DF">
        <w:rPr>
          <w:u w:val="single"/>
        </w:rPr>
        <w:t>em</w:t>
      </w:r>
      <w:r w:rsidRPr="00DD47DF">
        <w:rPr>
          <w:u w:val="single"/>
        </w:rPr>
        <w:t xml:space="preserve"> gestora informačního systému.</w:t>
      </w:r>
    </w:p>
    <w:p w14:paraId="4F3E239F" w14:textId="77777777" w:rsidR="00223D40" w:rsidRPr="00DD47DF" w:rsidRDefault="00223D40" w:rsidP="00DA3512">
      <w:pPr>
        <w:pStyle w:val="Standardntext"/>
        <w:numPr>
          <w:ilvl w:val="0"/>
          <w:numId w:val="73"/>
        </w:numPr>
        <w:spacing w:after="60"/>
        <w:ind w:left="714" w:hanging="357"/>
      </w:pPr>
      <w:r w:rsidRPr="00DD47DF">
        <w:t>Jednoznačné a srozumitelné programy podpory a výzvy</w:t>
      </w:r>
    </w:p>
    <w:p w14:paraId="1DE96C65" w14:textId="77777777" w:rsidR="00223D40" w:rsidRPr="00DD47DF" w:rsidRDefault="00223D40" w:rsidP="00223D40">
      <w:pPr>
        <w:pStyle w:val="Standardntext"/>
        <w:ind w:left="720"/>
      </w:pPr>
      <w:r w:rsidRPr="00DD47DF">
        <w:t xml:space="preserve">Výběrová kritéria by měla maximalizovat kritéria binární, která jsou transparentní a srozumitelná pro žadatele a nekladou na žadatele přehnané nároky v podobě dokládání dokumentů a dalších podkladů, které pro posouzení kvality projektu nejsou nezbytně nutné. Tím se usnadní i případné odvolací a přezkumné procedury, pokud bude žadatelům dopředu zřejmé, kdo může o podporu v daném programu podpory žádat. </w:t>
      </w:r>
      <w:r w:rsidRPr="00DD47DF">
        <w:rPr>
          <w:u w:val="single"/>
        </w:rPr>
        <w:t>Indikativním časovým rámcem pro naplnění výše uvedených opatření je termín vyhlášení prvních výzev v rámci OP PIK</w:t>
      </w:r>
      <w:r w:rsidRPr="00DD47DF">
        <w:t>.</w:t>
      </w:r>
    </w:p>
    <w:p w14:paraId="1EF02C2B" w14:textId="77777777" w:rsidR="00223D40" w:rsidRPr="00DD47DF" w:rsidRDefault="00223D40" w:rsidP="00223D40">
      <w:pPr>
        <w:pStyle w:val="Standardntext"/>
      </w:pPr>
      <w:r w:rsidRPr="00DD47DF">
        <w:t xml:space="preserve">K naplnění těchto principů přispěje vytvoření jednotného metodického prostředí na národní úrovni, kterým bude zajištěna standardizace postupů a pravidel, větší transparentnost procesů i přehlednost pravidel s pozitivním dopadem na nižší administrativní zátěž na straně příjemců podpory. Jednotné metodické dokumenty budou zohledněny v interních manuálech </w:t>
      </w:r>
      <w:r w:rsidR="00E33D19" w:rsidRPr="00DD47DF">
        <w:t xml:space="preserve">Řídícího orgánu </w:t>
      </w:r>
      <w:r w:rsidRPr="00DD47DF">
        <w:t>pro implementaci programu. Dostupnost a sdílení metodických dokumentů bude ošetřeno softwarovou aplikací, která zajistí on-line přístup ke všem dokumentům celé implementační struktury. Tím bude zajištěn jednotný přístup k žadatelům v oblasti výkladu metodiky všemi účastníky podílejících se na implementaci OP PIK.</w:t>
      </w:r>
    </w:p>
    <w:p w14:paraId="7EDB406A" w14:textId="77777777" w:rsidR="00223D40" w:rsidRPr="00DD47DF" w:rsidRDefault="00223D40" w:rsidP="00210E9A">
      <w:pPr>
        <w:pStyle w:val="Standardntext"/>
        <w:spacing w:after="60"/>
      </w:pPr>
      <w:r w:rsidRPr="00DD47DF">
        <w:t>S ohledem na charakter hlavní cílové skupiny příjemců (</w:t>
      </w:r>
      <w:r w:rsidR="00E33D19" w:rsidRPr="00DD47DF">
        <w:t>MSP</w:t>
      </w:r>
      <w:r w:rsidRPr="00DD47DF">
        <w:t>) umožní snížení administrativní náročnosti účasti v programu také provádění pomoci prostřednictvím finančních nástrojů</w:t>
      </w:r>
      <w:r w:rsidR="00E33D19" w:rsidRPr="00DD47DF">
        <w:t xml:space="preserve"> (FN)</w:t>
      </w:r>
      <w:r w:rsidRPr="00DD47DF">
        <w:t>:</w:t>
      </w:r>
    </w:p>
    <w:p w14:paraId="3C4317B2" w14:textId="77777777" w:rsidR="00223D40" w:rsidRPr="00DD47DF" w:rsidRDefault="00223D40" w:rsidP="00DA3512">
      <w:pPr>
        <w:pStyle w:val="Standardntext"/>
        <w:numPr>
          <w:ilvl w:val="0"/>
          <w:numId w:val="72"/>
        </w:numPr>
        <w:spacing w:after="60"/>
      </w:pPr>
      <w:r w:rsidRPr="00DD47DF">
        <w:t xml:space="preserve">V případě </w:t>
      </w:r>
      <w:r w:rsidR="00E33D19" w:rsidRPr="00DD47DF">
        <w:t xml:space="preserve">FN </w:t>
      </w:r>
      <w:r w:rsidRPr="00DD47DF">
        <w:t>není konečný příjemce dotovaným zadavatelem, což znamená jednoduš</w:t>
      </w:r>
      <w:r w:rsidR="00E33D19" w:rsidRPr="00DD47DF">
        <w:t>š</w:t>
      </w:r>
      <w:r w:rsidRPr="00DD47DF">
        <w:t xml:space="preserve">í </w:t>
      </w:r>
      <w:r w:rsidR="00E33D19" w:rsidRPr="00DD47DF">
        <w:t xml:space="preserve">administraci </w:t>
      </w:r>
      <w:r w:rsidRPr="00DD47DF">
        <w:t>projektu.</w:t>
      </w:r>
    </w:p>
    <w:p w14:paraId="74F0E4CC" w14:textId="77777777" w:rsidR="00223D40" w:rsidRPr="00DD47DF" w:rsidRDefault="00223D40" w:rsidP="00DA3512">
      <w:pPr>
        <w:pStyle w:val="Standardntext"/>
        <w:numPr>
          <w:ilvl w:val="0"/>
          <w:numId w:val="72"/>
        </w:numPr>
        <w:spacing w:after="60"/>
      </w:pPr>
      <w:r w:rsidRPr="00DD47DF">
        <w:t>Hodnocení žádosti se časově zkrátí (jednostupňové hodnocení) a více se orientuje na věcné a finanční hledisko, méně na hledisko formální.</w:t>
      </w:r>
    </w:p>
    <w:p w14:paraId="58865DD8" w14:textId="77777777" w:rsidR="00223D40" w:rsidRPr="00DD47DF" w:rsidRDefault="00223D40" w:rsidP="00DA3512">
      <w:pPr>
        <w:pStyle w:val="Standardntext"/>
        <w:numPr>
          <w:ilvl w:val="0"/>
          <w:numId w:val="72"/>
        </w:numPr>
        <w:spacing w:after="60"/>
      </w:pPr>
      <w:r w:rsidRPr="00DD47DF">
        <w:lastRenderedPageBreak/>
        <w:t>Proces proplacení žádosti o platbu je vázán především na prokázání účelovosti čerpaných prostředků v souladu s podmínkami smlouvy, nikoliv na další dodatečné podmínky, proplácení ex ante</w:t>
      </w:r>
      <w:r w:rsidR="00C8287F" w:rsidRPr="00DD47DF">
        <w:t>.</w:t>
      </w:r>
    </w:p>
    <w:p w14:paraId="35CB0B80" w14:textId="77777777" w:rsidR="00223D40" w:rsidRPr="00DD47DF" w:rsidRDefault="00223D40" w:rsidP="00DA3512">
      <w:pPr>
        <w:pStyle w:val="Standardntext"/>
        <w:numPr>
          <w:ilvl w:val="0"/>
          <w:numId w:val="72"/>
        </w:numPr>
      </w:pPr>
      <w:r w:rsidRPr="00DD47DF">
        <w:t>Změny podmínek realizace projektu jsou také spojeny s nižší administrativní náročností, pokud nejsou zásadního charakteru (pokud nemají vliv na hodnocení projektu)</w:t>
      </w:r>
      <w:r w:rsidR="00C8287F" w:rsidRPr="00DD47DF">
        <w:t>.</w:t>
      </w:r>
    </w:p>
    <w:p w14:paraId="4984F3C8" w14:textId="77777777" w:rsidR="004A18A3" w:rsidRPr="00DD47DF" w:rsidRDefault="004A18A3" w:rsidP="004A18A3">
      <w:pPr>
        <w:pStyle w:val="Standardntext"/>
      </w:pPr>
      <w:r w:rsidRPr="00DD47DF">
        <w:t xml:space="preserve">ŘO OP PIK považuje za podstatné posílení metodického vedení programu tak, aby podnikatelé, jako hlavní skupina příjemců programu, měli jasné a jednoznačné vodítko, jak zpracovávat žádosti o podporu, administrovat a realizovat své projekty. K tomuto účelu pro ně budou vydána řídícím orgánem jasná a srozumitelná pravidla. </w:t>
      </w:r>
      <w:r w:rsidRPr="00DD47DF">
        <w:rPr>
          <w:u w:val="single"/>
        </w:rPr>
        <w:t>Příslušná dokumentace musí být připravena k termínu vyhlášení prvních výzev programů podpory OP PIK.</w:t>
      </w:r>
    </w:p>
    <w:p w14:paraId="0C892809" w14:textId="77777777" w:rsidR="009E6172" w:rsidRPr="00DD47DF" w:rsidRDefault="000816D8" w:rsidP="000816D8">
      <w:pPr>
        <w:pStyle w:val="Nadpis1"/>
      </w:pPr>
      <w:bookmarkStart w:id="140" w:name="_Toc506885077"/>
      <w:r w:rsidRPr="00DD47DF">
        <w:lastRenderedPageBreak/>
        <w:t xml:space="preserve">Horizontální </w:t>
      </w:r>
      <w:r w:rsidR="003D6763" w:rsidRPr="00DD47DF">
        <w:t>zásady</w:t>
      </w:r>
      <w:bookmarkEnd w:id="140"/>
    </w:p>
    <w:p w14:paraId="04D195B9" w14:textId="77777777" w:rsidR="00851C7E" w:rsidRPr="00DD47DF" w:rsidRDefault="0071595D" w:rsidP="00902931">
      <w:pPr>
        <w:pStyle w:val="Nadpis2"/>
        <w:rPr>
          <w:rFonts w:cs="Calibri"/>
        </w:rPr>
      </w:pPr>
      <w:bookmarkStart w:id="141" w:name="_Toc351464444"/>
      <w:bookmarkStart w:id="142" w:name="_Toc506885078"/>
      <w:r w:rsidRPr="00DD47DF">
        <w:rPr>
          <w:rFonts w:cs="Calibri"/>
        </w:rPr>
        <w:t>Udržitelný rozvoj</w:t>
      </w:r>
      <w:bookmarkEnd w:id="141"/>
      <w:bookmarkEnd w:id="142"/>
    </w:p>
    <w:p w14:paraId="77699360" w14:textId="77777777" w:rsidR="005C372A" w:rsidRPr="00DD47DF" w:rsidRDefault="005C372A" w:rsidP="00902931">
      <w:pPr>
        <w:pStyle w:val="Standardntext"/>
        <w:rPr>
          <w:color w:val="FF0000"/>
        </w:rPr>
      </w:pPr>
      <w:r w:rsidRPr="00DD47DF">
        <w:rPr>
          <w:bCs/>
        </w:rPr>
        <w:t xml:space="preserve">Udržitelný rozvoj je takový rozvoj, který umožňuje zlepšování </w:t>
      </w:r>
      <w:r w:rsidRPr="00DD47DF">
        <w:t>životní úrovně a blahobytu lidí v</w:t>
      </w:r>
      <w:r w:rsidR="00D111F8" w:rsidRPr="00DD47DF">
        <w:t> </w:t>
      </w:r>
      <w:r w:rsidRPr="00DD47DF">
        <w:t>mezích kapacity ekosystémů při zachování přírodních hodnot a biologické rozmanitosti pro současné a příští generace. Dle čl. 8 obecného nařízení mají členské státy a Komise při přípravě a provádění smluv o partnerství a programů zajistit podporu požadavků na ochranu životního prostředí, účinného využívání zdrojů, opatření ke zmírňování změny klimatu a přizpůsobení se této změně, odolnosti proti katastrofám a předcházení rizikům. Stav v jednotlivých oblastech udržitelného rozvoje v ČR je sledován pomocí sady indikátorů.</w:t>
      </w:r>
      <w:r w:rsidR="004621F2" w:rsidRPr="00DD47DF">
        <w:t xml:space="preserve"> </w:t>
      </w:r>
    </w:p>
    <w:p w14:paraId="2847BA6B" w14:textId="77777777" w:rsidR="005C372A" w:rsidRPr="00DD47DF" w:rsidRDefault="005C372A" w:rsidP="00902931">
      <w:pPr>
        <w:pStyle w:val="Standardntext"/>
        <w:spacing w:after="0"/>
      </w:pPr>
      <w:r w:rsidRPr="00DD47DF">
        <w:t>Základním dokumentem na národní úrovni, který řeší problematiku udržitelného rozvoje v ČR, je Strategický rámec udržitelného rozvoje ČR (SRUR). Mezi globální cíle SRUR patří:</w:t>
      </w:r>
    </w:p>
    <w:p w14:paraId="62C76E1D" w14:textId="77777777" w:rsidR="005C372A" w:rsidRPr="00DD47DF" w:rsidRDefault="005C372A" w:rsidP="005F43DF">
      <w:pPr>
        <w:pStyle w:val="Standardntext"/>
        <w:numPr>
          <w:ilvl w:val="0"/>
          <w:numId w:val="6"/>
        </w:numPr>
        <w:spacing w:after="0"/>
      </w:pPr>
      <w:r w:rsidRPr="00DD47DF">
        <w:t>ochrana životního prostředí (ekosystémy, biodiverzita, zdroje, udržitelná výroba a spotřeba),</w:t>
      </w:r>
    </w:p>
    <w:p w14:paraId="17D8472C" w14:textId="77777777" w:rsidR="005C372A" w:rsidRPr="00DD47DF" w:rsidRDefault="005C372A" w:rsidP="005F43DF">
      <w:pPr>
        <w:pStyle w:val="Standardntext"/>
        <w:numPr>
          <w:ilvl w:val="0"/>
          <w:numId w:val="6"/>
        </w:numPr>
        <w:spacing w:after="0"/>
      </w:pPr>
      <w:r w:rsidRPr="00DD47DF">
        <w:t>sociální soudržnost (sociální soudržnost, zdraví, bezpečnost, práva, rovné příležitosti, kulturní diverzita),</w:t>
      </w:r>
    </w:p>
    <w:p w14:paraId="5F2F2764" w14:textId="77777777" w:rsidR="005C372A" w:rsidRPr="00DD47DF" w:rsidRDefault="005C372A" w:rsidP="005F43DF">
      <w:pPr>
        <w:pStyle w:val="Standardntext"/>
        <w:numPr>
          <w:ilvl w:val="0"/>
          <w:numId w:val="6"/>
        </w:numPr>
        <w:spacing w:after="0"/>
      </w:pPr>
      <w:r w:rsidRPr="00DD47DF">
        <w:t>ekonomická prosperita (prosperita, inovace, znalosti, eko-efektivita, životní standard, zaměstnanost),</w:t>
      </w:r>
    </w:p>
    <w:p w14:paraId="2F072150" w14:textId="77777777" w:rsidR="005C372A" w:rsidRPr="00DD47DF" w:rsidRDefault="005C372A" w:rsidP="005F43DF">
      <w:pPr>
        <w:pStyle w:val="Standardntext"/>
        <w:numPr>
          <w:ilvl w:val="0"/>
          <w:numId w:val="6"/>
        </w:numPr>
      </w:pPr>
      <w:r w:rsidRPr="00DD47DF">
        <w:t>mezinárodní odpovědnost (stabilní demokratické instituce, mír, bezpečnost, svoboda, globální udržitelnost, mezinárodní vztahy).</w:t>
      </w:r>
    </w:p>
    <w:p w14:paraId="3F95C8D0" w14:textId="77777777" w:rsidR="005C372A" w:rsidRPr="00DD47DF" w:rsidRDefault="005C372A" w:rsidP="00902931">
      <w:pPr>
        <w:pStyle w:val="Standardntext"/>
        <w:spacing w:after="0"/>
      </w:pPr>
      <w:r w:rsidRPr="00DD47DF">
        <w:t>Zejména v posledních letech se ukazuje, že ochrana životního prostředí se pro podniky stává stále větším konkurenčním problémem a je prostředkem k získávání nového potenciálu zisku a profilování podniku. Respektování ekologického hlediska v podnikatelské strategii, může přispět k dosažení konkurenční výhody tehdy, jestliže:</w:t>
      </w:r>
    </w:p>
    <w:p w14:paraId="7045A9BA" w14:textId="77777777" w:rsidR="005C372A" w:rsidRPr="00DD47DF" w:rsidRDefault="005C372A" w:rsidP="005F43DF">
      <w:pPr>
        <w:pStyle w:val="Standardntext"/>
        <w:numPr>
          <w:ilvl w:val="0"/>
          <w:numId w:val="7"/>
        </w:numPr>
        <w:spacing w:after="0"/>
      </w:pPr>
      <w:r w:rsidRPr="00DD47DF">
        <w:t>je při ochraně životního prostředí zvyšování konkurenceschopnosti chápáno integrovaně ve všech podnikových funkcích,</w:t>
      </w:r>
    </w:p>
    <w:p w14:paraId="3B8D406D" w14:textId="77777777" w:rsidR="005C372A" w:rsidRPr="00DD47DF" w:rsidRDefault="005C372A" w:rsidP="005F43DF">
      <w:pPr>
        <w:pStyle w:val="Standardntext"/>
        <w:numPr>
          <w:ilvl w:val="0"/>
          <w:numId w:val="7"/>
        </w:numPr>
        <w:spacing w:after="0"/>
      </w:pPr>
      <w:r w:rsidRPr="00DD47DF">
        <w:t>opatření orientovaná dovnitř podniku jsou spojena s opatřeními orientovanými na trh,</w:t>
      </w:r>
    </w:p>
    <w:p w14:paraId="34ED792E" w14:textId="77777777" w:rsidR="005C372A" w:rsidRPr="00DD47DF" w:rsidRDefault="005C372A" w:rsidP="005F43DF">
      <w:pPr>
        <w:pStyle w:val="Standardntext"/>
        <w:numPr>
          <w:ilvl w:val="0"/>
          <w:numId w:val="7"/>
        </w:numPr>
      </w:pPr>
      <w:r w:rsidRPr="00DD47DF">
        <w:t xml:space="preserve">podnik získá časovou výhodu tím, že se ochranou životního prostředí zabývá včas, v předstihu před svými konkurenty. </w:t>
      </w:r>
    </w:p>
    <w:p w14:paraId="154E9C8D" w14:textId="4ED2C15D" w:rsidR="005C372A" w:rsidRPr="00DD47DF" w:rsidRDefault="005C372A" w:rsidP="00902931">
      <w:pPr>
        <w:pStyle w:val="Standardntext"/>
      </w:pPr>
      <w:r w:rsidRPr="00DD47DF">
        <w:t>Horizontální téma udržitelný rozvoj bude zohledněno ve výběrových kritériích jednotlivých subprogramů podpory OP PIK. Povinnost respektovat udržitelný rozvoj bude stanovena již ve specifikaci podmínek podpory, které budou obsahovat část týkající se horizontálních ukazatelů předkládaného projektu. Žadatel o podporu musí proto již v této fázi posoudit a v příslušné části žádosti popsat vliv projektu na udržitelný rozvoj, tj. určit, zda je projekt zaměřen zejména na podporu udržitelného rozvoje, popř. zda má projekt pozitivní dopad na udržitelný rozvoj či zda je z hlediska udržitelného rozvoje neutrální. Zohlednění tohoto horizontálního cíle v projektu bude následně rovněž předmětem hodnocení projektu v</w:t>
      </w:r>
      <w:r w:rsidR="00BA68C1">
        <w:t>e</w:t>
      </w:r>
      <w:r w:rsidRPr="00DD47DF">
        <w:t> </w:t>
      </w:r>
      <w:r w:rsidR="00BA68C1">
        <w:t>výběrových</w:t>
      </w:r>
      <w:r w:rsidR="00BA68C1" w:rsidRPr="00DD47DF">
        <w:t xml:space="preserve"> </w:t>
      </w:r>
      <w:r w:rsidRPr="00DD47DF">
        <w:t>komisích.</w:t>
      </w:r>
      <w:r w:rsidR="004621F2" w:rsidRPr="00DD47DF">
        <w:t xml:space="preserve"> V případě, že </w:t>
      </w:r>
      <w:r w:rsidR="00BA68C1">
        <w:t>výběrová</w:t>
      </w:r>
      <w:r w:rsidR="00BA68C1" w:rsidRPr="00DD47DF">
        <w:t xml:space="preserve"> </w:t>
      </w:r>
      <w:r w:rsidR="004621F2" w:rsidRPr="00DD47DF">
        <w:t>komise shledá, že projekt má negativní vliv na udržitelný rozvoj, nebude projekt v rámci OP PIK podpořen.</w:t>
      </w:r>
      <w:r w:rsidR="00EF7547" w:rsidRPr="00DD47DF">
        <w:t xml:space="preserve"> U relevantních specifických cílů budou na projektové úrovni interně monitorovány environmentální indikátory, které budou dále agregovány pro potřeby Dohody o partnerství (více kapitoly 2.A.6.2 „Hlavní zásady pro výběr operací“).</w:t>
      </w:r>
    </w:p>
    <w:p w14:paraId="03D8819A" w14:textId="77777777" w:rsidR="00A567C4" w:rsidRPr="00DD47DF" w:rsidRDefault="00A567C4" w:rsidP="00902931">
      <w:pPr>
        <w:pStyle w:val="Standardntext"/>
      </w:pPr>
      <w:r w:rsidRPr="00DD47DF">
        <w:t xml:space="preserve">Dopady na životní prostředí budou posuzovány zejména během hodnocení intervencí zahrnujících stavební práce, nákup technologií, přístrojů, zařízení, tj. takových, u kterých je pravděpodobnost dopadu na životní prostředí či efektivní využívání zdrojů (zejména energetických) vysoká, investice v rámci realizace takovýchto intervencí budou muset splňovat </w:t>
      </w:r>
      <w:r w:rsidRPr="00DD47DF">
        <w:lastRenderedPageBreak/>
        <w:t>nejvyšší standardy. Zásadně tedy bude platit, že v rámci operačního programu a implementace jeho jednotlivých prioritních os nebudou podporovány žádné projekty, které by negativně ovlivňovaly udržitelný rozvoj. Dodržování zásad udržitelného rozvoje bude vyžadováno na úrovni každého projektu, budou posuzovány v rámci hodnocení přijatelnosti projektu a dále jako součást hodnocení realizace projektu.</w:t>
      </w:r>
    </w:p>
    <w:p w14:paraId="23F0A326" w14:textId="77777777" w:rsidR="00851C7E" w:rsidRPr="00DD47DF" w:rsidRDefault="0071595D" w:rsidP="00902931">
      <w:pPr>
        <w:pStyle w:val="Nadpis2"/>
        <w:rPr>
          <w:rFonts w:cs="Calibri"/>
        </w:rPr>
      </w:pPr>
      <w:bookmarkStart w:id="143" w:name="_Toc351464445"/>
      <w:bookmarkStart w:id="144" w:name="_Toc506885079"/>
      <w:r w:rsidRPr="00DD47DF">
        <w:rPr>
          <w:rFonts w:cs="Calibri"/>
        </w:rPr>
        <w:t xml:space="preserve">Rovné příležitosti a </w:t>
      </w:r>
      <w:r w:rsidR="003D6763" w:rsidRPr="00DD47DF">
        <w:rPr>
          <w:rFonts w:cs="Calibri"/>
        </w:rPr>
        <w:t>zákaz</w:t>
      </w:r>
      <w:r w:rsidRPr="00DD47DF">
        <w:rPr>
          <w:rFonts w:cs="Calibri"/>
        </w:rPr>
        <w:t xml:space="preserve"> diskriminac</w:t>
      </w:r>
      <w:r w:rsidR="003D6763" w:rsidRPr="00DD47DF">
        <w:rPr>
          <w:rFonts w:cs="Calibri"/>
        </w:rPr>
        <w:t>e</w:t>
      </w:r>
      <w:bookmarkEnd w:id="143"/>
      <w:bookmarkEnd w:id="144"/>
    </w:p>
    <w:p w14:paraId="61AFB71A" w14:textId="77777777" w:rsidR="005C372A" w:rsidRPr="00DD47DF" w:rsidRDefault="005C372A" w:rsidP="00902931">
      <w:pPr>
        <w:pStyle w:val="Standardntext"/>
      </w:pPr>
      <w:r w:rsidRPr="00DD47DF">
        <w:t>Na základě čl. 7 obecného nařízení přijmou členské státy a Komise vhodná opatření, aby během přípravy a provádění programů nedocházelo k diskriminaci na základě pohlaví, rasového nebo etnického původu, náboženského vyznání nebo víry, zdravotního postižení, věku nebo sexuální orientace. Horizontální téma rovné příležitosti a ochrana před diskriminací slouží k dosažení cíle sociální spravedlnosti a soudržnosti a zakládá se na podpoře sociálního začlenění, dodržování základních lidských práv a zachování kulturní rozmanitosti.</w:t>
      </w:r>
      <w:r w:rsidR="004621F2" w:rsidRPr="00DD47DF">
        <w:t xml:space="preserve"> </w:t>
      </w:r>
    </w:p>
    <w:p w14:paraId="2D105988" w14:textId="77777777" w:rsidR="00E517C6" w:rsidRPr="00DD47DF" w:rsidRDefault="00E517C6" w:rsidP="000374FF">
      <w:pPr>
        <w:pStyle w:val="Standardntext"/>
      </w:pPr>
      <w:r w:rsidRPr="00DD47DF">
        <w:t xml:space="preserve">Zákaz diskriminace v souladu s českým i evropským právem a podpora rovných příležitostí jsou základními principy realizace OP PIK a budou respektovány a podporovány ve všech prioritních osách a investičních prioritách. S otázkou rovných příležitostí souvisí i transparentnost výběrových řízení, která musí zajistit nediskriminační přístup všem zájemcům bez ohledu na pohlaví, rasový či etnický původ, náboženství či světový názor, zdravotní postižení, věk nebo sexuální orientaci. </w:t>
      </w:r>
      <w:r w:rsidRPr="00DD47DF">
        <w:rPr>
          <w:lang w:eastAsia="en-US"/>
        </w:rPr>
        <w:t>Tato otázka také bezprostředně souvisí s</w:t>
      </w:r>
      <w:r w:rsidRPr="00DD47DF">
        <w:t> </w:t>
      </w:r>
      <w:r w:rsidR="00430ED6" w:rsidRPr="00DD47DF">
        <w:rPr>
          <w:lang w:eastAsia="en-US"/>
        </w:rPr>
        <w:t>principy pro výběr operací</w:t>
      </w:r>
      <w:r w:rsidRPr="00DD47DF">
        <w:rPr>
          <w:lang w:eastAsia="en-US"/>
        </w:rPr>
        <w:t xml:space="preserve"> (viz kapitoly 2.A.</w:t>
      </w:r>
      <w:r w:rsidR="00430ED6" w:rsidRPr="00DD47DF">
        <w:rPr>
          <w:lang w:eastAsia="en-US"/>
        </w:rPr>
        <w:t>6</w:t>
      </w:r>
      <w:r w:rsidRPr="00DD47DF">
        <w:rPr>
          <w:lang w:eastAsia="en-US"/>
        </w:rPr>
        <w:t xml:space="preserve">.2). </w:t>
      </w:r>
      <w:r w:rsidR="000374FF" w:rsidRPr="00DD47DF">
        <w:t>U</w:t>
      </w:r>
      <w:r w:rsidR="000374FF" w:rsidRPr="00DD47DF">
        <w:rPr>
          <w:rFonts w:cs="Tahoma"/>
          <w:szCs w:val="20"/>
        </w:rPr>
        <w:t>platňování rovných příležitostí je možné rovněž spatřovat v publicitě a propagaci programu a poskytování informací</w:t>
      </w:r>
      <w:r w:rsidR="000374FF" w:rsidRPr="00DD47DF">
        <w:rPr>
          <w:rFonts w:cs="Tahoma"/>
        </w:rPr>
        <w:t>.</w:t>
      </w:r>
      <w:r w:rsidR="000374FF" w:rsidRPr="00DD47DF">
        <w:t xml:space="preserve"> </w:t>
      </w:r>
      <w:r w:rsidRPr="00DD47DF">
        <w:t xml:space="preserve">Při realizaci OP PIK bude brán zřetel na příspěvek k rovnému zacházení, aby měly všechny sociální skupiny stejný přístup k čerpání prostředků EFRR. Řídící orgán zajistí, aby otázka rovných příležitostí a rovného zacházení byla sledována – při zohlednění jejich specifického zaměření - u všech oblastí intervencí na úrovni projektů. </w:t>
      </w:r>
    </w:p>
    <w:p w14:paraId="67477E43" w14:textId="0650F324" w:rsidR="00E7579B" w:rsidRPr="00DD47DF" w:rsidRDefault="005C372A" w:rsidP="00902931">
      <w:pPr>
        <w:pStyle w:val="Standardntext"/>
      </w:pPr>
      <w:r w:rsidRPr="00DD47DF">
        <w:t xml:space="preserve">Stejně jako u udržitelného rozvoje bude stanovena podmínka respektovat rovné příležitosti </w:t>
      </w:r>
      <w:r w:rsidR="00E517C6" w:rsidRPr="00DD47DF">
        <w:t xml:space="preserve">a rovné zacházení </w:t>
      </w:r>
      <w:r w:rsidRPr="00DD47DF">
        <w:t xml:space="preserve">již ve specifikaci podmínek k poskytnutí podpory v rámci jednotlivých subprogramů podpory. Žadatel o podporu bude muset již v této fázi posoudit a v příslušné části žádosti popsat vliv projektu na rovné příležitosti, tj. určit, </w:t>
      </w:r>
      <w:r w:rsidR="00E517C6" w:rsidRPr="00DD47DF">
        <w:t xml:space="preserve">zda projekt zajišťuje rovné zacházení všem dotčeným skupinám, zda </w:t>
      </w:r>
      <w:r w:rsidRPr="00DD47DF">
        <w:t>je projekt zaměřen zejména na podporu rovných příležitostí, popř. zda má projekt pozitivní dopad na rovné příležitosti či zda je z hlediska rovných příležitostí neutrální. Horizontální téma rovné příležitosti a ochrana před diskriminací bude zohledněno ve výběrových kritériích jednotlivých subprogramů podpory OP PIK.</w:t>
      </w:r>
      <w:r w:rsidR="00244C79" w:rsidRPr="00DD47DF">
        <w:t xml:space="preserve"> V případě, že </w:t>
      </w:r>
      <w:r w:rsidR="00BA68C1">
        <w:t>výběrová</w:t>
      </w:r>
      <w:r w:rsidR="00BA68C1" w:rsidRPr="00DD47DF">
        <w:t xml:space="preserve"> </w:t>
      </w:r>
      <w:r w:rsidR="00244C79" w:rsidRPr="00DD47DF">
        <w:t>komise shledá, že projekt má negativní vliv na rovné příležitosti, nebude projekt v rámci OP PIK podpořen</w:t>
      </w:r>
      <w:r w:rsidR="00E7579B" w:rsidRPr="00DD47DF">
        <w:t>. V rámci prioritní osy 2, specifického cíle 2.1 budou zvýhodňovány projekty podnikatelů, které realizací projektu prokáží vytvoření a udržitelnost nových pracovních míst a tím přispějí k zaměstnatelnosti osob z ohrožených skupin (</w:t>
      </w:r>
      <w:r w:rsidR="00E517C6" w:rsidRPr="00DD47DF">
        <w:t>osoby se zdravotním postižením, matky s dětmi a další pečující osoby, senioři, příslušníci etnických menšin, včetně romské menšiny, cizinci, atd.)</w:t>
      </w:r>
      <w:r w:rsidR="00E7579B" w:rsidRPr="00DD47DF">
        <w:t>.</w:t>
      </w:r>
    </w:p>
    <w:p w14:paraId="3CC3B199" w14:textId="77777777" w:rsidR="000374FF" w:rsidRPr="00DD47DF" w:rsidRDefault="000374FF" w:rsidP="000374FF">
      <w:pPr>
        <w:pStyle w:val="Standardntext"/>
      </w:pPr>
      <w:r w:rsidRPr="00DD47DF">
        <w:t xml:space="preserve">Zohlednění rovných příležitostí a rovného zacházení bude hrát významnou roli i v procesech monitorování, hodnocení a v realizaci principu partnerství. ŘO bude dbát na to, aby v monitorovacím výboru byly dodržovány zásady rovných příležitostí a rovného zastoupení relevantních skupin a byla zabezpečena účast institucí z oblasti rovných příležitostí a ochranou před diskriminaci. V závislosti na charakteru oblasti intervence a bude-li to účelné, bude zabezpečena účast organizací zabývajících se rovnými příležitostmi a ochranou před diskriminaci v pracovních skupinách (např. v úrovni MV), v hodnotících komisích pro výběr </w:t>
      </w:r>
      <w:r w:rsidRPr="00DD47DF">
        <w:lastRenderedPageBreak/>
        <w:t>projektů apod. Informace o rovných příležitostech a rovném zacházení budou monitorovány primárně na úrovni projektů. ŘO zajistí, že téma rovných příležitostí a rovného zacházení bude v závislosti na charakteru podpory agregováno v rámci monitorování realizace programu na úrovni prioritní osy. Příspěvek OP PIK k zabezpečení zásady rovných příležitostí a rovného zacházení bude předmětem hodnocení při zpracování tematických a strategických evaluací.</w:t>
      </w:r>
    </w:p>
    <w:p w14:paraId="3A810B95" w14:textId="77777777" w:rsidR="00851C7E" w:rsidRPr="00DD47DF" w:rsidRDefault="005C372A" w:rsidP="00902931">
      <w:pPr>
        <w:pStyle w:val="Standardntext"/>
        <w:rPr>
          <w:b/>
          <w:bCs/>
        </w:rPr>
      </w:pPr>
      <w:r w:rsidRPr="00DD47DF">
        <w:t>Vzhledem k zaměření OP PIK (podpora podnikání, inovací v podnikatelském sektoru, energetické úspory, ICT infrastruktury</w:t>
      </w:r>
      <w:r w:rsidR="00D111F8" w:rsidRPr="00DD47DF">
        <w:t>)</w:t>
      </w:r>
      <w:r w:rsidRPr="00DD47DF">
        <w:t xml:space="preserve"> nemá žádné speciální programy zaměřené na </w:t>
      </w:r>
      <w:r w:rsidR="000374FF" w:rsidRPr="00DD47DF">
        <w:t>konkrétní znevýhodněné skupiny</w:t>
      </w:r>
      <w:r w:rsidRPr="00DD47DF">
        <w:t>. Tato oblast je řešena jinými operačními programy, využívajícími zejména prostředků Evropského sociálního fondu.</w:t>
      </w:r>
    </w:p>
    <w:p w14:paraId="03A6142C" w14:textId="77777777" w:rsidR="00851C7E" w:rsidRPr="00DD47DF" w:rsidRDefault="0071595D" w:rsidP="003D6763">
      <w:pPr>
        <w:pStyle w:val="Nadpis2"/>
        <w:rPr>
          <w:rFonts w:cs="Calibri"/>
        </w:rPr>
      </w:pPr>
      <w:bookmarkStart w:id="145" w:name="_Toc351464446"/>
      <w:bookmarkStart w:id="146" w:name="_Toc506885080"/>
      <w:r w:rsidRPr="00DD47DF">
        <w:rPr>
          <w:rFonts w:cs="Calibri"/>
        </w:rPr>
        <w:t xml:space="preserve">Rovnost </w:t>
      </w:r>
      <w:r w:rsidR="003D6763" w:rsidRPr="00DD47DF">
        <w:rPr>
          <w:rFonts w:cs="Calibri"/>
        </w:rPr>
        <w:t>mezi muži a ženami</w:t>
      </w:r>
      <w:bookmarkEnd w:id="145"/>
      <w:bookmarkEnd w:id="146"/>
    </w:p>
    <w:p w14:paraId="15608293" w14:textId="6A8C6432" w:rsidR="00244C79" w:rsidRPr="00DD47DF" w:rsidRDefault="005C372A" w:rsidP="00902931">
      <w:pPr>
        <w:pStyle w:val="Standardntext"/>
      </w:pPr>
      <w:r w:rsidRPr="00DD47DF">
        <w:t xml:space="preserve">Horizontální téma rovnost žen a mužů předpokládá </w:t>
      </w:r>
      <w:r w:rsidR="00793229" w:rsidRPr="00DD47DF">
        <w:t>čl.</w:t>
      </w:r>
      <w:r w:rsidRPr="00DD47DF">
        <w:t xml:space="preserve"> 7 obecného nařízení. Dle tohoto článku členské státy a Komise zajistí podporu rovnosti žen a mužů a začlenění </w:t>
      </w:r>
      <w:r w:rsidR="00244C79" w:rsidRPr="00DD47DF">
        <w:t xml:space="preserve">z </w:t>
      </w:r>
      <w:r w:rsidRPr="00DD47DF">
        <w:t xml:space="preserve">hlediska rovnosti pohlaví při přípravě a provádění programů. </w:t>
      </w:r>
      <w:r w:rsidR="00244C79" w:rsidRPr="00DD47DF">
        <w:t xml:space="preserve">V případě, že </w:t>
      </w:r>
      <w:r w:rsidR="00BA68C1">
        <w:t>výběrová</w:t>
      </w:r>
      <w:r w:rsidR="00BA68C1" w:rsidRPr="00DD47DF">
        <w:t xml:space="preserve"> </w:t>
      </w:r>
      <w:r w:rsidR="00244C79" w:rsidRPr="00DD47DF">
        <w:t>komise shledá, že projekt má negativní vliv na rovnost žen a mužů, nebude projekt v rámci OP PIK podpořen. Bude usilováno o to, aby podpořené projekty přispívaly k naplňování principu rovnosti žen a mužů všude, kde je to vzhledem k věcnému zaměření intervencí programu relevantní. V rámci OP PIK budou mít ke všem programům podpory stejný přístup ženy i muži, zároveň rovnost žen a mužů bude zahrnuta do výběrových kritérií jednotlivých subprogramů podpory</w:t>
      </w:r>
      <w:r w:rsidR="00E7579B" w:rsidRPr="00DD47DF">
        <w:t xml:space="preserve"> (výběrová kritéria budou nastavena tak, aby zamezila jakékoliv generové diskriminaci). Gend</w:t>
      </w:r>
      <w:r w:rsidR="00634DCF" w:rsidRPr="00DD47DF">
        <w:t>e</w:t>
      </w:r>
      <w:r w:rsidR="00E7579B" w:rsidRPr="00DD47DF">
        <w:t>rová rovnost bude zdůrazňována v rámci info</w:t>
      </w:r>
      <w:r w:rsidR="00634DCF" w:rsidRPr="00DD47DF">
        <w:t>r</w:t>
      </w:r>
      <w:r w:rsidR="00E7579B" w:rsidRPr="00DD47DF">
        <w:t xml:space="preserve">mačních, propagačních a komunikačních aktivit </w:t>
      </w:r>
      <w:r w:rsidR="00A0251A" w:rsidRPr="00DD47DF">
        <w:t>Ř</w:t>
      </w:r>
      <w:r w:rsidR="00E7579B" w:rsidRPr="00DD47DF">
        <w:t>ídícího orgánu.</w:t>
      </w:r>
      <w:r w:rsidR="00BA4E72" w:rsidRPr="00DD47DF">
        <w:t xml:space="preserve"> </w:t>
      </w:r>
    </w:p>
    <w:p w14:paraId="327E09C9" w14:textId="77777777" w:rsidR="00244C79" w:rsidRPr="00DD47DF" w:rsidRDefault="00244C79" w:rsidP="00902931">
      <w:pPr>
        <w:pStyle w:val="Standardntext"/>
      </w:pPr>
      <w:r w:rsidRPr="00DD47DF">
        <w:t>Indikátory na úrovni programu a specifických cílů, které mají přímou vazbu na respektování rovných příležitostí (např. Počet nově vytvořených pracovních míst) budou sledovány v členění na muže a ženy.</w:t>
      </w:r>
    </w:p>
    <w:p w14:paraId="284A2954" w14:textId="77777777" w:rsidR="00AA042C" w:rsidRPr="00DD47DF" w:rsidRDefault="00E7579B" w:rsidP="00902931">
      <w:pPr>
        <w:pStyle w:val="Standardntext"/>
        <w:rPr>
          <w:rFonts w:cs="Tahoma"/>
          <w:szCs w:val="20"/>
        </w:rPr>
      </w:pPr>
      <w:r w:rsidRPr="00DD47DF">
        <w:t xml:space="preserve">Princip rovnosti žen a mužů bude uplatňován během programování, monitorování a evaluací programu. </w:t>
      </w:r>
      <w:r w:rsidR="00244C79" w:rsidRPr="00DD47DF">
        <w:t xml:space="preserve">Ve fázi implementace operačního programu bude rovnost mužů a žen zajištěna zejména ve složení Monitorovacího výboru OP PIK. </w:t>
      </w:r>
      <w:r w:rsidR="00E8622F" w:rsidRPr="00DD47DF">
        <w:rPr>
          <w:rFonts w:cs="Tahoma"/>
          <w:szCs w:val="20"/>
        </w:rPr>
        <w:t xml:space="preserve">Téma rovnosti žen a mužů bude plně respektováno rovněž při administraci programu; při personálním zajištění implementace programu / zajištění administrativní kapacity bude kladen důraz na nediskriminační přístup k uchazečům. </w:t>
      </w:r>
    </w:p>
    <w:p w14:paraId="40205608" w14:textId="77777777" w:rsidR="00DA412A" w:rsidRPr="00DD47DF" w:rsidRDefault="00F70A96" w:rsidP="00DA412A">
      <w:pPr>
        <w:pStyle w:val="Standardntext"/>
      </w:pPr>
      <w:r w:rsidRPr="00DD47DF">
        <w:t>Jak p</w:t>
      </w:r>
      <w:r w:rsidR="00B776E3" w:rsidRPr="00DD47DF">
        <w:t>ři přípravě program</w:t>
      </w:r>
      <w:r w:rsidRPr="00DD47DF">
        <w:t xml:space="preserve">u, tak </w:t>
      </w:r>
      <w:r w:rsidR="00B776E3" w:rsidRPr="00DD47DF">
        <w:t>při je</w:t>
      </w:r>
      <w:r w:rsidRPr="00DD47DF">
        <w:t xml:space="preserve">ho vlastní </w:t>
      </w:r>
      <w:r w:rsidR="00B776E3" w:rsidRPr="00DD47DF">
        <w:t>realizaci bud</w:t>
      </w:r>
      <w:r w:rsidRPr="00DD47DF">
        <w:t xml:space="preserve">e tedy ve všech </w:t>
      </w:r>
      <w:r w:rsidR="00B776E3" w:rsidRPr="00DD47DF">
        <w:t xml:space="preserve">fázích </w:t>
      </w:r>
      <w:r w:rsidRPr="00DD47DF">
        <w:t xml:space="preserve">zohledněno, </w:t>
      </w:r>
      <w:r w:rsidR="00B776E3" w:rsidRPr="00DD47DF">
        <w:t xml:space="preserve">aby </w:t>
      </w:r>
      <w:r w:rsidRPr="00DD47DF">
        <w:t xml:space="preserve">byl striktně dodržován </w:t>
      </w:r>
      <w:r w:rsidR="00B776E3" w:rsidRPr="00DD47DF">
        <w:t>zákaz diskriminace a podporov</w:t>
      </w:r>
      <w:r w:rsidRPr="00DD47DF">
        <w:t xml:space="preserve">án </w:t>
      </w:r>
      <w:r w:rsidR="00B776E3" w:rsidRPr="00DD47DF">
        <w:t>rovný přístup k ženám i mužům. Za tímto účelem je v návaznosti na plnění příslušn</w:t>
      </w:r>
      <w:r w:rsidRPr="00DD47DF">
        <w:t xml:space="preserve">é obecné </w:t>
      </w:r>
      <w:r w:rsidR="00B776E3" w:rsidRPr="00DD47DF">
        <w:t>předběžn</w:t>
      </w:r>
      <w:r w:rsidRPr="00DD47DF">
        <w:t xml:space="preserve">é </w:t>
      </w:r>
      <w:r w:rsidR="00B776E3" w:rsidRPr="00DD47DF">
        <w:t>podmínk</w:t>
      </w:r>
      <w:r w:rsidRPr="00DD47DF">
        <w:t xml:space="preserve">y u </w:t>
      </w:r>
      <w:r w:rsidR="00A0251A" w:rsidRPr="00DD47DF">
        <w:t>Ř</w:t>
      </w:r>
      <w:r w:rsidRPr="00DD47DF">
        <w:t>ídícího orgánu určena k</w:t>
      </w:r>
      <w:r w:rsidR="00B776E3" w:rsidRPr="00DD47DF">
        <w:t>ontaktní osoba</w:t>
      </w:r>
      <w:r w:rsidRPr="00DD47DF">
        <w:t xml:space="preserve">, která se </w:t>
      </w:r>
      <w:r w:rsidR="00B776E3" w:rsidRPr="00DD47DF">
        <w:t xml:space="preserve">budou </w:t>
      </w:r>
      <w:r w:rsidRPr="00DD47DF">
        <w:t xml:space="preserve">v rámci své pracovní činnosti </w:t>
      </w:r>
      <w:r w:rsidR="00B776E3" w:rsidRPr="00DD47DF">
        <w:t>zabývat implementací a aplikací antidiskriminačního práva</w:t>
      </w:r>
      <w:r w:rsidRPr="00DD47DF">
        <w:t>, v</w:t>
      </w:r>
      <w:r w:rsidR="00B776E3" w:rsidRPr="00DD47DF">
        <w:t>četně problematiky rovnosti žen a mužů a přístupnosti pro osoby se zdravotním postižením</w:t>
      </w:r>
      <w:r w:rsidR="00DA412A" w:rsidRPr="00DD47DF">
        <w:t xml:space="preserve">. Touto kontaktní osobou </w:t>
      </w:r>
      <w:r w:rsidR="00065A87" w:rsidRPr="00DD47DF">
        <w:t>je</w:t>
      </w:r>
      <w:r w:rsidR="00DA412A" w:rsidRPr="00DD47DF">
        <w:t xml:space="preserve"> komunikační úředník OP PIK.</w:t>
      </w:r>
    </w:p>
    <w:p w14:paraId="33913491" w14:textId="77777777" w:rsidR="009E6172" w:rsidRPr="00DD47DF" w:rsidRDefault="00E134D0" w:rsidP="000816D8">
      <w:pPr>
        <w:pStyle w:val="Nadpis1"/>
      </w:pPr>
      <w:bookmarkStart w:id="147" w:name="_Toc506885081"/>
      <w:r w:rsidRPr="00DD47DF">
        <w:lastRenderedPageBreak/>
        <w:t>Samosta</w:t>
      </w:r>
      <w:r w:rsidR="00A96B2E" w:rsidRPr="00DD47DF">
        <w:t>t</w:t>
      </w:r>
      <w:r w:rsidRPr="00DD47DF">
        <w:t>né prvky</w:t>
      </w:r>
      <w:bookmarkEnd w:id="147"/>
    </w:p>
    <w:p w14:paraId="649A7956" w14:textId="77777777" w:rsidR="00AA042C" w:rsidRPr="00DD47DF" w:rsidRDefault="00E134D0" w:rsidP="00E134D0">
      <w:pPr>
        <w:pStyle w:val="Nadpis2"/>
        <w:rPr>
          <w:rFonts w:cs="Calibri"/>
        </w:rPr>
      </w:pPr>
      <w:bookmarkStart w:id="148" w:name="_Toc506885082"/>
      <w:r w:rsidRPr="00DD47DF">
        <w:rPr>
          <w:rFonts w:cs="Calibri"/>
        </w:rPr>
        <w:t>Velké projekty, které mají být během programového období realizovány</w:t>
      </w:r>
      <w:bookmarkEnd w:id="148"/>
    </w:p>
    <w:p w14:paraId="6FC09CF8" w14:textId="4C1775F2" w:rsidR="00714EBE" w:rsidRPr="006E7C03" w:rsidRDefault="00714EBE" w:rsidP="00714EBE">
      <w:pPr>
        <w:pStyle w:val="Zkladntext"/>
        <w:spacing w:after="120"/>
      </w:pPr>
      <w:r w:rsidRPr="00714EBE">
        <w:t xml:space="preserve"> </w:t>
      </w:r>
      <w:r w:rsidRPr="006E7C03">
        <w:t>Tabulka 27: Seznam velkých projektů</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724"/>
        <w:gridCol w:w="1724"/>
        <w:gridCol w:w="1724"/>
        <w:gridCol w:w="2319"/>
      </w:tblGrid>
      <w:tr w:rsidR="00714EBE" w:rsidRPr="006E7C03" w14:paraId="6E8C8A75" w14:textId="77777777" w:rsidTr="00E46245">
        <w:tc>
          <w:tcPr>
            <w:tcW w:w="1123" w:type="dxa"/>
          </w:tcPr>
          <w:p w14:paraId="4B52B660" w14:textId="77777777" w:rsidR="00714EBE" w:rsidRPr="006E7C03" w:rsidRDefault="00714EBE" w:rsidP="00E46245">
            <w:pPr>
              <w:pStyle w:val="Zkladntext"/>
              <w:spacing w:after="120"/>
              <w:rPr>
                <w:b w:val="0"/>
              </w:rPr>
            </w:pPr>
            <w:r w:rsidRPr="006E7C03">
              <w:rPr>
                <w:b w:val="0"/>
              </w:rPr>
              <w:t>Název velkého projektu</w:t>
            </w:r>
          </w:p>
        </w:tc>
        <w:tc>
          <w:tcPr>
            <w:tcW w:w="1777" w:type="dxa"/>
          </w:tcPr>
          <w:p w14:paraId="3F2B6A73" w14:textId="77777777" w:rsidR="00714EBE" w:rsidRPr="006E7C03" w:rsidRDefault="00714EBE" w:rsidP="00E46245">
            <w:pPr>
              <w:pStyle w:val="Zkladntext"/>
              <w:spacing w:after="120"/>
              <w:rPr>
                <w:b w:val="0"/>
              </w:rPr>
            </w:pPr>
            <w:r w:rsidRPr="006E7C03">
              <w:rPr>
                <w:b w:val="0"/>
              </w:rPr>
              <w:t>Předpokládané datum předložení na EK</w:t>
            </w:r>
          </w:p>
        </w:tc>
        <w:tc>
          <w:tcPr>
            <w:tcW w:w="1777" w:type="dxa"/>
          </w:tcPr>
          <w:p w14:paraId="7F9F94FE" w14:textId="77777777" w:rsidR="00714EBE" w:rsidRPr="006E7C03" w:rsidRDefault="00714EBE" w:rsidP="00E46245">
            <w:pPr>
              <w:pStyle w:val="Zkladntext"/>
              <w:spacing w:after="120"/>
              <w:rPr>
                <w:b w:val="0"/>
              </w:rPr>
            </w:pPr>
            <w:r w:rsidRPr="006E7C03">
              <w:rPr>
                <w:b w:val="0"/>
              </w:rPr>
              <w:t>Předpokládané datum zahájení realizace projektu</w:t>
            </w:r>
          </w:p>
        </w:tc>
        <w:tc>
          <w:tcPr>
            <w:tcW w:w="1777" w:type="dxa"/>
          </w:tcPr>
          <w:p w14:paraId="2823BE99" w14:textId="77777777" w:rsidR="00714EBE" w:rsidRPr="006E7C03" w:rsidRDefault="00714EBE" w:rsidP="00E46245">
            <w:pPr>
              <w:pStyle w:val="Zkladntext"/>
              <w:spacing w:after="120"/>
              <w:rPr>
                <w:b w:val="0"/>
              </w:rPr>
            </w:pPr>
            <w:r w:rsidRPr="006E7C03">
              <w:rPr>
                <w:b w:val="0"/>
              </w:rPr>
              <w:t>Předpokládané datum ukončení realizace projektu</w:t>
            </w:r>
          </w:p>
        </w:tc>
        <w:tc>
          <w:tcPr>
            <w:tcW w:w="2613" w:type="dxa"/>
          </w:tcPr>
          <w:p w14:paraId="7E53C3D4" w14:textId="77777777" w:rsidR="00714EBE" w:rsidRPr="006E7C03" w:rsidRDefault="00714EBE" w:rsidP="00E46245">
            <w:pPr>
              <w:pStyle w:val="Zkladntext"/>
              <w:spacing w:after="120"/>
              <w:rPr>
                <w:b w:val="0"/>
              </w:rPr>
            </w:pPr>
            <w:r w:rsidRPr="006E7C03">
              <w:rPr>
                <w:b w:val="0"/>
              </w:rPr>
              <w:t>Prioritní osy/ investiční priority</w:t>
            </w:r>
          </w:p>
        </w:tc>
      </w:tr>
      <w:tr w:rsidR="00714EBE" w:rsidRPr="006E7C03" w14:paraId="26F2CD7D" w14:textId="77777777" w:rsidTr="00E46245">
        <w:tc>
          <w:tcPr>
            <w:tcW w:w="1123" w:type="dxa"/>
          </w:tcPr>
          <w:p w14:paraId="20A8A0D1" w14:textId="77777777" w:rsidR="00714EBE" w:rsidRPr="006E7C03" w:rsidRDefault="00714EBE" w:rsidP="00E46245">
            <w:pPr>
              <w:pStyle w:val="Zkladntext"/>
              <w:spacing w:after="120"/>
            </w:pPr>
            <w:r w:rsidRPr="006E7C03">
              <w:t>Výstavba nového vedení 400 kV v trase Přeštice – Vítkov</w:t>
            </w:r>
          </w:p>
        </w:tc>
        <w:tc>
          <w:tcPr>
            <w:tcW w:w="1777" w:type="dxa"/>
          </w:tcPr>
          <w:p w14:paraId="002E4493" w14:textId="49BCEAE5" w:rsidR="00714EBE" w:rsidRPr="006E7C03" w:rsidRDefault="00F86608" w:rsidP="007B5203">
            <w:pPr>
              <w:pStyle w:val="Zkladntext"/>
              <w:spacing w:after="120"/>
            </w:pPr>
            <w:r>
              <w:t>3</w:t>
            </w:r>
            <w:r w:rsidR="00714EBE" w:rsidRPr="006E7C03">
              <w:t>Q/</w:t>
            </w:r>
            <w:r w:rsidR="007B5203" w:rsidRPr="006E7C03">
              <w:t>201</w:t>
            </w:r>
            <w:r w:rsidR="007B5203">
              <w:t>8</w:t>
            </w:r>
          </w:p>
        </w:tc>
        <w:tc>
          <w:tcPr>
            <w:tcW w:w="1777" w:type="dxa"/>
          </w:tcPr>
          <w:p w14:paraId="0A097C4B" w14:textId="6D891605" w:rsidR="00714EBE" w:rsidRPr="006E7C03" w:rsidRDefault="007B5203" w:rsidP="00E46245">
            <w:pPr>
              <w:pStyle w:val="Zkladntext"/>
              <w:spacing w:after="120"/>
            </w:pPr>
            <w:r>
              <w:t>2</w:t>
            </w:r>
            <w:r w:rsidR="00714EBE" w:rsidRPr="006E7C03">
              <w:t>/Q201</w:t>
            </w:r>
            <w:r>
              <w:t>9</w:t>
            </w:r>
          </w:p>
        </w:tc>
        <w:tc>
          <w:tcPr>
            <w:tcW w:w="1777" w:type="dxa"/>
          </w:tcPr>
          <w:p w14:paraId="28F20844" w14:textId="3F1EA2E5" w:rsidR="00714EBE" w:rsidRPr="006E7C03" w:rsidRDefault="00714EBE" w:rsidP="00E46245">
            <w:pPr>
              <w:pStyle w:val="Zkladntext"/>
              <w:spacing w:after="120"/>
            </w:pPr>
            <w:r w:rsidRPr="006E7C03">
              <w:t>4Q/202</w:t>
            </w:r>
            <w:r w:rsidR="007B5203">
              <w:t>1</w:t>
            </w:r>
          </w:p>
        </w:tc>
        <w:tc>
          <w:tcPr>
            <w:tcW w:w="2613" w:type="dxa"/>
          </w:tcPr>
          <w:p w14:paraId="6833D156" w14:textId="77777777" w:rsidR="00714EBE" w:rsidRPr="006E7C03" w:rsidRDefault="00714EBE" w:rsidP="00E46245">
            <w:pPr>
              <w:pStyle w:val="Zkladntext"/>
              <w:spacing w:after="120"/>
            </w:pPr>
            <w:r w:rsidRPr="006E7C03">
              <w:t>Prioritní osa 3/ Zvyšování energetické účinnosti a zabezpečení dodávek prostřednictvím rozvoje inteligentních systémů pro distribuci, skladování a přenos energie a prostřednictvím integrace distribuované výroby z obnovitelných zdrojů</w:t>
            </w:r>
          </w:p>
        </w:tc>
      </w:tr>
      <w:tr w:rsidR="00714EBE" w:rsidRPr="006E7C03" w14:paraId="443C1BB2" w14:textId="77777777" w:rsidTr="00E46245">
        <w:trPr>
          <w:trHeight w:val="3375"/>
        </w:trPr>
        <w:tc>
          <w:tcPr>
            <w:tcW w:w="1123" w:type="dxa"/>
          </w:tcPr>
          <w:p w14:paraId="4BC1EC28" w14:textId="77777777" w:rsidR="00714EBE" w:rsidRPr="0038465A" w:rsidRDefault="00714EBE" w:rsidP="00E46245">
            <w:pPr>
              <w:pStyle w:val="Zkladntext"/>
              <w:spacing w:after="120"/>
            </w:pPr>
            <w:r>
              <w:t>Rozvodna Kočín – rozšíření, rekonstrukce a přeústění</w:t>
            </w:r>
          </w:p>
        </w:tc>
        <w:tc>
          <w:tcPr>
            <w:tcW w:w="1777" w:type="dxa"/>
          </w:tcPr>
          <w:p w14:paraId="698D99C3" w14:textId="066D9341" w:rsidR="00714EBE" w:rsidRPr="0038465A" w:rsidRDefault="00D122F9" w:rsidP="00E46245">
            <w:pPr>
              <w:pStyle w:val="Zkladntext"/>
              <w:spacing w:after="120"/>
            </w:pPr>
            <w:r>
              <w:t>1</w:t>
            </w:r>
            <w:r w:rsidR="00714EBE">
              <w:t>Q/201</w:t>
            </w:r>
            <w:r>
              <w:t>8</w:t>
            </w:r>
          </w:p>
        </w:tc>
        <w:tc>
          <w:tcPr>
            <w:tcW w:w="1777" w:type="dxa"/>
          </w:tcPr>
          <w:p w14:paraId="7850C8DE" w14:textId="65DD3867" w:rsidR="00714EBE" w:rsidRPr="0038465A" w:rsidRDefault="00D122F9" w:rsidP="00E46245">
            <w:pPr>
              <w:pStyle w:val="Zkladntext"/>
              <w:spacing w:after="120"/>
            </w:pPr>
            <w:r>
              <w:t>2</w:t>
            </w:r>
            <w:r w:rsidR="00714EBE">
              <w:t>Q/201</w:t>
            </w:r>
            <w:r>
              <w:t>7</w:t>
            </w:r>
          </w:p>
        </w:tc>
        <w:tc>
          <w:tcPr>
            <w:tcW w:w="1777" w:type="dxa"/>
          </w:tcPr>
          <w:p w14:paraId="4E36F697" w14:textId="7F4E286F" w:rsidR="00714EBE" w:rsidRPr="0038465A" w:rsidRDefault="00714EBE" w:rsidP="00E46245">
            <w:pPr>
              <w:pStyle w:val="Zkladntext"/>
              <w:spacing w:after="120"/>
            </w:pPr>
            <w:r>
              <w:t>4Q/202</w:t>
            </w:r>
            <w:r w:rsidR="00B960AD">
              <w:t>2</w:t>
            </w:r>
          </w:p>
        </w:tc>
        <w:tc>
          <w:tcPr>
            <w:tcW w:w="2613" w:type="dxa"/>
          </w:tcPr>
          <w:p w14:paraId="2D9EE822" w14:textId="77777777" w:rsidR="00714EBE" w:rsidRPr="006E7C03" w:rsidRDefault="00714EBE" w:rsidP="00E46245">
            <w:pPr>
              <w:pStyle w:val="Zkladntext"/>
              <w:spacing w:after="120"/>
            </w:pPr>
            <w:r w:rsidRPr="00DD6664">
              <w:t xml:space="preserve">Prioritní osa 3/ Zvyšování energetické účinnosti a zabezpečení dodávek prostřednictvím rozvoje inteligentních systémů pro distribuci, skladování a přenos energie a prostřednictvím integrace distribuované výroby z </w:t>
            </w:r>
            <w:r w:rsidRPr="00DD6664">
              <w:lastRenderedPageBreak/>
              <w:t>obnovitelných zdrojů</w:t>
            </w:r>
          </w:p>
        </w:tc>
      </w:tr>
    </w:tbl>
    <w:p w14:paraId="205F8862" w14:textId="75312B3A" w:rsidR="00AA042C" w:rsidRPr="00DD47DF" w:rsidRDefault="00AA042C" w:rsidP="00A146B9">
      <w:pPr>
        <w:pStyle w:val="Standardntext"/>
      </w:pPr>
    </w:p>
    <w:p w14:paraId="0BFFD173" w14:textId="77777777" w:rsidR="00AA042C" w:rsidRPr="00DD47DF" w:rsidRDefault="006C634D" w:rsidP="00E134D0">
      <w:pPr>
        <w:pStyle w:val="Nadpis2"/>
        <w:rPr>
          <w:rFonts w:cs="Calibri"/>
        </w:rPr>
      </w:pPr>
      <w:bookmarkStart w:id="149" w:name="_Toc351464449"/>
      <w:bookmarkStart w:id="150" w:name="_Toc506885083"/>
      <w:r w:rsidRPr="00DD47DF">
        <w:rPr>
          <w:rFonts w:cs="Calibri"/>
        </w:rPr>
        <w:t xml:space="preserve">Výkonnostní rámec </w:t>
      </w:r>
      <w:bookmarkEnd w:id="149"/>
      <w:r w:rsidR="00E134D0" w:rsidRPr="00DD47DF">
        <w:rPr>
          <w:rFonts w:cs="Calibri"/>
        </w:rPr>
        <w:t>pro operační program</w:t>
      </w:r>
      <w:bookmarkEnd w:id="150"/>
    </w:p>
    <w:p w14:paraId="7012E4F1" w14:textId="77777777" w:rsidR="006C634D" w:rsidRPr="00DD47DF" w:rsidRDefault="006C634D" w:rsidP="000816D8">
      <w:pPr>
        <w:pStyle w:val="Titulek"/>
      </w:pPr>
      <w:r w:rsidRPr="00DD47DF">
        <w:t xml:space="preserve">Tabulka </w:t>
      </w:r>
      <w:r w:rsidR="002756E7" w:rsidRPr="00DD47DF">
        <w:fldChar w:fldCharType="begin"/>
      </w:r>
      <w:r w:rsidR="000E35F2" w:rsidRPr="00DD47DF">
        <w:instrText xml:space="preserve"> SEQ Tabulka \* ARABIC \r 28 </w:instrText>
      </w:r>
      <w:r w:rsidR="002756E7" w:rsidRPr="00DD47DF">
        <w:fldChar w:fldCharType="separate"/>
      </w:r>
      <w:r w:rsidR="00117847">
        <w:rPr>
          <w:noProof/>
        </w:rPr>
        <w:t>28</w:t>
      </w:r>
      <w:r w:rsidR="002756E7" w:rsidRPr="00DD47DF">
        <w:rPr>
          <w:noProof/>
        </w:rPr>
        <w:fldChar w:fldCharType="end"/>
      </w:r>
      <w:r w:rsidRPr="00DD47DF">
        <w:t xml:space="preserve">: </w:t>
      </w:r>
      <w:r w:rsidR="00E134D0" w:rsidRPr="00DD47DF">
        <w:t>Výkonnostní rámec operačního programu rozdělený podle fondu a kategorie regionu (shrnující tabulka)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89"/>
        <w:gridCol w:w="696"/>
        <w:gridCol w:w="1108"/>
        <w:gridCol w:w="2429"/>
        <w:gridCol w:w="1553"/>
        <w:gridCol w:w="1251"/>
        <w:gridCol w:w="1251"/>
      </w:tblGrid>
      <w:tr w:rsidR="0062043C" w:rsidRPr="00DD47DF" w14:paraId="4598D93D" w14:textId="77777777">
        <w:trPr>
          <w:trHeight w:val="846"/>
        </w:trPr>
        <w:tc>
          <w:tcPr>
            <w:tcW w:w="581" w:type="pct"/>
            <w:shd w:val="clear" w:color="auto" w:fill="B8CCE4"/>
          </w:tcPr>
          <w:p w14:paraId="1FE5EC49" w14:textId="77777777" w:rsidR="0062043C" w:rsidRPr="00DD47DF" w:rsidRDefault="0062043C" w:rsidP="00E134D0">
            <w:pPr>
              <w:pStyle w:val="Tabulka"/>
              <w:rPr>
                <w:rFonts w:cs="Calibri"/>
                <w:b/>
              </w:rPr>
            </w:pPr>
            <w:r w:rsidRPr="00DD47DF">
              <w:rPr>
                <w:rFonts w:cs="Calibri"/>
                <w:b/>
              </w:rPr>
              <w:t>Prioritní osa</w:t>
            </w:r>
          </w:p>
        </w:tc>
        <w:tc>
          <w:tcPr>
            <w:tcW w:w="371" w:type="pct"/>
            <w:shd w:val="clear" w:color="auto" w:fill="B8CCE4"/>
          </w:tcPr>
          <w:p w14:paraId="52A67460" w14:textId="77777777" w:rsidR="0062043C" w:rsidRPr="00DD47DF" w:rsidRDefault="0062043C" w:rsidP="00D51BBA">
            <w:pPr>
              <w:pStyle w:val="Tabulka"/>
              <w:rPr>
                <w:rFonts w:cs="Calibri"/>
                <w:b/>
              </w:rPr>
            </w:pPr>
            <w:r w:rsidRPr="00DD47DF">
              <w:rPr>
                <w:rFonts w:cs="Calibri"/>
                <w:b/>
              </w:rPr>
              <w:t>Fond</w:t>
            </w:r>
          </w:p>
        </w:tc>
        <w:tc>
          <w:tcPr>
            <w:tcW w:w="591" w:type="pct"/>
            <w:shd w:val="clear" w:color="auto" w:fill="B8CCE4"/>
          </w:tcPr>
          <w:p w14:paraId="56CB6821" w14:textId="77777777" w:rsidR="0062043C" w:rsidRPr="00DD47DF" w:rsidRDefault="00E134D0" w:rsidP="00E134D0">
            <w:pPr>
              <w:pStyle w:val="Tabulka"/>
              <w:rPr>
                <w:rFonts w:cs="Calibri"/>
                <w:b/>
              </w:rPr>
            </w:pPr>
            <w:r w:rsidRPr="00DD47DF">
              <w:rPr>
                <w:rFonts w:cs="Calibri"/>
                <w:b/>
              </w:rPr>
              <w:t>Kategorie regionů</w:t>
            </w:r>
          </w:p>
        </w:tc>
        <w:tc>
          <w:tcPr>
            <w:tcW w:w="1295" w:type="pct"/>
            <w:shd w:val="clear" w:color="auto" w:fill="B8CCE4"/>
            <w:tcMar>
              <w:top w:w="0" w:type="dxa"/>
              <w:left w:w="108" w:type="dxa"/>
              <w:bottom w:w="0" w:type="dxa"/>
              <w:right w:w="108" w:type="dxa"/>
            </w:tcMar>
          </w:tcPr>
          <w:p w14:paraId="5466B159" w14:textId="77777777" w:rsidR="0062043C" w:rsidRPr="00DD47DF" w:rsidRDefault="00E134D0" w:rsidP="00E134D0">
            <w:pPr>
              <w:pStyle w:val="Tabulka"/>
              <w:rPr>
                <w:rFonts w:cs="Calibri"/>
                <w:b/>
              </w:rPr>
            </w:pPr>
            <w:r w:rsidRPr="00DD47DF">
              <w:rPr>
                <w:rFonts w:cs="Calibri"/>
                <w:b/>
              </w:rPr>
              <w:t>Ukazatel nebo klíčový krok provádění</w:t>
            </w:r>
          </w:p>
        </w:tc>
        <w:tc>
          <w:tcPr>
            <w:tcW w:w="828" w:type="pct"/>
            <w:shd w:val="clear" w:color="auto" w:fill="B8CCE4"/>
            <w:tcMar>
              <w:top w:w="0" w:type="dxa"/>
              <w:left w:w="108" w:type="dxa"/>
              <w:bottom w:w="0" w:type="dxa"/>
              <w:right w:w="108" w:type="dxa"/>
            </w:tcMar>
          </w:tcPr>
          <w:p w14:paraId="02AE8ABD" w14:textId="77777777" w:rsidR="0062043C" w:rsidRPr="00DD47DF" w:rsidRDefault="00E134D0" w:rsidP="00E134D0">
            <w:pPr>
              <w:pStyle w:val="Tabulka"/>
              <w:rPr>
                <w:rFonts w:cs="Calibri"/>
                <w:b/>
                <w:bCs/>
              </w:rPr>
            </w:pPr>
            <w:r w:rsidRPr="00DD47DF">
              <w:rPr>
                <w:rFonts w:cs="Calibri"/>
                <w:b/>
                <w:bCs/>
              </w:rPr>
              <w:t>Měrná jednotka (použije-li se)</w:t>
            </w:r>
          </w:p>
        </w:tc>
        <w:tc>
          <w:tcPr>
            <w:tcW w:w="667" w:type="pct"/>
            <w:shd w:val="clear" w:color="auto" w:fill="B8CCE4"/>
            <w:tcMar>
              <w:top w:w="0" w:type="dxa"/>
              <w:left w:w="108" w:type="dxa"/>
              <w:bottom w:w="0" w:type="dxa"/>
              <w:right w:w="108" w:type="dxa"/>
            </w:tcMar>
          </w:tcPr>
          <w:p w14:paraId="7D0D1B3F" w14:textId="77777777" w:rsidR="0062043C" w:rsidRPr="00DD47DF" w:rsidRDefault="00E134D0" w:rsidP="00E134D0">
            <w:pPr>
              <w:pStyle w:val="Tabulka"/>
              <w:rPr>
                <w:rFonts w:cs="Calibri"/>
                <w:b/>
              </w:rPr>
            </w:pPr>
            <w:r w:rsidRPr="00DD47DF">
              <w:rPr>
                <w:rFonts w:cs="Calibri"/>
                <w:b/>
              </w:rPr>
              <w:t>Milník pro rok 2018</w:t>
            </w:r>
          </w:p>
        </w:tc>
        <w:tc>
          <w:tcPr>
            <w:tcW w:w="668" w:type="pct"/>
            <w:shd w:val="clear" w:color="auto" w:fill="B8CCE4"/>
            <w:tcMar>
              <w:top w:w="0" w:type="dxa"/>
              <w:left w:w="108" w:type="dxa"/>
              <w:bottom w:w="0" w:type="dxa"/>
              <w:right w:w="108" w:type="dxa"/>
            </w:tcMar>
          </w:tcPr>
          <w:p w14:paraId="7ADB2EA1" w14:textId="77777777" w:rsidR="0062043C" w:rsidRPr="00DD47DF" w:rsidRDefault="00E134D0" w:rsidP="00E134D0">
            <w:pPr>
              <w:pStyle w:val="Tabulka"/>
              <w:rPr>
                <w:rFonts w:cs="Calibri"/>
                <w:b/>
              </w:rPr>
            </w:pPr>
            <w:r w:rsidRPr="00DD47DF">
              <w:rPr>
                <w:rFonts w:cs="Calibri"/>
                <w:b/>
              </w:rPr>
              <w:t>Konečný cíl</w:t>
            </w:r>
            <w:r w:rsidR="0062043C" w:rsidRPr="00DD47DF">
              <w:rPr>
                <w:rFonts w:cs="Calibri"/>
                <w:b/>
              </w:rPr>
              <w:t xml:space="preserve"> </w:t>
            </w:r>
            <w:r w:rsidRPr="00DD47DF">
              <w:rPr>
                <w:rFonts w:cs="Calibri"/>
                <w:b/>
              </w:rPr>
              <w:t>(</w:t>
            </w:r>
            <w:r w:rsidR="0062043C" w:rsidRPr="00DD47DF">
              <w:rPr>
                <w:rFonts w:cs="Calibri"/>
                <w:b/>
              </w:rPr>
              <w:t>2023</w:t>
            </w:r>
            <w:r w:rsidRPr="00DD47DF">
              <w:rPr>
                <w:rFonts w:cs="Calibri"/>
                <w:b/>
              </w:rPr>
              <w:t>)</w:t>
            </w:r>
          </w:p>
        </w:tc>
      </w:tr>
      <w:tr w:rsidR="00DC685E" w:rsidRPr="00DD47DF" w14:paraId="423E53CA" w14:textId="77777777">
        <w:trPr>
          <w:trHeight w:val="318"/>
        </w:trPr>
        <w:tc>
          <w:tcPr>
            <w:tcW w:w="581" w:type="pct"/>
            <w:vMerge w:val="restart"/>
            <w:shd w:val="clear" w:color="auto" w:fill="auto"/>
            <w:vAlign w:val="center"/>
          </w:tcPr>
          <w:p w14:paraId="13D2D1A7" w14:textId="77777777" w:rsidR="00DC685E" w:rsidRPr="00DD47DF" w:rsidRDefault="00DC685E" w:rsidP="0062043C">
            <w:pPr>
              <w:pStyle w:val="Tabulka"/>
              <w:jc w:val="left"/>
              <w:rPr>
                <w:rFonts w:cs="Calibri"/>
              </w:rPr>
            </w:pPr>
            <w:r w:rsidRPr="00DD47DF">
              <w:rPr>
                <w:rFonts w:cs="Calibri"/>
              </w:rPr>
              <w:t>Prioritní osa 1</w:t>
            </w:r>
          </w:p>
        </w:tc>
        <w:tc>
          <w:tcPr>
            <w:tcW w:w="371" w:type="pct"/>
            <w:vMerge w:val="restart"/>
            <w:vAlign w:val="center"/>
          </w:tcPr>
          <w:p w14:paraId="19C1BB01" w14:textId="77777777" w:rsidR="00DC685E" w:rsidRPr="00DD47DF" w:rsidRDefault="00DC685E" w:rsidP="00D51BBA">
            <w:pPr>
              <w:pStyle w:val="Tabulka"/>
              <w:rPr>
                <w:rFonts w:cs="Calibri"/>
              </w:rPr>
            </w:pPr>
            <w:r w:rsidRPr="00DD47DF">
              <w:rPr>
                <w:rFonts w:cs="Calibri"/>
              </w:rPr>
              <w:t>EFRR</w:t>
            </w:r>
          </w:p>
        </w:tc>
        <w:tc>
          <w:tcPr>
            <w:tcW w:w="591" w:type="pct"/>
            <w:vMerge w:val="restart"/>
            <w:vAlign w:val="center"/>
          </w:tcPr>
          <w:p w14:paraId="382FC5D8" w14:textId="77777777" w:rsidR="00DC685E" w:rsidRPr="00DD47DF" w:rsidRDefault="00DC685E" w:rsidP="00F42269">
            <w:pPr>
              <w:pStyle w:val="Tabulka"/>
              <w:rPr>
                <w:rFonts w:cs="Calibri"/>
              </w:rPr>
            </w:pPr>
            <w:r w:rsidRPr="00DD47DF">
              <w:rPr>
                <w:rFonts w:cs="Calibri"/>
              </w:rPr>
              <w:t>Méně rozvinuté regiony</w:t>
            </w:r>
          </w:p>
        </w:tc>
        <w:tc>
          <w:tcPr>
            <w:tcW w:w="1295" w:type="pct"/>
            <w:shd w:val="clear" w:color="auto" w:fill="auto"/>
            <w:tcMar>
              <w:top w:w="0" w:type="dxa"/>
              <w:left w:w="108" w:type="dxa"/>
              <w:bottom w:w="0" w:type="dxa"/>
              <w:right w:w="108" w:type="dxa"/>
            </w:tcMar>
            <w:vAlign w:val="center"/>
          </w:tcPr>
          <w:p w14:paraId="1BC5B6F4" w14:textId="77777777" w:rsidR="00DC685E" w:rsidRPr="00DD47DF" w:rsidRDefault="003D1BB3" w:rsidP="000F4D69">
            <w:pPr>
              <w:pStyle w:val="Tabulka"/>
              <w:rPr>
                <w:rFonts w:cs="Calibri"/>
              </w:rPr>
            </w:pPr>
            <w:r w:rsidRPr="00DD47DF">
              <w:rPr>
                <w:rFonts w:cs="Calibri"/>
              </w:rPr>
              <w:t>Celkové způsobilé certifikované finanční prostředky</w:t>
            </w:r>
          </w:p>
        </w:tc>
        <w:tc>
          <w:tcPr>
            <w:tcW w:w="828" w:type="pct"/>
            <w:shd w:val="clear" w:color="auto" w:fill="auto"/>
            <w:tcMar>
              <w:top w:w="0" w:type="dxa"/>
              <w:left w:w="108" w:type="dxa"/>
              <w:bottom w:w="0" w:type="dxa"/>
              <w:right w:w="108" w:type="dxa"/>
            </w:tcMar>
            <w:vAlign w:val="center"/>
          </w:tcPr>
          <w:p w14:paraId="0B086D0F" w14:textId="77777777" w:rsidR="00DC685E" w:rsidRPr="00DD47DF" w:rsidRDefault="00DC685E" w:rsidP="00501DC8">
            <w:pPr>
              <w:pStyle w:val="Tabulka"/>
              <w:rPr>
                <w:rFonts w:cs="Calibri"/>
              </w:rPr>
            </w:pPr>
            <w:r w:rsidRPr="00DD47DF">
              <w:rPr>
                <w:rFonts w:cs="Calibri"/>
              </w:rPr>
              <w:t>EUR</w:t>
            </w:r>
          </w:p>
        </w:tc>
        <w:tc>
          <w:tcPr>
            <w:tcW w:w="667" w:type="pct"/>
            <w:shd w:val="clear" w:color="auto" w:fill="auto"/>
            <w:tcMar>
              <w:top w:w="0" w:type="dxa"/>
              <w:left w:w="108" w:type="dxa"/>
              <w:bottom w:w="0" w:type="dxa"/>
              <w:right w:w="108" w:type="dxa"/>
            </w:tcMar>
            <w:vAlign w:val="center"/>
          </w:tcPr>
          <w:p w14:paraId="5D4C97B0" w14:textId="77777777" w:rsidR="00DC685E" w:rsidRPr="00DD47DF" w:rsidRDefault="000E5BB7" w:rsidP="00D51BBA">
            <w:pPr>
              <w:pStyle w:val="Tabulka"/>
              <w:rPr>
                <w:rFonts w:cs="Calibri"/>
              </w:rPr>
            </w:pPr>
            <w:r w:rsidRPr="00DD47DF">
              <w:rPr>
                <w:rFonts w:cs="Calibri"/>
              </w:rPr>
              <w:t>5</w:t>
            </w:r>
            <w:r w:rsidR="00CC653D" w:rsidRPr="00DD47DF">
              <w:rPr>
                <w:rFonts w:cs="Calibri"/>
              </w:rPr>
              <w:t>52</w:t>
            </w:r>
            <w:r w:rsidR="00DC685E" w:rsidRPr="00DD47DF">
              <w:rPr>
                <w:rFonts w:cs="Calibri"/>
              </w:rPr>
              <w:t> </w:t>
            </w:r>
            <w:r w:rsidR="00CC653D" w:rsidRPr="00DD47DF">
              <w:rPr>
                <w:rFonts w:cs="Calibri"/>
              </w:rPr>
              <w:t>4</w:t>
            </w:r>
            <w:r w:rsidR="00DC685E" w:rsidRPr="00DD47DF">
              <w:rPr>
                <w:rFonts w:cs="Calibri"/>
              </w:rPr>
              <w:t>00 000</w:t>
            </w:r>
          </w:p>
        </w:tc>
        <w:tc>
          <w:tcPr>
            <w:tcW w:w="668" w:type="pct"/>
            <w:shd w:val="clear" w:color="auto" w:fill="auto"/>
            <w:tcMar>
              <w:top w:w="0" w:type="dxa"/>
              <w:left w:w="108" w:type="dxa"/>
              <w:bottom w:w="0" w:type="dxa"/>
              <w:right w:w="108" w:type="dxa"/>
            </w:tcMar>
            <w:vAlign w:val="center"/>
          </w:tcPr>
          <w:p w14:paraId="5E642077" w14:textId="72C9C6DE" w:rsidR="00DC685E" w:rsidRPr="00DD47DF" w:rsidRDefault="003237BA" w:rsidP="00D51BBA">
            <w:pPr>
              <w:pStyle w:val="Tabulka"/>
              <w:rPr>
                <w:rFonts w:cs="Calibri"/>
              </w:rPr>
            </w:pPr>
            <w:r w:rsidRPr="00700E39">
              <w:t>2 782 298 907</w:t>
            </w:r>
          </w:p>
        </w:tc>
      </w:tr>
      <w:tr w:rsidR="00DC685E" w:rsidRPr="00DD47DF" w14:paraId="54103C15" w14:textId="77777777">
        <w:trPr>
          <w:trHeight w:val="268"/>
        </w:trPr>
        <w:tc>
          <w:tcPr>
            <w:tcW w:w="581" w:type="pct"/>
            <w:vMerge/>
            <w:shd w:val="clear" w:color="auto" w:fill="auto"/>
            <w:vAlign w:val="center"/>
          </w:tcPr>
          <w:p w14:paraId="6C214F10" w14:textId="77777777" w:rsidR="00DC685E" w:rsidRPr="00DD47DF" w:rsidRDefault="00DC685E" w:rsidP="0062043C">
            <w:pPr>
              <w:pStyle w:val="Tabulka"/>
              <w:jc w:val="left"/>
              <w:rPr>
                <w:rFonts w:cs="Calibri"/>
              </w:rPr>
            </w:pPr>
          </w:p>
        </w:tc>
        <w:tc>
          <w:tcPr>
            <w:tcW w:w="371" w:type="pct"/>
            <w:vMerge/>
            <w:vAlign w:val="center"/>
          </w:tcPr>
          <w:p w14:paraId="54E2FB1E" w14:textId="77777777" w:rsidR="00DC685E" w:rsidRPr="00DD47DF" w:rsidRDefault="00DC685E" w:rsidP="00D51BBA">
            <w:pPr>
              <w:pStyle w:val="Tabulka"/>
              <w:rPr>
                <w:rFonts w:cs="Calibri"/>
              </w:rPr>
            </w:pPr>
          </w:p>
        </w:tc>
        <w:tc>
          <w:tcPr>
            <w:tcW w:w="591" w:type="pct"/>
            <w:vMerge/>
            <w:vAlign w:val="center"/>
          </w:tcPr>
          <w:p w14:paraId="22C893BA" w14:textId="77777777" w:rsidR="00DC685E" w:rsidRPr="00DD47DF" w:rsidRDefault="00DC685E" w:rsidP="00F42269">
            <w:pPr>
              <w:pStyle w:val="Tabulka"/>
              <w:rPr>
                <w:rFonts w:cs="Calibri"/>
              </w:rPr>
            </w:pPr>
          </w:p>
        </w:tc>
        <w:tc>
          <w:tcPr>
            <w:tcW w:w="1295" w:type="pct"/>
            <w:shd w:val="clear" w:color="auto" w:fill="auto"/>
            <w:tcMar>
              <w:top w:w="0" w:type="dxa"/>
              <w:left w:w="108" w:type="dxa"/>
              <w:bottom w:w="0" w:type="dxa"/>
              <w:right w:w="108" w:type="dxa"/>
            </w:tcMar>
            <w:vAlign w:val="center"/>
          </w:tcPr>
          <w:p w14:paraId="03D81AA5" w14:textId="77777777" w:rsidR="00DC685E" w:rsidRPr="00DD47DF" w:rsidRDefault="00DC685E" w:rsidP="00501DC8">
            <w:pPr>
              <w:pStyle w:val="Tabulka"/>
              <w:rPr>
                <w:rFonts w:cs="Calibri"/>
              </w:rPr>
            </w:pPr>
            <w:r w:rsidRPr="00DD47DF">
              <w:rPr>
                <w:rFonts w:cs="Calibri"/>
              </w:rPr>
              <w:t>Počet podniků pobírajících podporu</w:t>
            </w:r>
          </w:p>
        </w:tc>
        <w:tc>
          <w:tcPr>
            <w:tcW w:w="828" w:type="pct"/>
            <w:shd w:val="clear" w:color="auto" w:fill="auto"/>
            <w:tcMar>
              <w:top w:w="0" w:type="dxa"/>
              <w:left w:w="108" w:type="dxa"/>
              <w:bottom w:w="0" w:type="dxa"/>
              <w:right w:w="108" w:type="dxa"/>
            </w:tcMar>
            <w:vAlign w:val="center"/>
          </w:tcPr>
          <w:p w14:paraId="1482D7C7" w14:textId="77777777" w:rsidR="00DC685E" w:rsidRPr="00DD47DF" w:rsidRDefault="00DC685E" w:rsidP="00501DC8">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7A9CAABB" w14:textId="77777777" w:rsidR="00DC685E" w:rsidRPr="00DD47DF" w:rsidRDefault="00BD5D37" w:rsidP="00D51BBA">
            <w:pPr>
              <w:pStyle w:val="Tabulka"/>
              <w:rPr>
                <w:rFonts w:cs="Calibri"/>
              </w:rPr>
            </w:pPr>
            <w:r w:rsidRPr="00DD47DF">
              <w:rPr>
                <w:rFonts w:cs="Calibri"/>
              </w:rPr>
              <w:t>4</w:t>
            </w:r>
            <w:r w:rsidR="000E5BB7" w:rsidRPr="00DD47DF">
              <w:rPr>
                <w:rFonts w:cs="Calibri"/>
              </w:rPr>
              <w:t>2</w:t>
            </w:r>
            <w:r w:rsidRPr="00DD47DF">
              <w:rPr>
                <w:rFonts w:cs="Calibri"/>
              </w:rPr>
              <w:t>0</w:t>
            </w:r>
          </w:p>
        </w:tc>
        <w:tc>
          <w:tcPr>
            <w:tcW w:w="668" w:type="pct"/>
            <w:shd w:val="clear" w:color="auto" w:fill="auto"/>
            <w:tcMar>
              <w:top w:w="0" w:type="dxa"/>
              <w:left w:w="108" w:type="dxa"/>
              <w:bottom w:w="0" w:type="dxa"/>
              <w:right w:w="108" w:type="dxa"/>
            </w:tcMar>
            <w:vAlign w:val="center"/>
          </w:tcPr>
          <w:p w14:paraId="674EC609" w14:textId="77777777" w:rsidR="00DC685E" w:rsidRPr="00DD47DF" w:rsidRDefault="00BD5D37" w:rsidP="00D51BBA">
            <w:pPr>
              <w:pStyle w:val="Tabulka"/>
              <w:rPr>
                <w:rFonts w:cs="Calibri"/>
              </w:rPr>
            </w:pPr>
            <w:r w:rsidRPr="00DD47DF">
              <w:rPr>
                <w:rFonts w:cs="Calibri"/>
              </w:rPr>
              <w:t xml:space="preserve">1 </w:t>
            </w:r>
            <w:r w:rsidR="000E5BB7" w:rsidRPr="00DD47DF">
              <w:rPr>
                <w:rFonts w:cs="Calibri"/>
              </w:rPr>
              <w:t>9</w:t>
            </w:r>
            <w:r w:rsidRPr="00DD47DF">
              <w:rPr>
                <w:rFonts w:cs="Calibri"/>
              </w:rPr>
              <w:t>70</w:t>
            </w:r>
          </w:p>
        </w:tc>
      </w:tr>
      <w:tr w:rsidR="00DC685E" w:rsidRPr="00DD47DF" w14:paraId="11813E20" w14:textId="77777777">
        <w:trPr>
          <w:trHeight w:val="335"/>
        </w:trPr>
        <w:tc>
          <w:tcPr>
            <w:tcW w:w="581" w:type="pct"/>
            <w:vMerge/>
            <w:shd w:val="clear" w:color="auto" w:fill="auto"/>
            <w:vAlign w:val="center"/>
          </w:tcPr>
          <w:p w14:paraId="0DDDD24A" w14:textId="77777777" w:rsidR="00DC685E" w:rsidRPr="00DD47DF" w:rsidRDefault="00DC685E" w:rsidP="0062043C">
            <w:pPr>
              <w:pStyle w:val="Tabulka"/>
              <w:jc w:val="left"/>
              <w:rPr>
                <w:rFonts w:cs="Calibri"/>
              </w:rPr>
            </w:pPr>
          </w:p>
        </w:tc>
        <w:tc>
          <w:tcPr>
            <w:tcW w:w="371" w:type="pct"/>
            <w:vMerge/>
            <w:vAlign w:val="center"/>
          </w:tcPr>
          <w:p w14:paraId="11D92080" w14:textId="77777777" w:rsidR="00DC685E" w:rsidRPr="00DD47DF" w:rsidRDefault="00DC685E" w:rsidP="00D51BBA">
            <w:pPr>
              <w:pStyle w:val="Tabulka"/>
              <w:rPr>
                <w:rFonts w:cs="Calibri"/>
              </w:rPr>
            </w:pPr>
          </w:p>
        </w:tc>
        <w:tc>
          <w:tcPr>
            <w:tcW w:w="591" w:type="pct"/>
            <w:vMerge/>
            <w:vAlign w:val="center"/>
          </w:tcPr>
          <w:p w14:paraId="51C08A24" w14:textId="77777777" w:rsidR="00DC685E" w:rsidRPr="00DD47DF" w:rsidRDefault="00DC685E" w:rsidP="00F42269">
            <w:pPr>
              <w:pStyle w:val="Tabulka"/>
              <w:rPr>
                <w:rFonts w:cs="Calibri"/>
              </w:rPr>
            </w:pPr>
          </w:p>
        </w:tc>
        <w:tc>
          <w:tcPr>
            <w:tcW w:w="1295" w:type="pct"/>
            <w:shd w:val="clear" w:color="auto" w:fill="auto"/>
            <w:tcMar>
              <w:top w:w="0" w:type="dxa"/>
              <w:left w:w="108" w:type="dxa"/>
              <w:bottom w:w="0" w:type="dxa"/>
              <w:right w:w="108" w:type="dxa"/>
            </w:tcMar>
            <w:vAlign w:val="center"/>
          </w:tcPr>
          <w:p w14:paraId="62807765" w14:textId="77777777" w:rsidR="00DC685E" w:rsidRPr="00DD47DF" w:rsidRDefault="00DC685E" w:rsidP="00DF5D6D">
            <w:pPr>
              <w:pStyle w:val="Tabulka"/>
              <w:rPr>
                <w:rFonts w:cs="Calibri"/>
              </w:rPr>
            </w:pPr>
            <w:r w:rsidRPr="00DD47DF">
              <w:rPr>
                <w:rFonts w:cs="Calibri"/>
              </w:rPr>
              <w:t>Počet podniků spolupracujících s výzkumnými institucemi</w:t>
            </w:r>
          </w:p>
        </w:tc>
        <w:tc>
          <w:tcPr>
            <w:tcW w:w="828" w:type="pct"/>
            <w:shd w:val="clear" w:color="auto" w:fill="auto"/>
            <w:tcMar>
              <w:top w:w="0" w:type="dxa"/>
              <w:left w:w="108" w:type="dxa"/>
              <w:bottom w:w="0" w:type="dxa"/>
              <w:right w:w="108" w:type="dxa"/>
            </w:tcMar>
            <w:vAlign w:val="center"/>
          </w:tcPr>
          <w:p w14:paraId="7571423E" w14:textId="77777777" w:rsidR="00DC685E" w:rsidRPr="00DD47DF" w:rsidRDefault="00DC685E" w:rsidP="00DF5D6D">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15073B96" w14:textId="41DF31BA" w:rsidR="00DC685E" w:rsidRPr="00DD47DF" w:rsidRDefault="00E71398" w:rsidP="00D51BBA">
            <w:pPr>
              <w:pStyle w:val="Tabulka"/>
              <w:rPr>
                <w:rFonts w:cs="Calibri"/>
              </w:rPr>
            </w:pPr>
            <w:r>
              <w:rPr>
                <w:rFonts w:cs="Calibri"/>
              </w:rPr>
              <w:t>3</w:t>
            </w:r>
            <w:r w:rsidR="00DC685E" w:rsidRPr="00DD47DF">
              <w:rPr>
                <w:rFonts w:cs="Calibri"/>
              </w:rPr>
              <w:t>50</w:t>
            </w:r>
          </w:p>
        </w:tc>
        <w:tc>
          <w:tcPr>
            <w:tcW w:w="668" w:type="pct"/>
            <w:shd w:val="clear" w:color="auto" w:fill="auto"/>
            <w:tcMar>
              <w:top w:w="0" w:type="dxa"/>
              <w:left w:w="108" w:type="dxa"/>
              <w:bottom w:w="0" w:type="dxa"/>
              <w:right w:w="108" w:type="dxa"/>
            </w:tcMar>
            <w:vAlign w:val="center"/>
          </w:tcPr>
          <w:p w14:paraId="5185B518" w14:textId="2A8388CF" w:rsidR="00DC685E" w:rsidRPr="00DD47DF" w:rsidRDefault="00DC685E" w:rsidP="00D51BBA">
            <w:pPr>
              <w:pStyle w:val="Tabulka"/>
              <w:rPr>
                <w:rFonts w:cs="Calibri"/>
              </w:rPr>
            </w:pPr>
            <w:r w:rsidRPr="00DD47DF">
              <w:rPr>
                <w:rFonts w:cs="Calibri"/>
              </w:rPr>
              <w:t xml:space="preserve">2 </w:t>
            </w:r>
            <w:r w:rsidR="00E71398">
              <w:rPr>
                <w:rFonts w:cs="Calibri"/>
              </w:rPr>
              <w:t>200</w:t>
            </w:r>
          </w:p>
        </w:tc>
      </w:tr>
      <w:tr w:rsidR="00DC685E" w:rsidRPr="00DD47DF" w14:paraId="234F4239" w14:textId="77777777">
        <w:trPr>
          <w:trHeight w:val="469"/>
        </w:trPr>
        <w:tc>
          <w:tcPr>
            <w:tcW w:w="581" w:type="pct"/>
            <w:vMerge w:val="restart"/>
            <w:shd w:val="clear" w:color="auto" w:fill="auto"/>
            <w:vAlign w:val="center"/>
          </w:tcPr>
          <w:p w14:paraId="26391463" w14:textId="77777777" w:rsidR="00DC685E" w:rsidRPr="00DD47DF" w:rsidRDefault="00DC685E" w:rsidP="0062043C">
            <w:pPr>
              <w:pStyle w:val="Tabulka"/>
              <w:jc w:val="left"/>
              <w:rPr>
                <w:rFonts w:cs="Calibri"/>
              </w:rPr>
            </w:pPr>
            <w:r w:rsidRPr="00DD47DF">
              <w:rPr>
                <w:rFonts w:cs="Calibri"/>
              </w:rPr>
              <w:t>Prioritní osa 2</w:t>
            </w:r>
          </w:p>
        </w:tc>
        <w:tc>
          <w:tcPr>
            <w:tcW w:w="371" w:type="pct"/>
            <w:vMerge w:val="restart"/>
            <w:vAlign w:val="center"/>
          </w:tcPr>
          <w:p w14:paraId="76CFEDBB" w14:textId="77777777" w:rsidR="00DC685E" w:rsidRPr="00DD47DF" w:rsidRDefault="00DC685E" w:rsidP="00D51BBA">
            <w:pPr>
              <w:pStyle w:val="Tabulka"/>
              <w:rPr>
                <w:rFonts w:cs="Calibri"/>
              </w:rPr>
            </w:pPr>
            <w:r w:rsidRPr="00DD47DF">
              <w:rPr>
                <w:rFonts w:cs="Calibri"/>
              </w:rPr>
              <w:t>EFRR</w:t>
            </w:r>
          </w:p>
        </w:tc>
        <w:tc>
          <w:tcPr>
            <w:tcW w:w="591" w:type="pct"/>
            <w:vMerge w:val="restart"/>
            <w:vAlign w:val="center"/>
          </w:tcPr>
          <w:p w14:paraId="21E021FC" w14:textId="77777777" w:rsidR="00DC685E" w:rsidRPr="00DD47DF" w:rsidRDefault="00DC685E" w:rsidP="00F42269">
            <w:pPr>
              <w:pStyle w:val="Tabulka"/>
              <w:rPr>
                <w:rFonts w:cs="Calibri"/>
              </w:rPr>
            </w:pPr>
            <w:r w:rsidRPr="00DD47DF">
              <w:rPr>
                <w:rFonts w:cs="Calibri"/>
              </w:rPr>
              <w:t>Méně rozvinuté regiony</w:t>
            </w:r>
          </w:p>
        </w:tc>
        <w:tc>
          <w:tcPr>
            <w:tcW w:w="1295" w:type="pct"/>
            <w:shd w:val="clear" w:color="auto" w:fill="auto"/>
            <w:tcMar>
              <w:top w:w="0" w:type="dxa"/>
              <w:left w:w="108" w:type="dxa"/>
              <w:bottom w:w="0" w:type="dxa"/>
              <w:right w:w="108" w:type="dxa"/>
            </w:tcMar>
            <w:vAlign w:val="center"/>
          </w:tcPr>
          <w:p w14:paraId="2E848E8C" w14:textId="77777777" w:rsidR="00DC685E" w:rsidRPr="00DD47DF" w:rsidRDefault="003D1BB3" w:rsidP="00501DC8">
            <w:pPr>
              <w:pStyle w:val="Tabulka"/>
              <w:rPr>
                <w:rFonts w:cs="Calibri"/>
              </w:rPr>
            </w:pPr>
            <w:r w:rsidRPr="00DD47DF">
              <w:rPr>
                <w:rFonts w:cs="Calibri"/>
              </w:rPr>
              <w:t>Celkové způsobilé certifikované finanční prostředky</w:t>
            </w:r>
          </w:p>
        </w:tc>
        <w:tc>
          <w:tcPr>
            <w:tcW w:w="828" w:type="pct"/>
            <w:shd w:val="clear" w:color="auto" w:fill="auto"/>
            <w:tcMar>
              <w:top w:w="0" w:type="dxa"/>
              <w:left w:w="108" w:type="dxa"/>
              <w:bottom w:w="0" w:type="dxa"/>
              <w:right w:w="108" w:type="dxa"/>
            </w:tcMar>
            <w:vAlign w:val="center"/>
          </w:tcPr>
          <w:p w14:paraId="2E5D6E12" w14:textId="77777777" w:rsidR="00DC685E" w:rsidRPr="00DD47DF" w:rsidRDefault="00DC685E" w:rsidP="00501DC8">
            <w:pPr>
              <w:pStyle w:val="Tabulka"/>
              <w:rPr>
                <w:rFonts w:cs="Calibri"/>
              </w:rPr>
            </w:pPr>
            <w:r w:rsidRPr="00DD47DF">
              <w:rPr>
                <w:rFonts w:cs="Calibri"/>
              </w:rPr>
              <w:t>EUR</w:t>
            </w:r>
          </w:p>
        </w:tc>
        <w:tc>
          <w:tcPr>
            <w:tcW w:w="667" w:type="pct"/>
            <w:shd w:val="clear" w:color="auto" w:fill="auto"/>
            <w:tcMar>
              <w:top w:w="0" w:type="dxa"/>
              <w:left w:w="108" w:type="dxa"/>
              <w:bottom w:w="0" w:type="dxa"/>
              <w:right w:w="108" w:type="dxa"/>
            </w:tcMar>
            <w:vAlign w:val="center"/>
          </w:tcPr>
          <w:p w14:paraId="515480E1" w14:textId="77777777" w:rsidR="00DC685E" w:rsidRPr="00DD47DF" w:rsidRDefault="000E5BB7" w:rsidP="00D51BBA">
            <w:pPr>
              <w:pStyle w:val="Tabulka"/>
              <w:rPr>
                <w:rFonts w:cs="Calibri"/>
              </w:rPr>
            </w:pPr>
            <w:r w:rsidRPr="00DD47DF">
              <w:rPr>
                <w:rFonts w:cs="Calibri"/>
              </w:rPr>
              <w:t>26</w:t>
            </w:r>
            <w:r w:rsidR="00CC653D" w:rsidRPr="00DD47DF">
              <w:rPr>
                <w:rFonts w:cs="Calibri"/>
              </w:rPr>
              <w:t>8</w:t>
            </w:r>
            <w:r w:rsidRPr="00DD47DF">
              <w:rPr>
                <w:rFonts w:cs="Calibri"/>
              </w:rPr>
              <w:t> 4</w:t>
            </w:r>
            <w:r w:rsidR="00DC685E" w:rsidRPr="00DD47DF">
              <w:rPr>
                <w:rFonts w:cs="Calibri"/>
              </w:rPr>
              <w:t>00 000</w:t>
            </w:r>
          </w:p>
        </w:tc>
        <w:tc>
          <w:tcPr>
            <w:tcW w:w="668" w:type="pct"/>
            <w:shd w:val="clear" w:color="auto" w:fill="auto"/>
            <w:tcMar>
              <w:top w:w="0" w:type="dxa"/>
              <w:left w:w="108" w:type="dxa"/>
              <w:bottom w:w="0" w:type="dxa"/>
              <w:right w:w="108" w:type="dxa"/>
            </w:tcMar>
            <w:vAlign w:val="center"/>
          </w:tcPr>
          <w:p w14:paraId="31E1177F" w14:textId="132437AE" w:rsidR="00DC685E" w:rsidRPr="00DD47DF" w:rsidRDefault="003237BA" w:rsidP="00D51BBA">
            <w:pPr>
              <w:pStyle w:val="Tabulka"/>
              <w:rPr>
                <w:rFonts w:cs="Calibri"/>
              </w:rPr>
            </w:pPr>
            <w:r w:rsidRPr="00700E39">
              <w:t>1 893 030 864</w:t>
            </w:r>
          </w:p>
        </w:tc>
      </w:tr>
      <w:tr w:rsidR="00DC685E" w:rsidRPr="00DD47DF" w14:paraId="20A6C35F" w14:textId="77777777">
        <w:trPr>
          <w:trHeight w:val="462"/>
        </w:trPr>
        <w:tc>
          <w:tcPr>
            <w:tcW w:w="581" w:type="pct"/>
            <w:vMerge/>
            <w:shd w:val="clear" w:color="auto" w:fill="auto"/>
            <w:vAlign w:val="center"/>
          </w:tcPr>
          <w:p w14:paraId="32AC4B71" w14:textId="77777777" w:rsidR="00DC685E" w:rsidRPr="00DD47DF" w:rsidRDefault="00DC685E" w:rsidP="0062043C">
            <w:pPr>
              <w:pStyle w:val="Tabulka"/>
              <w:jc w:val="left"/>
              <w:rPr>
                <w:rFonts w:cs="Calibri"/>
              </w:rPr>
            </w:pPr>
          </w:p>
        </w:tc>
        <w:tc>
          <w:tcPr>
            <w:tcW w:w="371" w:type="pct"/>
            <w:vMerge/>
            <w:vAlign w:val="center"/>
          </w:tcPr>
          <w:p w14:paraId="16D6F383" w14:textId="77777777" w:rsidR="00DC685E" w:rsidRPr="00DD47DF" w:rsidRDefault="00DC685E" w:rsidP="00D51BBA">
            <w:pPr>
              <w:pStyle w:val="Tabulka"/>
              <w:rPr>
                <w:rFonts w:cs="Calibri"/>
              </w:rPr>
            </w:pPr>
          </w:p>
        </w:tc>
        <w:tc>
          <w:tcPr>
            <w:tcW w:w="591" w:type="pct"/>
            <w:vMerge/>
            <w:vAlign w:val="center"/>
          </w:tcPr>
          <w:p w14:paraId="4F48AAAD" w14:textId="77777777" w:rsidR="00DC685E" w:rsidRPr="00DD47DF" w:rsidRDefault="00DC685E" w:rsidP="00F42269">
            <w:pPr>
              <w:pStyle w:val="Tabulka"/>
              <w:rPr>
                <w:rFonts w:cs="Calibri"/>
              </w:rPr>
            </w:pPr>
          </w:p>
        </w:tc>
        <w:tc>
          <w:tcPr>
            <w:tcW w:w="1295" w:type="pct"/>
            <w:shd w:val="clear" w:color="auto" w:fill="auto"/>
            <w:tcMar>
              <w:top w:w="0" w:type="dxa"/>
              <w:left w:w="108" w:type="dxa"/>
              <w:bottom w:w="0" w:type="dxa"/>
              <w:right w:w="108" w:type="dxa"/>
            </w:tcMar>
            <w:vAlign w:val="center"/>
          </w:tcPr>
          <w:p w14:paraId="31C890A1" w14:textId="77777777" w:rsidR="00DC685E" w:rsidRPr="00DD47DF" w:rsidRDefault="00DC685E" w:rsidP="00501DC8">
            <w:pPr>
              <w:pStyle w:val="Tabulka"/>
              <w:rPr>
                <w:rFonts w:cs="Calibri"/>
              </w:rPr>
            </w:pPr>
            <w:r w:rsidRPr="00DD47DF">
              <w:rPr>
                <w:rFonts w:cs="Calibri"/>
              </w:rPr>
              <w:t>Počet podniků pobírajících podporu</w:t>
            </w:r>
          </w:p>
        </w:tc>
        <w:tc>
          <w:tcPr>
            <w:tcW w:w="828" w:type="pct"/>
            <w:shd w:val="clear" w:color="auto" w:fill="auto"/>
            <w:tcMar>
              <w:top w:w="0" w:type="dxa"/>
              <w:left w:w="108" w:type="dxa"/>
              <w:bottom w:w="0" w:type="dxa"/>
              <w:right w:w="108" w:type="dxa"/>
            </w:tcMar>
            <w:vAlign w:val="center"/>
          </w:tcPr>
          <w:p w14:paraId="76614BE6" w14:textId="77777777" w:rsidR="00DC685E" w:rsidRPr="00DD47DF" w:rsidRDefault="00DC685E" w:rsidP="00501DC8">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0DA9A77A" w14:textId="77777777" w:rsidR="00DC685E" w:rsidRPr="00DD47DF" w:rsidRDefault="00A25B29" w:rsidP="00D51BBA">
            <w:pPr>
              <w:pStyle w:val="Tabulka"/>
              <w:rPr>
                <w:rFonts w:cs="Calibri"/>
              </w:rPr>
            </w:pPr>
            <w:r w:rsidRPr="00DD47DF">
              <w:rPr>
                <w:rFonts w:cs="Calibri"/>
              </w:rPr>
              <w:t>1 35</w:t>
            </w:r>
            <w:r w:rsidR="00DC685E" w:rsidRPr="00DD47DF">
              <w:rPr>
                <w:rFonts w:cs="Calibri"/>
              </w:rPr>
              <w:t>0</w:t>
            </w:r>
          </w:p>
        </w:tc>
        <w:tc>
          <w:tcPr>
            <w:tcW w:w="668" w:type="pct"/>
            <w:shd w:val="clear" w:color="auto" w:fill="auto"/>
            <w:tcMar>
              <w:top w:w="0" w:type="dxa"/>
              <w:left w:w="108" w:type="dxa"/>
              <w:bottom w:w="0" w:type="dxa"/>
              <w:right w:w="108" w:type="dxa"/>
            </w:tcMar>
            <w:vAlign w:val="center"/>
          </w:tcPr>
          <w:p w14:paraId="408A9C9B" w14:textId="6F78D6D0" w:rsidR="00DC685E" w:rsidRPr="00DD47DF" w:rsidRDefault="0020280D" w:rsidP="00773626">
            <w:pPr>
              <w:pStyle w:val="Tabulka"/>
              <w:rPr>
                <w:rFonts w:cs="Calibri"/>
              </w:rPr>
            </w:pPr>
            <w:r>
              <w:rPr>
                <w:rFonts w:cs="Calibri"/>
              </w:rPr>
              <w:t>7 331</w:t>
            </w:r>
          </w:p>
        </w:tc>
      </w:tr>
      <w:tr w:rsidR="00DC685E" w:rsidRPr="00DD47DF" w14:paraId="2E78A5C7" w14:textId="77777777">
        <w:trPr>
          <w:trHeight w:val="485"/>
        </w:trPr>
        <w:tc>
          <w:tcPr>
            <w:tcW w:w="581" w:type="pct"/>
            <w:vMerge w:val="restart"/>
            <w:shd w:val="clear" w:color="auto" w:fill="auto"/>
            <w:vAlign w:val="center"/>
          </w:tcPr>
          <w:p w14:paraId="38A1DDEB" w14:textId="77777777" w:rsidR="00DC685E" w:rsidRPr="00DD47DF" w:rsidRDefault="00DC685E" w:rsidP="0062043C">
            <w:pPr>
              <w:pStyle w:val="Tabulka"/>
              <w:jc w:val="left"/>
              <w:rPr>
                <w:rFonts w:cs="Calibri"/>
              </w:rPr>
            </w:pPr>
            <w:r w:rsidRPr="00DD47DF">
              <w:rPr>
                <w:rFonts w:cs="Calibri"/>
              </w:rPr>
              <w:t>Prioritní osa 3</w:t>
            </w:r>
          </w:p>
        </w:tc>
        <w:tc>
          <w:tcPr>
            <w:tcW w:w="371" w:type="pct"/>
            <w:vMerge w:val="restart"/>
            <w:vAlign w:val="center"/>
          </w:tcPr>
          <w:p w14:paraId="34CB4202" w14:textId="77777777" w:rsidR="00DC685E" w:rsidRPr="00DD47DF" w:rsidRDefault="00DC685E" w:rsidP="00D51BBA">
            <w:pPr>
              <w:pStyle w:val="Tabulka"/>
              <w:rPr>
                <w:rFonts w:cs="Calibri"/>
              </w:rPr>
            </w:pPr>
            <w:r w:rsidRPr="00DD47DF">
              <w:rPr>
                <w:rFonts w:cs="Calibri"/>
              </w:rPr>
              <w:t>EFRR</w:t>
            </w:r>
          </w:p>
        </w:tc>
        <w:tc>
          <w:tcPr>
            <w:tcW w:w="591" w:type="pct"/>
            <w:vMerge w:val="restart"/>
            <w:vAlign w:val="center"/>
          </w:tcPr>
          <w:p w14:paraId="74B0250F" w14:textId="77777777" w:rsidR="00DC685E" w:rsidRPr="00DD47DF" w:rsidRDefault="00DC685E" w:rsidP="00F42269">
            <w:pPr>
              <w:pStyle w:val="Tabulka"/>
              <w:rPr>
                <w:rFonts w:cs="Calibri"/>
              </w:rPr>
            </w:pPr>
            <w:r w:rsidRPr="00DD47DF">
              <w:rPr>
                <w:rFonts w:cs="Calibri"/>
              </w:rPr>
              <w:t>Méně rozvinuté regiony</w:t>
            </w:r>
          </w:p>
        </w:tc>
        <w:tc>
          <w:tcPr>
            <w:tcW w:w="1295" w:type="pct"/>
            <w:shd w:val="clear" w:color="auto" w:fill="auto"/>
            <w:tcMar>
              <w:top w:w="0" w:type="dxa"/>
              <w:left w:w="108" w:type="dxa"/>
              <w:bottom w:w="0" w:type="dxa"/>
              <w:right w:w="108" w:type="dxa"/>
            </w:tcMar>
            <w:vAlign w:val="center"/>
          </w:tcPr>
          <w:p w14:paraId="248AA497" w14:textId="77777777" w:rsidR="00DC685E" w:rsidRPr="00DD47DF" w:rsidRDefault="003D1BB3" w:rsidP="00501DC8">
            <w:pPr>
              <w:pStyle w:val="Tabulka"/>
              <w:rPr>
                <w:rFonts w:cs="Calibri"/>
              </w:rPr>
            </w:pPr>
            <w:r w:rsidRPr="00DD47DF">
              <w:rPr>
                <w:rFonts w:cs="Calibri"/>
              </w:rPr>
              <w:t>Celkové způsobilé certifikované finanční prostředky</w:t>
            </w:r>
          </w:p>
        </w:tc>
        <w:tc>
          <w:tcPr>
            <w:tcW w:w="828" w:type="pct"/>
            <w:shd w:val="clear" w:color="auto" w:fill="auto"/>
            <w:tcMar>
              <w:top w:w="0" w:type="dxa"/>
              <w:left w:w="108" w:type="dxa"/>
              <w:bottom w:w="0" w:type="dxa"/>
              <w:right w:w="108" w:type="dxa"/>
            </w:tcMar>
            <w:vAlign w:val="center"/>
          </w:tcPr>
          <w:p w14:paraId="75D8FD4F" w14:textId="77777777" w:rsidR="00DC685E" w:rsidRPr="00DD47DF" w:rsidRDefault="00DC685E" w:rsidP="00501DC8">
            <w:pPr>
              <w:pStyle w:val="Tabulka"/>
              <w:rPr>
                <w:rFonts w:cs="Calibri"/>
              </w:rPr>
            </w:pPr>
            <w:r w:rsidRPr="00DD47DF">
              <w:rPr>
                <w:rFonts w:cs="Calibri"/>
              </w:rPr>
              <w:t>EUR</w:t>
            </w:r>
          </w:p>
        </w:tc>
        <w:tc>
          <w:tcPr>
            <w:tcW w:w="667" w:type="pct"/>
            <w:shd w:val="clear" w:color="auto" w:fill="auto"/>
            <w:tcMar>
              <w:top w:w="0" w:type="dxa"/>
              <w:left w:w="108" w:type="dxa"/>
              <w:bottom w:w="0" w:type="dxa"/>
              <w:right w:w="108" w:type="dxa"/>
            </w:tcMar>
            <w:vAlign w:val="center"/>
          </w:tcPr>
          <w:p w14:paraId="207AB257" w14:textId="77777777" w:rsidR="00DC685E" w:rsidRPr="00DD47DF" w:rsidRDefault="000E5BB7" w:rsidP="00D51BBA">
            <w:pPr>
              <w:pStyle w:val="Tabulka"/>
              <w:rPr>
                <w:rFonts w:cs="Calibri"/>
              </w:rPr>
            </w:pPr>
            <w:r w:rsidRPr="00DD47DF">
              <w:rPr>
                <w:rFonts w:cs="Calibri"/>
              </w:rPr>
              <w:t>4</w:t>
            </w:r>
            <w:r w:rsidR="00CC653D" w:rsidRPr="00DD47DF">
              <w:rPr>
                <w:rFonts w:cs="Calibri"/>
              </w:rPr>
              <w:t>95</w:t>
            </w:r>
            <w:r w:rsidR="00DC685E" w:rsidRPr="00DD47DF">
              <w:rPr>
                <w:rFonts w:cs="Calibri"/>
              </w:rPr>
              <w:t> 000 000</w:t>
            </w:r>
          </w:p>
        </w:tc>
        <w:tc>
          <w:tcPr>
            <w:tcW w:w="668" w:type="pct"/>
            <w:shd w:val="clear" w:color="auto" w:fill="auto"/>
            <w:tcMar>
              <w:top w:w="0" w:type="dxa"/>
              <w:left w:w="108" w:type="dxa"/>
              <w:bottom w:w="0" w:type="dxa"/>
              <w:right w:w="108" w:type="dxa"/>
            </w:tcMar>
            <w:vAlign w:val="center"/>
          </w:tcPr>
          <w:p w14:paraId="1E188A26" w14:textId="09D5EA25" w:rsidR="00DC685E" w:rsidRPr="00DD47DF" w:rsidRDefault="003237BA" w:rsidP="00D51BBA">
            <w:pPr>
              <w:pStyle w:val="Tabulka"/>
              <w:rPr>
                <w:rFonts w:cs="Calibri"/>
              </w:rPr>
            </w:pPr>
            <w:r w:rsidRPr="00700E39">
              <w:t>3 000 805 255</w:t>
            </w:r>
          </w:p>
        </w:tc>
      </w:tr>
      <w:tr w:rsidR="00DC685E" w:rsidRPr="00DD47DF" w14:paraId="5C56C7CA" w14:textId="77777777">
        <w:trPr>
          <w:trHeight w:val="446"/>
        </w:trPr>
        <w:tc>
          <w:tcPr>
            <w:tcW w:w="581" w:type="pct"/>
            <w:vMerge/>
            <w:shd w:val="clear" w:color="auto" w:fill="auto"/>
            <w:vAlign w:val="center"/>
          </w:tcPr>
          <w:p w14:paraId="657C9231" w14:textId="77777777" w:rsidR="00DC685E" w:rsidRPr="00DD47DF" w:rsidRDefault="00DC685E" w:rsidP="0062043C">
            <w:pPr>
              <w:pStyle w:val="Tabulka"/>
              <w:jc w:val="left"/>
              <w:rPr>
                <w:rFonts w:cs="Calibri"/>
              </w:rPr>
            </w:pPr>
          </w:p>
        </w:tc>
        <w:tc>
          <w:tcPr>
            <w:tcW w:w="371" w:type="pct"/>
            <w:vMerge/>
            <w:vAlign w:val="center"/>
          </w:tcPr>
          <w:p w14:paraId="770145E7" w14:textId="77777777" w:rsidR="00DC685E" w:rsidRPr="00DD47DF" w:rsidRDefault="00DC685E" w:rsidP="00D51BBA">
            <w:pPr>
              <w:pStyle w:val="Tabulka"/>
              <w:rPr>
                <w:rFonts w:cs="Calibri"/>
              </w:rPr>
            </w:pPr>
          </w:p>
        </w:tc>
        <w:tc>
          <w:tcPr>
            <w:tcW w:w="591" w:type="pct"/>
            <w:vMerge/>
            <w:vAlign w:val="center"/>
          </w:tcPr>
          <w:p w14:paraId="06E3A289" w14:textId="77777777" w:rsidR="00DC685E" w:rsidRPr="00DD47DF" w:rsidRDefault="00DC685E" w:rsidP="00F42269">
            <w:pPr>
              <w:pStyle w:val="Tabulka"/>
              <w:rPr>
                <w:rFonts w:cs="Calibri"/>
              </w:rPr>
            </w:pPr>
          </w:p>
        </w:tc>
        <w:tc>
          <w:tcPr>
            <w:tcW w:w="1295" w:type="pct"/>
            <w:shd w:val="clear" w:color="auto" w:fill="auto"/>
            <w:tcMar>
              <w:top w:w="0" w:type="dxa"/>
              <w:left w:w="108" w:type="dxa"/>
              <w:bottom w:w="0" w:type="dxa"/>
              <w:right w:w="108" w:type="dxa"/>
            </w:tcMar>
            <w:vAlign w:val="center"/>
          </w:tcPr>
          <w:p w14:paraId="65DF1FBC" w14:textId="77777777" w:rsidR="00DC685E" w:rsidRPr="00DD47DF" w:rsidRDefault="00DC685E" w:rsidP="00501DC8">
            <w:pPr>
              <w:pStyle w:val="Tabulka"/>
              <w:rPr>
                <w:rFonts w:cs="Calibri"/>
              </w:rPr>
            </w:pPr>
            <w:r w:rsidRPr="00DD47DF">
              <w:rPr>
                <w:rFonts w:cs="Calibri"/>
              </w:rPr>
              <w:t>Počet podniků pobírajících podporu</w:t>
            </w:r>
          </w:p>
        </w:tc>
        <w:tc>
          <w:tcPr>
            <w:tcW w:w="828" w:type="pct"/>
            <w:shd w:val="clear" w:color="auto" w:fill="auto"/>
            <w:tcMar>
              <w:top w:w="0" w:type="dxa"/>
              <w:left w:w="108" w:type="dxa"/>
              <w:bottom w:w="0" w:type="dxa"/>
              <w:right w:w="108" w:type="dxa"/>
            </w:tcMar>
            <w:vAlign w:val="center"/>
          </w:tcPr>
          <w:p w14:paraId="3BD15174" w14:textId="77777777" w:rsidR="00DC685E" w:rsidRPr="00DD47DF" w:rsidRDefault="00DC685E" w:rsidP="00501DC8">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682EA708" w14:textId="77777777" w:rsidR="00DC685E" w:rsidRPr="00DD47DF" w:rsidRDefault="00A25B29" w:rsidP="00D51BBA">
            <w:pPr>
              <w:pStyle w:val="Tabulka"/>
              <w:rPr>
                <w:rFonts w:cs="Calibri"/>
              </w:rPr>
            </w:pPr>
            <w:r w:rsidRPr="00DD47DF">
              <w:rPr>
                <w:rFonts w:cs="Calibri"/>
              </w:rPr>
              <w:t>270</w:t>
            </w:r>
          </w:p>
        </w:tc>
        <w:tc>
          <w:tcPr>
            <w:tcW w:w="668" w:type="pct"/>
            <w:shd w:val="clear" w:color="auto" w:fill="auto"/>
            <w:tcMar>
              <w:top w:w="0" w:type="dxa"/>
              <w:left w:w="108" w:type="dxa"/>
              <w:bottom w:w="0" w:type="dxa"/>
              <w:right w:w="108" w:type="dxa"/>
            </w:tcMar>
            <w:vAlign w:val="center"/>
          </w:tcPr>
          <w:p w14:paraId="60CABA37" w14:textId="13057D98" w:rsidR="00DC685E" w:rsidRPr="00DD47DF" w:rsidRDefault="00FA5E47" w:rsidP="001C3462">
            <w:pPr>
              <w:pStyle w:val="Tabulka"/>
              <w:rPr>
                <w:rFonts w:cs="Calibri"/>
              </w:rPr>
            </w:pPr>
            <w:r w:rsidRPr="00700E39">
              <w:rPr>
                <w:rFonts w:cs="Calibri"/>
              </w:rPr>
              <w:t>3 772</w:t>
            </w:r>
          </w:p>
        </w:tc>
      </w:tr>
      <w:tr w:rsidR="00DC685E" w:rsidRPr="00DD47DF" w14:paraId="28FDD0A1" w14:textId="77777777">
        <w:trPr>
          <w:trHeight w:val="485"/>
        </w:trPr>
        <w:tc>
          <w:tcPr>
            <w:tcW w:w="581" w:type="pct"/>
            <w:vMerge w:val="restart"/>
            <w:shd w:val="clear" w:color="auto" w:fill="auto"/>
            <w:vAlign w:val="center"/>
          </w:tcPr>
          <w:p w14:paraId="083B7B3C" w14:textId="77777777" w:rsidR="00DC685E" w:rsidRPr="00DD47DF" w:rsidRDefault="00DC685E" w:rsidP="0062043C">
            <w:pPr>
              <w:pStyle w:val="Tabulka"/>
              <w:jc w:val="left"/>
              <w:rPr>
                <w:rFonts w:cs="Calibri"/>
              </w:rPr>
            </w:pPr>
            <w:r w:rsidRPr="00DD47DF">
              <w:rPr>
                <w:rFonts w:cs="Calibri"/>
              </w:rPr>
              <w:t>Prioritní osa 4</w:t>
            </w:r>
          </w:p>
        </w:tc>
        <w:tc>
          <w:tcPr>
            <w:tcW w:w="371" w:type="pct"/>
            <w:vMerge w:val="restart"/>
            <w:vAlign w:val="center"/>
          </w:tcPr>
          <w:p w14:paraId="6CF36105" w14:textId="77777777" w:rsidR="00DC685E" w:rsidRPr="00DD47DF" w:rsidRDefault="00DC685E" w:rsidP="00D51BBA">
            <w:pPr>
              <w:pStyle w:val="Tabulka"/>
              <w:rPr>
                <w:rFonts w:cs="Calibri"/>
              </w:rPr>
            </w:pPr>
            <w:r w:rsidRPr="00DD47DF">
              <w:rPr>
                <w:rFonts w:cs="Calibri"/>
              </w:rPr>
              <w:t>EFRR</w:t>
            </w:r>
          </w:p>
        </w:tc>
        <w:tc>
          <w:tcPr>
            <w:tcW w:w="591" w:type="pct"/>
            <w:vMerge w:val="restart"/>
            <w:vAlign w:val="center"/>
          </w:tcPr>
          <w:p w14:paraId="4FDDEDCF" w14:textId="77777777" w:rsidR="00DC685E" w:rsidRPr="00DD47DF" w:rsidRDefault="00DC685E" w:rsidP="00F42269">
            <w:pPr>
              <w:pStyle w:val="Tabulka"/>
              <w:rPr>
                <w:rFonts w:cs="Calibri"/>
              </w:rPr>
            </w:pPr>
            <w:r w:rsidRPr="00DD47DF">
              <w:rPr>
                <w:rFonts w:cs="Calibri"/>
              </w:rPr>
              <w:t>Méně rozvinuté regiony</w:t>
            </w:r>
          </w:p>
        </w:tc>
        <w:tc>
          <w:tcPr>
            <w:tcW w:w="1295" w:type="pct"/>
            <w:shd w:val="clear" w:color="auto" w:fill="auto"/>
            <w:tcMar>
              <w:top w:w="0" w:type="dxa"/>
              <w:left w:w="108" w:type="dxa"/>
              <w:bottom w:w="0" w:type="dxa"/>
              <w:right w:w="108" w:type="dxa"/>
            </w:tcMar>
            <w:vAlign w:val="center"/>
          </w:tcPr>
          <w:p w14:paraId="0FF8F4BF" w14:textId="77777777" w:rsidR="00DC685E" w:rsidRPr="00DD47DF" w:rsidRDefault="003D1BB3" w:rsidP="00501DC8">
            <w:pPr>
              <w:pStyle w:val="Tabulka"/>
              <w:rPr>
                <w:rFonts w:cs="Calibri"/>
              </w:rPr>
            </w:pPr>
            <w:r w:rsidRPr="00DD47DF">
              <w:rPr>
                <w:rFonts w:cs="Calibri"/>
              </w:rPr>
              <w:t>Celkové způsobilé certifikované finanční prostředky</w:t>
            </w:r>
          </w:p>
        </w:tc>
        <w:tc>
          <w:tcPr>
            <w:tcW w:w="828" w:type="pct"/>
            <w:shd w:val="clear" w:color="auto" w:fill="auto"/>
            <w:tcMar>
              <w:top w:w="0" w:type="dxa"/>
              <w:left w:w="108" w:type="dxa"/>
              <w:bottom w:w="0" w:type="dxa"/>
              <w:right w:w="108" w:type="dxa"/>
            </w:tcMar>
            <w:vAlign w:val="center"/>
          </w:tcPr>
          <w:p w14:paraId="5CD1EEFE" w14:textId="77777777" w:rsidR="00DC685E" w:rsidRPr="00DD47DF" w:rsidRDefault="00DC685E" w:rsidP="00501DC8">
            <w:pPr>
              <w:pStyle w:val="Tabulka"/>
              <w:rPr>
                <w:rFonts w:cs="Calibri"/>
              </w:rPr>
            </w:pPr>
            <w:r w:rsidRPr="00DD47DF">
              <w:rPr>
                <w:rFonts w:cs="Calibri"/>
              </w:rPr>
              <w:t>EUR</w:t>
            </w:r>
          </w:p>
        </w:tc>
        <w:tc>
          <w:tcPr>
            <w:tcW w:w="667" w:type="pct"/>
            <w:shd w:val="clear" w:color="auto" w:fill="auto"/>
            <w:tcMar>
              <w:top w:w="0" w:type="dxa"/>
              <w:left w:w="108" w:type="dxa"/>
              <w:bottom w:w="0" w:type="dxa"/>
              <w:right w:w="108" w:type="dxa"/>
            </w:tcMar>
            <w:vAlign w:val="center"/>
          </w:tcPr>
          <w:p w14:paraId="7CCA7B88" w14:textId="77777777" w:rsidR="00DC685E" w:rsidRPr="00DD47DF" w:rsidRDefault="000E5BB7" w:rsidP="00D51BBA">
            <w:pPr>
              <w:pStyle w:val="Tabulka"/>
              <w:rPr>
                <w:rFonts w:cs="Calibri"/>
              </w:rPr>
            </w:pPr>
            <w:r w:rsidRPr="00DD47DF">
              <w:rPr>
                <w:rFonts w:cs="Calibri"/>
              </w:rPr>
              <w:t>3</w:t>
            </w:r>
            <w:r w:rsidR="00CC653D" w:rsidRPr="00DD47DF">
              <w:rPr>
                <w:rFonts w:cs="Calibri"/>
              </w:rPr>
              <w:t>1</w:t>
            </w:r>
            <w:r w:rsidRPr="00DD47DF">
              <w:rPr>
                <w:rFonts w:cs="Calibri"/>
              </w:rPr>
              <w:t>0</w:t>
            </w:r>
            <w:r w:rsidR="00DC685E" w:rsidRPr="00DD47DF">
              <w:rPr>
                <w:rFonts w:cs="Calibri"/>
              </w:rPr>
              <w:t> 000 000</w:t>
            </w:r>
          </w:p>
        </w:tc>
        <w:tc>
          <w:tcPr>
            <w:tcW w:w="668" w:type="pct"/>
            <w:shd w:val="clear" w:color="auto" w:fill="auto"/>
            <w:tcMar>
              <w:top w:w="0" w:type="dxa"/>
              <w:left w:w="108" w:type="dxa"/>
              <w:bottom w:w="0" w:type="dxa"/>
              <w:right w:w="108" w:type="dxa"/>
            </w:tcMar>
            <w:vAlign w:val="center"/>
          </w:tcPr>
          <w:p w14:paraId="7EF21ADF" w14:textId="54AFF84D" w:rsidR="00DC685E" w:rsidRPr="00DD47DF" w:rsidRDefault="003237BA" w:rsidP="00D51BBA">
            <w:pPr>
              <w:pStyle w:val="Tabulka"/>
              <w:rPr>
                <w:rFonts w:cs="Calibri"/>
              </w:rPr>
            </w:pPr>
            <w:r w:rsidRPr="00700E39">
              <w:t>1 141 012 312</w:t>
            </w:r>
          </w:p>
        </w:tc>
      </w:tr>
      <w:tr w:rsidR="00DC685E" w:rsidRPr="00DD47DF" w14:paraId="47912AE7" w14:textId="77777777">
        <w:trPr>
          <w:trHeight w:val="446"/>
        </w:trPr>
        <w:tc>
          <w:tcPr>
            <w:tcW w:w="581" w:type="pct"/>
            <w:vMerge/>
            <w:shd w:val="clear" w:color="auto" w:fill="auto"/>
            <w:vAlign w:val="center"/>
          </w:tcPr>
          <w:p w14:paraId="2C396E75" w14:textId="77777777" w:rsidR="00DC685E" w:rsidRPr="00DD47DF" w:rsidRDefault="00DC685E" w:rsidP="0062043C">
            <w:pPr>
              <w:pStyle w:val="Tabulka"/>
              <w:jc w:val="left"/>
              <w:rPr>
                <w:rFonts w:cs="Calibri"/>
              </w:rPr>
            </w:pPr>
          </w:p>
        </w:tc>
        <w:tc>
          <w:tcPr>
            <w:tcW w:w="371" w:type="pct"/>
            <w:vMerge/>
            <w:vAlign w:val="center"/>
          </w:tcPr>
          <w:p w14:paraId="324F3A4C" w14:textId="77777777" w:rsidR="00DC685E" w:rsidRPr="00DD47DF" w:rsidRDefault="00DC685E" w:rsidP="00D51BBA">
            <w:pPr>
              <w:pStyle w:val="Tabulka"/>
              <w:rPr>
                <w:rFonts w:cs="Calibri"/>
              </w:rPr>
            </w:pPr>
          </w:p>
        </w:tc>
        <w:tc>
          <w:tcPr>
            <w:tcW w:w="591" w:type="pct"/>
            <w:vMerge/>
          </w:tcPr>
          <w:p w14:paraId="247C4D81" w14:textId="77777777" w:rsidR="00DC685E" w:rsidRPr="00DD47DF" w:rsidRDefault="00DC685E" w:rsidP="0062043C">
            <w:pPr>
              <w:pStyle w:val="Tabulka"/>
              <w:rPr>
                <w:rFonts w:cs="Calibri"/>
              </w:rPr>
            </w:pPr>
          </w:p>
        </w:tc>
        <w:tc>
          <w:tcPr>
            <w:tcW w:w="1295" w:type="pct"/>
            <w:shd w:val="clear" w:color="auto" w:fill="auto"/>
            <w:tcMar>
              <w:top w:w="0" w:type="dxa"/>
              <w:left w:w="108" w:type="dxa"/>
              <w:bottom w:w="0" w:type="dxa"/>
              <w:right w:w="108" w:type="dxa"/>
            </w:tcMar>
            <w:vAlign w:val="center"/>
          </w:tcPr>
          <w:p w14:paraId="4FB603D0" w14:textId="77777777" w:rsidR="00DC685E" w:rsidRPr="00DD47DF" w:rsidRDefault="00DC685E" w:rsidP="00501DC8">
            <w:pPr>
              <w:pStyle w:val="Tabulka"/>
              <w:rPr>
                <w:rFonts w:cs="Calibri"/>
              </w:rPr>
            </w:pPr>
            <w:r w:rsidRPr="00DD47DF">
              <w:rPr>
                <w:rFonts w:cs="Calibri"/>
              </w:rPr>
              <w:t>Počet podniků pobírajících podporu</w:t>
            </w:r>
          </w:p>
        </w:tc>
        <w:tc>
          <w:tcPr>
            <w:tcW w:w="828" w:type="pct"/>
            <w:shd w:val="clear" w:color="auto" w:fill="auto"/>
            <w:tcMar>
              <w:top w:w="0" w:type="dxa"/>
              <w:left w:w="108" w:type="dxa"/>
              <w:bottom w:w="0" w:type="dxa"/>
              <w:right w:w="108" w:type="dxa"/>
            </w:tcMar>
            <w:vAlign w:val="center"/>
          </w:tcPr>
          <w:p w14:paraId="14BD1403" w14:textId="77777777" w:rsidR="00DC685E" w:rsidRPr="00DD47DF" w:rsidRDefault="00DC685E" w:rsidP="00501DC8">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34B57B93" w14:textId="77777777" w:rsidR="00DC685E" w:rsidRPr="00DD47DF" w:rsidRDefault="00A25B29" w:rsidP="00D51BBA">
            <w:pPr>
              <w:pStyle w:val="Tabulka"/>
              <w:rPr>
                <w:rFonts w:cs="Calibri"/>
              </w:rPr>
            </w:pPr>
            <w:r w:rsidRPr="00DD47DF">
              <w:rPr>
                <w:rFonts w:cs="Calibri"/>
              </w:rPr>
              <w:t>20</w:t>
            </w:r>
            <w:r w:rsidR="00DC685E" w:rsidRPr="00DD47DF">
              <w:rPr>
                <w:rFonts w:cs="Calibri"/>
              </w:rPr>
              <w:t>0</w:t>
            </w:r>
          </w:p>
        </w:tc>
        <w:tc>
          <w:tcPr>
            <w:tcW w:w="668" w:type="pct"/>
            <w:shd w:val="clear" w:color="auto" w:fill="auto"/>
            <w:tcMar>
              <w:top w:w="0" w:type="dxa"/>
              <w:left w:w="108" w:type="dxa"/>
              <w:bottom w:w="0" w:type="dxa"/>
              <w:right w:w="108" w:type="dxa"/>
            </w:tcMar>
            <w:vAlign w:val="center"/>
          </w:tcPr>
          <w:p w14:paraId="315290FE" w14:textId="77777777" w:rsidR="00DC685E" w:rsidRPr="00DD47DF" w:rsidRDefault="00A25B29" w:rsidP="00DF1013">
            <w:pPr>
              <w:pStyle w:val="Tabulka"/>
              <w:rPr>
                <w:rFonts w:cs="Calibri"/>
              </w:rPr>
            </w:pPr>
            <w:r w:rsidRPr="00DD47DF">
              <w:rPr>
                <w:rFonts w:cs="Calibri"/>
              </w:rPr>
              <w:t>595</w:t>
            </w:r>
          </w:p>
        </w:tc>
      </w:tr>
    </w:tbl>
    <w:p w14:paraId="2727B676" w14:textId="77777777" w:rsidR="00400DD1" w:rsidRPr="00DD47DF" w:rsidRDefault="00E134D0" w:rsidP="004126CC">
      <w:pPr>
        <w:pStyle w:val="Nadpis2"/>
        <w:keepLines/>
        <w:rPr>
          <w:rFonts w:cs="Calibri"/>
        </w:rPr>
      </w:pPr>
      <w:bookmarkStart w:id="151" w:name="_Toc506885084"/>
      <w:bookmarkStart w:id="152" w:name="_Toc351464450"/>
      <w:r w:rsidRPr="00DD47DF">
        <w:rPr>
          <w:rFonts w:cs="Calibri"/>
        </w:rPr>
        <w:lastRenderedPageBreak/>
        <w:t>Seznam příslušných partnerů zapojených do přípravy operačního programu</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063"/>
      </w:tblGrid>
      <w:tr w:rsidR="00400DD1" w:rsidRPr="00DD47DF" w14:paraId="55CD6D01" w14:textId="77777777">
        <w:trPr>
          <w:trHeight w:val="413"/>
        </w:trPr>
        <w:tc>
          <w:tcPr>
            <w:tcW w:w="5000" w:type="pct"/>
            <w:gridSpan w:val="2"/>
            <w:shd w:val="clear" w:color="auto" w:fill="B8CCE4"/>
            <w:vAlign w:val="center"/>
          </w:tcPr>
          <w:p w14:paraId="398F9ED7" w14:textId="77777777" w:rsidR="00400DD1" w:rsidRPr="00DD47DF" w:rsidRDefault="00400DD1" w:rsidP="004126CC">
            <w:pPr>
              <w:pStyle w:val="Tabulka"/>
              <w:keepNext/>
              <w:keepLines/>
              <w:rPr>
                <w:rFonts w:cs="Calibri"/>
                <w:b/>
                <w:color w:val="4F81BD"/>
              </w:rPr>
            </w:pPr>
            <w:r w:rsidRPr="00DD47DF">
              <w:rPr>
                <w:rFonts w:cs="Calibri"/>
                <w:b/>
              </w:rPr>
              <w:t>Platforma MPO pro přípravu OP Podnikání a inovace pro konkurenceschopnost</w:t>
            </w:r>
          </w:p>
        </w:tc>
      </w:tr>
      <w:tr w:rsidR="00400DD1" w:rsidRPr="00DD47DF" w14:paraId="5BD5E5B9" w14:textId="77777777">
        <w:trPr>
          <w:trHeight w:val="397"/>
        </w:trPr>
        <w:tc>
          <w:tcPr>
            <w:tcW w:w="2395" w:type="pct"/>
            <w:shd w:val="clear" w:color="auto" w:fill="auto"/>
            <w:vAlign w:val="center"/>
          </w:tcPr>
          <w:p w14:paraId="44DBA378" w14:textId="77777777" w:rsidR="00400DD1" w:rsidRPr="00DD47DF" w:rsidRDefault="00400DD1" w:rsidP="004126CC">
            <w:pPr>
              <w:pStyle w:val="Tabulka"/>
              <w:keepNext/>
              <w:keepLines/>
              <w:jc w:val="left"/>
              <w:rPr>
                <w:rFonts w:cs="Calibri"/>
              </w:rPr>
            </w:pPr>
            <w:r w:rsidRPr="00DD47DF">
              <w:rPr>
                <w:rFonts w:cs="Calibri"/>
              </w:rPr>
              <w:t>M</w:t>
            </w:r>
            <w:r w:rsidR="000E47D9" w:rsidRPr="00DD47DF">
              <w:rPr>
                <w:rFonts w:cs="Calibri"/>
              </w:rPr>
              <w:t>inisterstvo pro místní rozvo</w:t>
            </w:r>
            <w:r w:rsidR="00D51BBA" w:rsidRPr="00DD47DF">
              <w:rPr>
                <w:rFonts w:cs="Calibri"/>
              </w:rPr>
              <w:t>j</w:t>
            </w:r>
          </w:p>
        </w:tc>
        <w:tc>
          <w:tcPr>
            <w:tcW w:w="2605" w:type="pct"/>
            <w:shd w:val="clear" w:color="auto" w:fill="auto"/>
            <w:vAlign w:val="center"/>
          </w:tcPr>
          <w:p w14:paraId="391AFFD8" w14:textId="77777777" w:rsidR="00400DD1" w:rsidRPr="00DD47DF" w:rsidRDefault="00580034" w:rsidP="004126CC">
            <w:pPr>
              <w:pStyle w:val="Tabulka"/>
              <w:keepNext/>
              <w:keepLines/>
              <w:jc w:val="left"/>
              <w:rPr>
                <w:rFonts w:cs="Calibri"/>
              </w:rPr>
            </w:pPr>
            <w:hyperlink r:id="rId171" w:history="1">
              <w:r w:rsidR="00400DD1" w:rsidRPr="00DD47DF">
                <w:rPr>
                  <w:rStyle w:val="Hypertextovodkaz"/>
                  <w:rFonts w:cs="Calibri"/>
                  <w:bCs/>
                </w:rPr>
                <w:t>http://www.mmr.cz/cs/Uvodni-strana</w:t>
              </w:r>
            </w:hyperlink>
          </w:p>
        </w:tc>
      </w:tr>
      <w:tr w:rsidR="00400DD1" w:rsidRPr="00DD47DF" w14:paraId="753CC853" w14:textId="77777777">
        <w:trPr>
          <w:trHeight w:val="413"/>
        </w:trPr>
        <w:tc>
          <w:tcPr>
            <w:tcW w:w="2395" w:type="pct"/>
            <w:shd w:val="clear" w:color="auto" w:fill="auto"/>
            <w:vAlign w:val="center"/>
          </w:tcPr>
          <w:p w14:paraId="37DAC565" w14:textId="77777777" w:rsidR="00400DD1" w:rsidRPr="00DD47DF" w:rsidRDefault="000E47D9" w:rsidP="00F23CDB">
            <w:pPr>
              <w:pStyle w:val="Tabulka"/>
              <w:jc w:val="left"/>
              <w:rPr>
                <w:rFonts w:cs="Calibri"/>
              </w:rPr>
            </w:pPr>
            <w:r w:rsidRPr="00DD47DF">
              <w:rPr>
                <w:rFonts w:cs="Calibri"/>
              </w:rPr>
              <w:t>Ministerstvo financí</w:t>
            </w:r>
          </w:p>
        </w:tc>
        <w:tc>
          <w:tcPr>
            <w:tcW w:w="2605" w:type="pct"/>
            <w:shd w:val="clear" w:color="auto" w:fill="auto"/>
            <w:vAlign w:val="center"/>
          </w:tcPr>
          <w:p w14:paraId="5ED38FB4" w14:textId="77777777" w:rsidR="00400DD1" w:rsidRPr="00DD47DF" w:rsidRDefault="00580034" w:rsidP="00F23CDB">
            <w:pPr>
              <w:pStyle w:val="Tabulka"/>
              <w:jc w:val="left"/>
              <w:rPr>
                <w:rFonts w:cs="Calibri"/>
              </w:rPr>
            </w:pPr>
            <w:hyperlink r:id="rId172" w:history="1">
              <w:r w:rsidR="00400DD1" w:rsidRPr="00DD47DF">
                <w:rPr>
                  <w:rStyle w:val="Hypertextovodkaz"/>
                  <w:rFonts w:cs="Calibri"/>
                  <w:bCs/>
                </w:rPr>
                <w:t>http://www.mfcr.cz/cps/rde/xchg/</w:t>
              </w:r>
            </w:hyperlink>
            <w:r w:rsidR="00400DD1" w:rsidRPr="00DD47DF">
              <w:rPr>
                <w:rFonts w:cs="Calibri"/>
              </w:rPr>
              <w:t xml:space="preserve"> </w:t>
            </w:r>
          </w:p>
        </w:tc>
      </w:tr>
      <w:tr w:rsidR="00400DD1" w:rsidRPr="00DD47DF" w14:paraId="1E3AB82C" w14:textId="77777777">
        <w:trPr>
          <w:trHeight w:val="413"/>
        </w:trPr>
        <w:tc>
          <w:tcPr>
            <w:tcW w:w="2395" w:type="pct"/>
            <w:shd w:val="clear" w:color="auto" w:fill="auto"/>
            <w:vAlign w:val="center"/>
          </w:tcPr>
          <w:p w14:paraId="37DE137C" w14:textId="77777777" w:rsidR="00400DD1" w:rsidRPr="00DD47DF" w:rsidRDefault="00400DD1" w:rsidP="00F23CDB">
            <w:pPr>
              <w:pStyle w:val="Tabulka"/>
              <w:jc w:val="left"/>
              <w:rPr>
                <w:rFonts w:cs="Calibri"/>
              </w:rPr>
            </w:pPr>
            <w:r w:rsidRPr="00DD47DF">
              <w:rPr>
                <w:rFonts w:cs="Calibri"/>
              </w:rPr>
              <w:t>Ministerstvo životního p</w:t>
            </w:r>
            <w:r w:rsidR="000E47D9" w:rsidRPr="00DD47DF">
              <w:rPr>
                <w:rFonts w:cs="Calibri"/>
              </w:rPr>
              <w:t>rostředí</w:t>
            </w:r>
          </w:p>
        </w:tc>
        <w:tc>
          <w:tcPr>
            <w:tcW w:w="2605" w:type="pct"/>
            <w:shd w:val="clear" w:color="auto" w:fill="auto"/>
            <w:vAlign w:val="center"/>
          </w:tcPr>
          <w:p w14:paraId="5D9E5549" w14:textId="77777777" w:rsidR="00400DD1" w:rsidRPr="00DD47DF" w:rsidRDefault="00580034" w:rsidP="00F23CDB">
            <w:pPr>
              <w:pStyle w:val="Tabulka"/>
              <w:jc w:val="left"/>
              <w:rPr>
                <w:rFonts w:cs="Calibri"/>
              </w:rPr>
            </w:pPr>
            <w:hyperlink r:id="rId173" w:history="1">
              <w:r w:rsidR="00400DD1" w:rsidRPr="00DD47DF">
                <w:rPr>
                  <w:rStyle w:val="Hypertextovodkaz"/>
                  <w:rFonts w:cs="Calibri"/>
                  <w:bCs/>
                </w:rPr>
                <w:t>http://mzp.cz/</w:t>
              </w:r>
            </w:hyperlink>
            <w:r w:rsidR="00400DD1" w:rsidRPr="00DD47DF">
              <w:rPr>
                <w:rFonts w:cs="Calibri"/>
              </w:rPr>
              <w:t xml:space="preserve"> </w:t>
            </w:r>
          </w:p>
        </w:tc>
      </w:tr>
      <w:tr w:rsidR="00400DD1" w:rsidRPr="00DD47DF" w14:paraId="04000713" w14:textId="77777777">
        <w:trPr>
          <w:trHeight w:val="413"/>
        </w:trPr>
        <w:tc>
          <w:tcPr>
            <w:tcW w:w="2395" w:type="pct"/>
            <w:shd w:val="clear" w:color="auto" w:fill="auto"/>
            <w:vAlign w:val="center"/>
          </w:tcPr>
          <w:p w14:paraId="4DB843FA" w14:textId="77777777" w:rsidR="00400DD1" w:rsidRPr="00DD47DF" w:rsidRDefault="00400DD1" w:rsidP="00F23CDB">
            <w:pPr>
              <w:pStyle w:val="Tabulka"/>
              <w:jc w:val="left"/>
              <w:rPr>
                <w:rFonts w:cs="Calibri"/>
              </w:rPr>
            </w:pPr>
            <w:r w:rsidRPr="00DD47DF">
              <w:rPr>
                <w:rFonts w:cs="Calibri"/>
              </w:rPr>
              <w:t>Ministe</w:t>
            </w:r>
            <w:r w:rsidR="000E47D9" w:rsidRPr="00DD47DF">
              <w:rPr>
                <w:rFonts w:cs="Calibri"/>
              </w:rPr>
              <w:t>rstvo práce a sociálních věcí</w:t>
            </w:r>
          </w:p>
        </w:tc>
        <w:tc>
          <w:tcPr>
            <w:tcW w:w="2605" w:type="pct"/>
            <w:shd w:val="clear" w:color="auto" w:fill="auto"/>
            <w:vAlign w:val="center"/>
          </w:tcPr>
          <w:p w14:paraId="3114BF6A" w14:textId="77777777" w:rsidR="00400DD1" w:rsidRPr="00DD47DF" w:rsidRDefault="00580034" w:rsidP="00F23CDB">
            <w:pPr>
              <w:pStyle w:val="Tabulka"/>
              <w:jc w:val="left"/>
              <w:rPr>
                <w:rFonts w:cs="Calibri"/>
              </w:rPr>
            </w:pPr>
            <w:hyperlink r:id="rId174" w:history="1">
              <w:r w:rsidR="00400DD1" w:rsidRPr="00DD47DF">
                <w:rPr>
                  <w:rStyle w:val="Hypertextovodkaz"/>
                  <w:rFonts w:cs="Calibri"/>
                  <w:bCs/>
                </w:rPr>
                <w:t>http://www.mpsv.cz/cs/</w:t>
              </w:r>
            </w:hyperlink>
            <w:r w:rsidR="00400DD1" w:rsidRPr="00DD47DF">
              <w:rPr>
                <w:rFonts w:cs="Calibri"/>
              </w:rPr>
              <w:t xml:space="preserve"> </w:t>
            </w:r>
          </w:p>
        </w:tc>
      </w:tr>
      <w:tr w:rsidR="00400DD1" w:rsidRPr="00DD47DF" w14:paraId="5870DEA4" w14:textId="77777777">
        <w:trPr>
          <w:trHeight w:val="699"/>
        </w:trPr>
        <w:tc>
          <w:tcPr>
            <w:tcW w:w="2395" w:type="pct"/>
            <w:shd w:val="clear" w:color="auto" w:fill="auto"/>
            <w:vAlign w:val="center"/>
          </w:tcPr>
          <w:p w14:paraId="101C14E9" w14:textId="77777777" w:rsidR="00400DD1" w:rsidRPr="00DD47DF" w:rsidRDefault="00400DD1" w:rsidP="00F23CDB">
            <w:pPr>
              <w:pStyle w:val="Tabulka"/>
              <w:jc w:val="left"/>
              <w:rPr>
                <w:rFonts w:cs="Calibri"/>
              </w:rPr>
            </w:pPr>
            <w:r w:rsidRPr="00DD47DF">
              <w:rPr>
                <w:rFonts w:cs="Calibri"/>
              </w:rPr>
              <w:t>Ministerstvo šk</w:t>
            </w:r>
            <w:r w:rsidR="000E47D9" w:rsidRPr="00DD47DF">
              <w:rPr>
                <w:rFonts w:cs="Calibri"/>
              </w:rPr>
              <w:t>olství, mládeže a tělovýchovy</w:t>
            </w:r>
          </w:p>
        </w:tc>
        <w:tc>
          <w:tcPr>
            <w:tcW w:w="2605" w:type="pct"/>
            <w:shd w:val="clear" w:color="auto" w:fill="auto"/>
            <w:vAlign w:val="center"/>
          </w:tcPr>
          <w:p w14:paraId="205ADA2E" w14:textId="77777777" w:rsidR="00400DD1" w:rsidRPr="00DD47DF" w:rsidRDefault="00580034" w:rsidP="00F23CDB">
            <w:pPr>
              <w:pStyle w:val="Tabulka"/>
              <w:jc w:val="left"/>
              <w:rPr>
                <w:rFonts w:cs="Calibri"/>
              </w:rPr>
            </w:pPr>
            <w:hyperlink r:id="rId175" w:history="1">
              <w:r w:rsidR="00400DD1" w:rsidRPr="00DD47DF">
                <w:rPr>
                  <w:rStyle w:val="Hypertextovodkaz"/>
                  <w:rFonts w:cs="Calibri"/>
                  <w:bCs/>
                </w:rPr>
                <w:t>http://www.msmt.cz/</w:t>
              </w:r>
            </w:hyperlink>
            <w:r w:rsidR="00400DD1" w:rsidRPr="00DD47DF">
              <w:rPr>
                <w:rFonts w:cs="Calibri"/>
              </w:rPr>
              <w:t xml:space="preserve"> </w:t>
            </w:r>
          </w:p>
        </w:tc>
      </w:tr>
      <w:tr w:rsidR="00400DD1" w:rsidRPr="00DD47DF" w14:paraId="1848360C" w14:textId="77777777">
        <w:trPr>
          <w:trHeight w:val="699"/>
        </w:trPr>
        <w:tc>
          <w:tcPr>
            <w:tcW w:w="2395" w:type="pct"/>
            <w:shd w:val="clear" w:color="auto" w:fill="auto"/>
            <w:vAlign w:val="center"/>
          </w:tcPr>
          <w:p w14:paraId="7D1A21CD" w14:textId="77777777" w:rsidR="00400DD1" w:rsidRPr="00DD47DF" w:rsidRDefault="000E47D9" w:rsidP="00F23CDB">
            <w:pPr>
              <w:pStyle w:val="Tabulka"/>
              <w:jc w:val="left"/>
              <w:rPr>
                <w:rFonts w:cs="Calibri"/>
              </w:rPr>
            </w:pPr>
            <w:r w:rsidRPr="00DD47DF">
              <w:rPr>
                <w:rFonts w:cs="Calibri"/>
              </w:rPr>
              <w:t>Ministerstvo zemědělství</w:t>
            </w:r>
          </w:p>
        </w:tc>
        <w:tc>
          <w:tcPr>
            <w:tcW w:w="2605" w:type="pct"/>
            <w:shd w:val="clear" w:color="auto" w:fill="auto"/>
            <w:vAlign w:val="center"/>
          </w:tcPr>
          <w:p w14:paraId="6E8FA8B6" w14:textId="77777777" w:rsidR="00400DD1" w:rsidRPr="00DD47DF" w:rsidRDefault="00580034" w:rsidP="00F23CDB">
            <w:pPr>
              <w:pStyle w:val="Tabulka"/>
              <w:jc w:val="left"/>
              <w:rPr>
                <w:rFonts w:cs="Calibri"/>
              </w:rPr>
            </w:pPr>
            <w:hyperlink r:id="rId176" w:history="1">
              <w:r w:rsidR="00400DD1" w:rsidRPr="00DD47DF">
                <w:rPr>
                  <w:rStyle w:val="Hypertextovodkaz"/>
                  <w:rFonts w:cs="Calibri"/>
                  <w:bCs/>
                </w:rPr>
                <w:t>http://eagri.cz/public/web/mze/ministerstvo-zemedelstvi/</w:t>
              </w:r>
            </w:hyperlink>
            <w:r w:rsidR="00400DD1" w:rsidRPr="00DD47DF">
              <w:rPr>
                <w:rFonts w:cs="Calibri"/>
              </w:rPr>
              <w:t xml:space="preserve"> </w:t>
            </w:r>
          </w:p>
        </w:tc>
      </w:tr>
      <w:tr w:rsidR="00400DD1" w:rsidRPr="00DD47DF" w14:paraId="740DBB65" w14:textId="77777777">
        <w:trPr>
          <w:trHeight w:val="413"/>
        </w:trPr>
        <w:tc>
          <w:tcPr>
            <w:tcW w:w="2395" w:type="pct"/>
            <w:shd w:val="clear" w:color="auto" w:fill="auto"/>
            <w:vAlign w:val="center"/>
          </w:tcPr>
          <w:p w14:paraId="254E1B70" w14:textId="77777777" w:rsidR="00400DD1" w:rsidRPr="00DD47DF" w:rsidRDefault="000E47D9" w:rsidP="00F23CDB">
            <w:pPr>
              <w:pStyle w:val="Tabulka"/>
              <w:jc w:val="left"/>
              <w:rPr>
                <w:rFonts w:cs="Calibri"/>
              </w:rPr>
            </w:pPr>
            <w:r w:rsidRPr="00DD47DF">
              <w:rPr>
                <w:rFonts w:cs="Calibri"/>
              </w:rPr>
              <w:t>Ministerstvo dopravy</w:t>
            </w:r>
          </w:p>
        </w:tc>
        <w:tc>
          <w:tcPr>
            <w:tcW w:w="2605" w:type="pct"/>
            <w:shd w:val="clear" w:color="auto" w:fill="auto"/>
            <w:vAlign w:val="center"/>
          </w:tcPr>
          <w:p w14:paraId="407F708E" w14:textId="77777777" w:rsidR="00400DD1" w:rsidRPr="00DD47DF" w:rsidRDefault="00580034" w:rsidP="00F23CDB">
            <w:pPr>
              <w:pStyle w:val="Tabulka"/>
              <w:jc w:val="left"/>
              <w:rPr>
                <w:rFonts w:cs="Calibri"/>
              </w:rPr>
            </w:pPr>
            <w:hyperlink r:id="rId177" w:history="1">
              <w:r w:rsidR="00400DD1" w:rsidRPr="00DD47DF">
                <w:rPr>
                  <w:rStyle w:val="Hypertextovodkaz"/>
                  <w:rFonts w:cs="Calibri"/>
                  <w:bCs/>
                </w:rPr>
                <w:t>http://www.mdcr.cz/cs/default.htm</w:t>
              </w:r>
            </w:hyperlink>
            <w:r w:rsidR="00400DD1" w:rsidRPr="00DD47DF">
              <w:rPr>
                <w:rFonts w:cs="Calibri"/>
              </w:rPr>
              <w:t xml:space="preserve"> </w:t>
            </w:r>
          </w:p>
        </w:tc>
      </w:tr>
      <w:tr w:rsidR="00400DD1" w:rsidRPr="00DD47DF" w14:paraId="55425F1D" w14:textId="77777777">
        <w:trPr>
          <w:trHeight w:val="397"/>
        </w:trPr>
        <w:tc>
          <w:tcPr>
            <w:tcW w:w="2395" w:type="pct"/>
            <w:shd w:val="clear" w:color="auto" w:fill="auto"/>
            <w:vAlign w:val="center"/>
          </w:tcPr>
          <w:p w14:paraId="4DDAFA4A" w14:textId="77777777" w:rsidR="00400DD1" w:rsidRPr="00DD47DF" w:rsidRDefault="00400DD1" w:rsidP="00F23CDB">
            <w:pPr>
              <w:pStyle w:val="Tabulka"/>
              <w:jc w:val="left"/>
              <w:rPr>
                <w:rFonts w:cs="Calibri"/>
              </w:rPr>
            </w:pPr>
            <w:r w:rsidRPr="00DD47DF">
              <w:rPr>
                <w:rFonts w:cs="Calibri"/>
              </w:rPr>
              <w:t xml:space="preserve">Agentura CzechInvest </w:t>
            </w:r>
          </w:p>
        </w:tc>
        <w:tc>
          <w:tcPr>
            <w:tcW w:w="2605" w:type="pct"/>
            <w:shd w:val="clear" w:color="auto" w:fill="auto"/>
            <w:vAlign w:val="center"/>
          </w:tcPr>
          <w:p w14:paraId="64C0D899" w14:textId="77777777" w:rsidR="00400DD1" w:rsidRPr="00DD47DF" w:rsidRDefault="00580034" w:rsidP="00F23CDB">
            <w:pPr>
              <w:pStyle w:val="Tabulka"/>
              <w:jc w:val="left"/>
              <w:rPr>
                <w:rFonts w:cs="Calibri"/>
              </w:rPr>
            </w:pPr>
            <w:hyperlink r:id="rId178" w:history="1">
              <w:r w:rsidR="00400DD1" w:rsidRPr="00DD47DF">
                <w:rPr>
                  <w:rStyle w:val="Hypertextovodkaz"/>
                  <w:rFonts w:cs="Calibri"/>
                  <w:bCs/>
                </w:rPr>
                <w:t>http://czechinvest.org/</w:t>
              </w:r>
            </w:hyperlink>
            <w:r w:rsidR="00400DD1" w:rsidRPr="00DD47DF">
              <w:rPr>
                <w:rFonts w:cs="Calibri"/>
              </w:rPr>
              <w:t xml:space="preserve"> </w:t>
            </w:r>
          </w:p>
        </w:tc>
      </w:tr>
      <w:tr w:rsidR="00400DD1" w:rsidRPr="00DD47DF" w14:paraId="0B215E7C" w14:textId="77777777">
        <w:trPr>
          <w:trHeight w:val="413"/>
        </w:trPr>
        <w:tc>
          <w:tcPr>
            <w:tcW w:w="2395" w:type="pct"/>
            <w:shd w:val="clear" w:color="auto" w:fill="auto"/>
            <w:vAlign w:val="center"/>
          </w:tcPr>
          <w:p w14:paraId="6E47CD33" w14:textId="77777777" w:rsidR="00400DD1" w:rsidRPr="00DD47DF" w:rsidRDefault="000E47D9" w:rsidP="00F23CDB">
            <w:pPr>
              <w:pStyle w:val="Tabulka"/>
              <w:jc w:val="left"/>
              <w:rPr>
                <w:rFonts w:cs="Calibri"/>
              </w:rPr>
            </w:pPr>
            <w:r w:rsidRPr="00DD47DF">
              <w:rPr>
                <w:rFonts w:cs="Calibri"/>
              </w:rPr>
              <w:t>Hospodářská komora ČR</w:t>
            </w:r>
          </w:p>
        </w:tc>
        <w:tc>
          <w:tcPr>
            <w:tcW w:w="2605" w:type="pct"/>
            <w:shd w:val="clear" w:color="auto" w:fill="auto"/>
            <w:vAlign w:val="center"/>
          </w:tcPr>
          <w:p w14:paraId="53980C6C" w14:textId="77777777" w:rsidR="00400DD1" w:rsidRPr="00DD47DF" w:rsidRDefault="00580034" w:rsidP="00F23CDB">
            <w:pPr>
              <w:pStyle w:val="Tabulka"/>
              <w:jc w:val="left"/>
              <w:rPr>
                <w:rFonts w:cs="Calibri"/>
              </w:rPr>
            </w:pPr>
            <w:hyperlink r:id="rId179" w:history="1">
              <w:r w:rsidR="00400DD1" w:rsidRPr="00DD47DF">
                <w:rPr>
                  <w:rStyle w:val="Hypertextovodkaz"/>
                  <w:rFonts w:cs="Calibri"/>
                  <w:bCs/>
                </w:rPr>
                <w:t>http://www.komora.cz/</w:t>
              </w:r>
            </w:hyperlink>
            <w:r w:rsidR="00400DD1" w:rsidRPr="00DD47DF">
              <w:rPr>
                <w:rFonts w:cs="Calibri"/>
              </w:rPr>
              <w:t xml:space="preserve"> </w:t>
            </w:r>
          </w:p>
        </w:tc>
      </w:tr>
      <w:tr w:rsidR="00400DD1" w:rsidRPr="00DD47DF" w14:paraId="35387B21" w14:textId="77777777">
        <w:trPr>
          <w:trHeight w:val="413"/>
        </w:trPr>
        <w:tc>
          <w:tcPr>
            <w:tcW w:w="2395" w:type="pct"/>
            <w:shd w:val="clear" w:color="auto" w:fill="auto"/>
            <w:vAlign w:val="center"/>
          </w:tcPr>
          <w:p w14:paraId="1A3266F5" w14:textId="77777777" w:rsidR="00400DD1" w:rsidRPr="00DD47DF" w:rsidRDefault="00400DD1" w:rsidP="00F23CDB">
            <w:pPr>
              <w:pStyle w:val="Tabulka"/>
              <w:jc w:val="left"/>
              <w:rPr>
                <w:rFonts w:cs="Calibri"/>
              </w:rPr>
            </w:pPr>
            <w:r w:rsidRPr="00DD47DF">
              <w:rPr>
                <w:rFonts w:cs="Calibri"/>
              </w:rPr>
              <w:t>Potravinářská komora ČR</w:t>
            </w:r>
          </w:p>
        </w:tc>
        <w:tc>
          <w:tcPr>
            <w:tcW w:w="2605" w:type="pct"/>
            <w:shd w:val="clear" w:color="auto" w:fill="auto"/>
            <w:vAlign w:val="center"/>
          </w:tcPr>
          <w:p w14:paraId="1AA4896B" w14:textId="77777777" w:rsidR="00400DD1" w:rsidRPr="00DD47DF" w:rsidRDefault="00580034" w:rsidP="00F23CDB">
            <w:pPr>
              <w:pStyle w:val="Tabulka"/>
              <w:jc w:val="left"/>
              <w:rPr>
                <w:rFonts w:cs="Calibri"/>
              </w:rPr>
            </w:pPr>
            <w:hyperlink r:id="rId180" w:history="1">
              <w:r w:rsidR="00400DD1" w:rsidRPr="00DD47DF">
                <w:rPr>
                  <w:rStyle w:val="Hypertextovodkaz"/>
                  <w:rFonts w:cs="Calibri"/>
                  <w:bCs/>
                </w:rPr>
                <w:t>http://www.pkcr.cz/</w:t>
              </w:r>
            </w:hyperlink>
            <w:r w:rsidR="00400DD1" w:rsidRPr="00DD47DF">
              <w:rPr>
                <w:rFonts w:cs="Calibri"/>
              </w:rPr>
              <w:t xml:space="preserve"> </w:t>
            </w:r>
          </w:p>
        </w:tc>
      </w:tr>
      <w:tr w:rsidR="00400DD1" w:rsidRPr="00DD47DF" w14:paraId="3BF24982" w14:textId="77777777">
        <w:trPr>
          <w:trHeight w:val="413"/>
        </w:trPr>
        <w:tc>
          <w:tcPr>
            <w:tcW w:w="2395" w:type="pct"/>
            <w:shd w:val="clear" w:color="auto" w:fill="auto"/>
            <w:vAlign w:val="center"/>
          </w:tcPr>
          <w:p w14:paraId="52D86FBD" w14:textId="77777777" w:rsidR="00400DD1" w:rsidRPr="00DD47DF" w:rsidRDefault="00400DD1" w:rsidP="00F23CDB">
            <w:pPr>
              <w:pStyle w:val="Tabulka"/>
              <w:jc w:val="left"/>
              <w:rPr>
                <w:rFonts w:cs="Calibri"/>
              </w:rPr>
            </w:pPr>
            <w:r w:rsidRPr="00DD47DF">
              <w:rPr>
                <w:rFonts w:cs="Calibri"/>
              </w:rPr>
              <w:t>Technologická agentura ČR</w:t>
            </w:r>
          </w:p>
        </w:tc>
        <w:tc>
          <w:tcPr>
            <w:tcW w:w="2605" w:type="pct"/>
            <w:shd w:val="clear" w:color="auto" w:fill="auto"/>
            <w:vAlign w:val="center"/>
          </w:tcPr>
          <w:p w14:paraId="54437BD4" w14:textId="77777777" w:rsidR="00400DD1" w:rsidRPr="00DD47DF" w:rsidRDefault="00580034" w:rsidP="00F23CDB">
            <w:pPr>
              <w:pStyle w:val="Tabulka"/>
              <w:jc w:val="left"/>
              <w:rPr>
                <w:rFonts w:cs="Calibri"/>
              </w:rPr>
            </w:pPr>
            <w:hyperlink r:id="rId181" w:history="1">
              <w:r w:rsidR="00400DD1" w:rsidRPr="00DD47DF">
                <w:rPr>
                  <w:rStyle w:val="Hypertextovodkaz"/>
                  <w:rFonts w:cs="Calibri"/>
                  <w:bCs/>
                </w:rPr>
                <w:t>http://tacr.cz/</w:t>
              </w:r>
            </w:hyperlink>
            <w:r w:rsidR="00400DD1" w:rsidRPr="00DD47DF">
              <w:rPr>
                <w:rFonts w:cs="Calibri"/>
              </w:rPr>
              <w:t xml:space="preserve"> </w:t>
            </w:r>
          </w:p>
        </w:tc>
      </w:tr>
      <w:tr w:rsidR="00400DD1" w:rsidRPr="00DD47DF" w14:paraId="7EF2AD1D" w14:textId="77777777">
        <w:trPr>
          <w:trHeight w:val="397"/>
        </w:trPr>
        <w:tc>
          <w:tcPr>
            <w:tcW w:w="2395" w:type="pct"/>
            <w:shd w:val="clear" w:color="auto" w:fill="auto"/>
            <w:vAlign w:val="center"/>
          </w:tcPr>
          <w:p w14:paraId="58FAE3BB" w14:textId="77777777" w:rsidR="00400DD1" w:rsidRPr="00DD47DF" w:rsidRDefault="00400DD1" w:rsidP="00F23CDB">
            <w:pPr>
              <w:pStyle w:val="Tabulka"/>
              <w:jc w:val="left"/>
              <w:rPr>
                <w:rFonts w:cs="Calibri"/>
              </w:rPr>
            </w:pPr>
            <w:r w:rsidRPr="00DD47DF">
              <w:rPr>
                <w:rFonts w:cs="Calibri"/>
              </w:rPr>
              <w:t>Českomoravská záruční a rozvojová banka</w:t>
            </w:r>
          </w:p>
        </w:tc>
        <w:tc>
          <w:tcPr>
            <w:tcW w:w="2605" w:type="pct"/>
            <w:shd w:val="clear" w:color="auto" w:fill="auto"/>
            <w:vAlign w:val="center"/>
          </w:tcPr>
          <w:p w14:paraId="2BFF5F2B" w14:textId="77777777" w:rsidR="00400DD1" w:rsidRPr="00DD47DF" w:rsidRDefault="00580034" w:rsidP="00F23CDB">
            <w:pPr>
              <w:pStyle w:val="Tabulka"/>
              <w:jc w:val="left"/>
              <w:rPr>
                <w:rFonts w:cs="Calibri"/>
              </w:rPr>
            </w:pPr>
            <w:hyperlink r:id="rId182" w:history="1">
              <w:r w:rsidR="00400DD1" w:rsidRPr="00DD47DF">
                <w:rPr>
                  <w:rStyle w:val="Hypertextovodkaz"/>
                  <w:rFonts w:cs="Calibri"/>
                  <w:bCs/>
                </w:rPr>
                <w:t>http://www.cmzrb.cz/</w:t>
              </w:r>
            </w:hyperlink>
            <w:r w:rsidR="00400DD1" w:rsidRPr="00DD47DF">
              <w:rPr>
                <w:rFonts w:cs="Calibri"/>
              </w:rPr>
              <w:t xml:space="preserve"> </w:t>
            </w:r>
          </w:p>
        </w:tc>
      </w:tr>
      <w:tr w:rsidR="00400DD1" w:rsidRPr="00DD47DF" w14:paraId="79D4E98B" w14:textId="77777777" w:rsidTr="00991550">
        <w:trPr>
          <w:trHeight w:val="417"/>
        </w:trPr>
        <w:tc>
          <w:tcPr>
            <w:tcW w:w="2395" w:type="pct"/>
            <w:shd w:val="clear" w:color="auto" w:fill="auto"/>
            <w:vAlign w:val="center"/>
          </w:tcPr>
          <w:p w14:paraId="3EE83017" w14:textId="77777777" w:rsidR="00400DD1" w:rsidRPr="00DD47DF" w:rsidRDefault="00400DD1" w:rsidP="00F23CDB">
            <w:pPr>
              <w:pStyle w:val="Tabulka"/>
              <w:jc w:val="left"/>
              <w:rPr>
                <w:rFonts w:cs="Calibri"/>
              </w:rPr>
            </w:pPr>
            <w:r w:rsidRPr="00DD47DF">
              <w:rPr>
                <w:rFonts w:cs="Calibri"/>
              </w:rPr>
              <w:t xml:space="preserve">Rada pro výzkum, vývoj a inovace </w:t>
            </w:r>
          </w:p>
        </w:tc>
        <w:tc>
          <w:tcPr>
            <w:tcW w:w="2605" w:type="pct"/>
            <w:shd w:val="clear" w:color="auto" w:fill="auto"/>
            <w:vAlign w:val="center"/>
          </w:tcPr>
          <w:p w14:paraId="6C89B440" w14:textId="77777777" w:rsidR="00400DD1" w:rsidRPr="00DD47DF" w:rsidRDefault="00580034" w:rsidP="00F23CDB">
            <w:pPr>
              <w:pStyle w:val="Tabulka"/>
              <w:jc w:val="left"/>
              <w:rPr>
                <w:rFonts w:cs="Calibri"/>
              </w:rPr>
            </w:pPr>
            <w:hyperlink r:id="rId183" w:history="1">
              <w:r w:rsidR="00400DD1" w:rsidRPr="00DD47DF">
                <w:rPr>
                  <w:rStyle w:val="Hypertextovodkaz"/>
                  <w:rFonts w:cs="Calibri"/>
                  <w:bCs/>
                </w:rPr>
                <w:t>http://www.vyzkum.cz/FrontClanek.aspx?idsekce=496</w:t>
              </w:r>
            </w:hyperlink>
            <w:r w:rsidR="00400DD1" w:rsidRPr="00DD47DF">
              <w:rPr>
                <w:rFonts w:cs="Calibri"/>
              </w:rPr>
              <w:t xml:space="preserve"> </w:t>
            </w:r>
          </w:p>
        </w:tc>
      </w:tr>
      <w:tr w:rsidR="00400DD1" w:rsidRPr="00DD47DF" w14:paraId="3828C45A" w14:textId="77777777">
        <w:trPr>
          <w:trHeight w:val="397"/>
        </w:trPr>
        <w:tc>
          <w:tcPr>
            <w:tcW w:w="2395" w:type="pct"/>
            <w:shd w:val="clear" w:color="auto" w:fill="auto"/>
            <w:vAlign w:val="center"/>
          </w:tcPr>
          <w:p w14:paraId="781061B8" w14:textId="77777777" w:rsidR="00400DD1" w:rsidRPr="00DD47DF" w:rsidRDefault="00400DD1" w:rsidP="00F23CDB">
            <w:pPr>
              <w:pStyle w:val="Tabulka"/>
              <w:jc w:val="left"/>
              <w:rPr>
                <w:rFonts w:cs="Calibri"/>
              </w:rPr>
            </w:pPr>
            <w:r w:rsidRPr="00DD47DF">
              <w:rPr>
                <w:rFonts w:cs="Calibri"/>
              </w:rPr>
              <w:t>Svaz průmyslu a dopravy ČR</w:t>
            </w:r>
          </w:p>
        </w:tc>
        <w:tc>
          <w:tcPr>
            <w:tcW w:w="2605" w:type="pct"/>
            <w:shd w:val="clear" w:color="auto" w:fill="auto"/>
            <w:vAlign w:val="center"/>
          </w:tcPr>
          <w:p w14:paraId="2781C329" w14:textId="77777777" w:rsidR="00400DD1" w:rsidRPr="00DD47DF" w:rsidRDefault="00580034" w:rsidP="00F23CDB">
            <w:pPr>
              <w:pStyle w:val="Tabulka"/>
              <w:jc w:val="left"/>
              <w:rPr>
                <w:rFonts w:cs="Calibri"/>
              </w:rPr>
            </w:pPr>
            <w:hyperlink r:id="rId184" w:history="1">
              <w:r w:rsidR="00400DD1" w:rsidRPr="00DD47DF">
                <w:rPr>
                  <w:rStyle w:val="Hypertextovodkaz"/>
                  <w:rFonts w:cs="Calibri"/>
                  <w:bCs/>
                </w:rPr>
                <w:t>http://www.spcr.cz/</w:t>
              </w:r>
            </w:hyperlink>
            <w:r w:rsidR="00400DD1" w:rsidRPr="00DD47DF">
              <w:rPr>
                <w:rFonts w:cs="Calibri"/>
              </w:rPr>
              <w:t xml:space="preserve"> </w:t>
            </w:r>
          </w:p>
        </w:tc>
      </w:tr>
      <w:tr w:rsidR="00400DD1" w:rsidRPr="00DD47DF" w14:paraId="52BF993B" w14:textId="77777777">
        <w:trPr>
          <w:trHeight w:val="413"/>
        </w:trPr>
        <w:tc>
          <w:tcPr>
            <w:tcW w:w="2395" w:type="pct"/>
            <w:shd w:val="clear" w:color="auto" w:fill="auto"/>
            <w:vAlign w:val="center"/>
          </w:tcPr>
          <w:p w14:paraId="0F017CFA" w14:textId="77777777" w:rsidR="00400DD1" w:rsidRPr="00DD47DF" w:rsidRDefault="00400DD1" w:rsidP="00F23CDB">
            <w:pPr>
              <w:pStyle w:val="Tabulka"/>
              <w:jc w:val="left"/>
              <w:rPr>
                <w:rFonts w:cs="Calibri"/>
              </w:rPr>
            </w:pPr>
            <w:r w:rsidRPr="00DD47DF">
              <w:rPr>
                <w:rFonts w:cs="Calibri"/>
              </w:rPr>
              <w:t>Svaz obchodu a cestovního ruchu</w:t>
            </w:r>
          </w:p>
        </w:tc>
        <w:tc>
          <w:tcPr>
            <w:tcW w:w="2605" w:type="pct"/>
            <w:shd w:val="clear" w:color="auto" w:fill="auto"/>
            <w:vAlign w:val="center"/>
          </w:tcPr>
          <w:p w14:paraId="472432D9" w14:textId="77777777" w:rsidR="00400DD1" w:rsidRPr="00DD47DF" w:rsidRDefault="00580034" w:rsidP="00F23CDB">
            <w:pPr>
              <w:pStyle w:val="Tabulka"/>
              <w:jc w:val="left"/>
              <w:rPr>
                <w:rFonts w:cs="Calibri"/>
              </w:rPr>
            </w:pPr>
            <w:hyperlink r:id="rId185" w:history="1">
              <w:r w:rsidR="00400DD1" w:rsidRPr="00DD47DF">
                <w:rPr>
                  <w:rStyle w:val="Hypertextovodkaz"/>
                  <w:rFonts w:cs="Calibri"/>
                  <w:bCs/>
                </w:rPr>
                <w:t>http://www.socr.cz/</w:t>
              </w:r>
            </w:hyperlink>
            <w:r w:rsidR="00400DD1" w:rsidRPr="00DD47DF">
              <w:rPr>
                <w:rFonts w:cs="Calibri"/>
              </w:rPr>
              <w:t xml:space="preserve"> </w:t>
            </w:r>
          </w:p>
        </w:tc>
      </w:tr>
      <w:tr w:rsidR="00400DD1" w:rsidRPr="00DD47DF" w14:paraId="255683C6" w14:textId="77777777">
        <w:trPr>
          <w:trHeight w:val="413"/>
        </w:trPr>
        <w:tc>
          <w:tcPr>
            <w:tcW w:w="2395" w:type="pct"/>
            <w:shd w:val="clear" w:color="auto" w:fill="auto"/>
            <w:vAlign w:val="center"/>
          </w:tcPr>
          <w:p w14:paraId="1B664394" w14:textId="77777777" w:rsidR="00400DD1" w:rsidRPr="00DD47DF" w:rsidRDefault="00400DD1" w:rsidP="00F23CDB">
            <w:pPr>
              <w:pStyle w:val="Tabulka"/>
              <w:jc w:val="left"/>
              <w:rPr>
                <w:rFonts w:cs="Calibri"/>
              </w:rPr>
            </w:pPr>
            <w:r w:rsidRPr="00DD47DF">
              <w:rPr>
                <w:rFonts w:cs="Calibri"/>
              </w:rPr>
              <w:t>Svaz podnikatelů ve stavebnictví</w:t>
            </w:r>
          </w:p>
        </w:tc>
        <w:tc>
          <w:tcPr>
            <w:tcW w:w="2605" w:type="pct"/>
            <w:shd w:val="clear" w:color="auto" w:fill="auto"/>
            <w:vAlign w:val="center"/>
          </w:tcPr>
          <w:p w14:paraId="3D3B41C2" w14:textId="77777777" w:rsidR="00400DD1" w:rsidRPr="00DD47DF" w:rsidRDefault="00580034" w:rsidP="00F23CDB">
            <w:pPr>
              <w:pStyle w:val="Tabulka"/>
              <w:jc w:val="left"/>
              <w:rPr>
                <w:rFonts w:cs="Calibri"/>
              </w:rPr>
            </w:pPr>
            <w:hyperlink r:id="rId186" w:history="1">
              <w:r w:rsidR="00400DD1" w:rsidRPr="00DD47DF">
                <w:rPr>
                  <w:rStyle w:val="Hypertextovodkaz"/>
                  <w:rFonts w:cs="Calibri"/>
                  <w:bCs/>
                </w:rPr>
                <w:t>http://www.sps.cz/index.ASP</w:t>
              </w:r>
            </w:hyperlink>
            <w:r w:rsidR="00400DD1" w:rsidRPr="00DD47DF">
              <w:rPr>
                <w:rFonts w:cs="Calibri"/>
              </w:rPr>
              <w:t xml:space="preserve"> </w:t>
            </w:r>
          </w:p>
        </w:tc>
      </w:tr>
      <w:tr w:rsidR="00400DD1" w:rsidRPr="00DD47DF" w14:paraId="31D9032E" w14:textId="77777777">
        <w:trPr>
          <w:trHeight w:val="413"/>
        </w:trPr>
        <w:tc>
          <w:tcPr>
            <w:tcW w:w="2395" w:type="pct"/>
            <w:shd w:val="clear" w:color="auto" w:fill="auto"/>
            <w:vAlign w:val="center"/>
          </w:tcPr>
          <w:p w14:paraId="030A03AC" w14:textId="77777777" w:rsidR="00400DD1" w:rsidRPr="00DD47DF" w:rsidRDefault="00400DD1" w:rsidP="00F23CDB">
            <w:pPr>
              <w:pStyle w:val="Tabulka"/>
              <w:jc w:val="left"/>
              <w:rPr>
                <w:rFonts w:cs="Calibri"/>
              </w:rPr>
            </w:pPr>
            <w:r w:rsidRPr="00DD47DF">
              <w:rPr>
                <w:rFonts w:cs="Calibri"/>
              </w:rPr>
              <w:t>Svaz měst a obcí ČR</w:t>
            </w:r>
          </w:p>
        </w:tc>
        <w:tc>
          <w:tcPr>
            <w:tcW w:w="2605" w:type="pct"/>
            <w:shd w:val="clear" w:color="auto" w:fill="auto"/>
            <w:vAlign w:val="center"/>
          </w:tcPr>
          <w:p w14:paraId="323B8E90" w14:textId="77777777" w:rsidR="00400DD1" w:rsidRPr="00DD47DF" w:rsidRDefault="00580034" w:rsidP="00F23CDB">
            <w:pPr>
              <w:pStyle w:val="Tabulka"/>
              <w:jc w:val="left"/>
              <w:rPr>
                <w:rFonts w:cs="Calibri"/>
              </w:rPr>
            </w:pPr>
            <w:hyperlink r:id="rId187"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2E5EB23C" w14:textId="77777777">
        <w:trPr>
          <w:trHeight w:val="397"/>
        </w:trPr>
        <w:tc>
          <w:tcPr>
            <w:tcW w:w="2395" w:type="pct"/>
            <w:shd w:val="clear" w:color="auto" w:fill="auto"/>
            <w:vAlign w:val="center"/>
          </w:tcPr>
          <w:p w14:paraId="6D5BD686" w14:textId="77777777" w:rsidR="00400DD1" w:rsidRPr="00DD47DF" w:rsidRDefault="00400DD1" w:rsidP="00F23CDB">
            <w:pPr>
              <w:pStyle w:val="Tabulka"/>
              <w:jc w:val="left"/>
              <w:rPr>
                <w:rFonts w:cs="Calibri"/>
              </w:rPr>
            </w:pPr>
            <w:r w:rsidRPr="00DD47DF">
              <w:rPr>
                <w:rFonts w:cs="Calibri"/>
              </w:rPr>
              <w:t>Svaz místních samospráv ČR</w:t>
            </w:r>
          </w:p>
        </w:tc>
        <w:tc>
          <w:tcPr>
            <w:tcW w:w="2605" w:type="pct"/>
            <w:shd w:val="clear" w:color="auto" w:fill="auto"/>
            <w:vAlign w:val="center"/>
          </w:tcPr>
          <w:p w14:paraId="7741B236" w14:textId="77777777" w:rsidR="00400DD1" w:rsidRPr="00DD47DF" w:rsidRDefault="00580034" w:rsidP="00F23CDB">
            <w:pPr>
              <w:pStyle w:val="Tabulka"/>
              <w:jc w:val="left"/>
              <w:rPr>
                <w:rFonts w:cs="Calibri"/>
              </w:rPr>
            </w:pPr>
            <w:hyperlink r:id="rId188" w:history="1">
              <w:r w:rsidR="00400DD1" w:rsidRPr="00DD47DF">
                <w:rPr>
                  <w:rStyle w:val="Hypertextovodkaz"/>
                  <w:rFonts w:cs="Calibri"/>
                  <w:bCs/>
                </w:rPr>
                <w:t>http://www.smscr.cz/</w:t>
              </w:r>
            </w:hyperlink>
            <w:r w:rsidR="00400DD1" w:rsidRPr="00DD47DF">
              <w:rPr>
                <w:rFonts w:cs="Calibri"/>
              </w:rPr>
              <w:t xml:space="preserve"> </w:t>
            </w:r>
          </w:p>
        </w:tc>
      </w:tr>
      <w:tr w:rsidR="00400DD1" w:rsidRPr="00DD47DF" w14:paraId="1DCE546C" w14:textId="77777777">
        <w:trPr>
          <w:trHeight w:val="715"/>
        </w:trPr>
        <w:tc>
          <w:tcPr>
            <w:tcW w:w="2395" w:type="pct"/>
            <w:shd w:val="clear" w:color="auto" w:fill="auto"/>
            <w:vAlign w:val="center"/>
          </w:tcPr>
          <w:p w14:paraId="01E881F1" w14:textId="77777777" w:rsidR="00400DD1" w:rsidRPr="00DD47DF" w:rsidRDefault="00400DD1" w:rsidP="00F23CDB">
            <w:pPr>
              <w:pStyle w:val="Tabulka"/>
              <w:jc w:val="left"/>
              <w:rPr>
                <w:rFonts w:cs="Calibri"/>
              </w:rPr>
            </w:pPr>
            <w:r w:rsidRPr="00DD47DF">
              <w:rPr>
                <w:rFonts w:cs="Calibri"/>
              </w:rPr>
              <w:t>Českomoravská konfederace odborových svazů</w:t>
            </w:r>
          </w:p>
        </w:tc>
        <w:tc>
          <w:tcPr>
            <w:tcW w:w="2605" w:type="pct"/>
            <w:shd w:val="clear" w:color="auto" w:fill="auto"/>
            <w:vAlign w:val="center"/>
          </w:tcPr>
          <w:p w14:paraId="4FCD9B5E" w14:textId="77777777" w:rsidR="00400DD1" w:rsidRPr="00DD47DF" w:rsidRDefault="00580034" w:rsidP="00F23CDB">
            <w:pPr>
              <w:pStyle w:val="Tabulka"/>
              <w:jc w:val="left"/>
              <w:rPr>
                <w:rFonts w:cs="Calibri"/>
              </w:rPr>
            </w:pPr>
            <w:hyperlink r:id="rId189" w:history="1">
              <w:r w:rsidR="00400DD1" w:rsidRPr="00DD47DF">
                <w:rPr>
                  <w:rStyle w:val="Hypertextovodkaz"/>
                  <w:rFonts w:cs="Calibri"/>
                  <w:bCs/>
                </w:rPr>
                <w:t>http://www.cmkos.cz/</w:t>
              </w:r>
            </w:hyperlink>
            <w:r w:rsidR="00400DD1" w:rsidRPr="00DD47DF">
              <w:rPr>
                <w:rFonts w:cs="Calibri"/>
              </w:rPr>
              <w:t xml:space="preserve"> </w:t>
            </w:r>
          </w:p>
        </w:tc>
      </w:tr>
      <w:tr w:rsidR="00400DD1" w:rsidRPr="00DD47DF" w14:paraId="40A3B4F7" w14:textId="77777777">
        <w:trPr>
          <w:trHeight w:val="699"/>
        </w:trPr>
        <w:tc>
          <w:tcPr>
            <w:tcW w:w="2395" w:type="pct"/>
            <w:shd w:val="clear" w:color="auto" w:fill="auto"/>
            <w:vAlign w:val="center"/>
          </w:tcPr>
          <w:p w14:paraId="0F89739A" w14:textId="77777777" w:rsidR="00400DD1" w:rsidRPr="00DD47DF" w:rsidRDefault="00400DD1" w:rsidP="00F23CDB">
            <w:pPr>
              <w:pStyle w:val="Tabulka"/>
              <w:jc w:val="left"/>
              <w:rPr>
                <w:rFonts w:cs="Calibri"/>
              </w:rPr>
            </w:pPr>
            <w:r w:rsidRPr="00DD47DF">
              <w:rPr>
                <w:rFonts w:cs="Calibri"/>
              </w:rPr>
              <w:t>Konfederace zaměstnavatelských a podnikatelských svazů</w:t>
            </w:r>
          </w:p>
        </w:tc>
        <w:tc>
          <w:tcPr>
            <w:tcW w:w="2605" w:type="pct"/>
            <w:shd w:val="clear" w:color="auto" w:fill="auto"/>
            <w:vAlign w:val="center"/>
          </w:tcPr>
          <w:p w14:paraId="27248F8C" w14:textId="77777777" w:rsidR="00400DD1" w:rsidRPr="00DD47DF" w:rsidRDefault="00580034" w:rsidP="00F23CDB">
            <w:pPr>
              <w:pStyle w:val="Tabulka"/>
              <w:jc w:val="left"/>
              <w:rPr>
                <w:rFonts w:cs="Calibri"/>
              </w:rPr>
            </w:pPr>
            <w:hyperlink r:id="rId190" w:history="1">
              <w:r w:rsidR="00400DD1" w:rsidRPr="00DD47DF">
                <w:rPr>
                  <w:rStyle w:val="Hypertextovodkaz"/>
                  <w:rFonts w:cs="Calibri"/>
                  <w:bCs/>
                </w:rPr>
                <w:t>http://www.kzps.cz/</w:t>
              </w:r>
            </w:hyperlink>
            <w:r w:rsidR="00400DD1" w:rsidRPr="00DD47DF">
              <w:rPr>
                <w:rFonts w:cs="Calibri"/>
              </w:rPr>
              <w:t xml:space="preserve"> </w:t>
            </w:r>
          </w:p>
        </w:tc>
      </w:tr>
      <w:tr w:rsidR="00400DD1" w:rsidRPr="00DD47DF" w14:paraId="5166A767" w14:textId="77777777">
        <w:trPr>
          <w:trHeight w:val="397"/>
        </w:trPr>
        <w:tc>
          <w:tcPr>
            <w:tcW w:w="2395" w:type="pct"/>
            <w:shd w:val="clear" w:color="auto" w:fill="auto"/>
            <w:vAlign w:val="center"/>
          </w:tcPr>
          <w:p w14:paraId="63625007" w14:textId="77777777" w:rsidR="00400DD1" w:rsidRPr="00DD47DF" w:rsidRDefault="00400DD1" w:rsidP="00F23CDB">
            <w:pPr>
              <w:pStyle w:val="Tabulka"/>
              <w:jc w:val="left"/>
              <w:rPr>
                <w:rFonts w:cs="Calibri"/>
              </w:rPr>
            </w:pPr>
            <w:r w:rsidRPr="00DD47DF">
              <w:rPr>
                <w:rFonts w:cs="Calibri"/>
              </w:rPr>
              <w:t>Asociace MSP a živnostníků ČR</w:t>
            </w:r>
          </w:p>
        </w:tc>
        <w:tc>
          <w:tcPr>
            <w:tcW w:w="2605" w:type="pct"/>
            <w:shd w:val="clear" w:color="auto" w:fill="auto"/>
            <w:vAlign w:val="center"/>
          </w:tcPr>
          <w:p w14:paraId="4DA516C0" w14:textId="77777777" w:rsidR="00400DD1" w:rsidRPr="00DD47DF" w:rsidRDefault="00580034" w:rsidP="00F23CDB">
            <w:pPr>
              <w:pStyle w:val="Tabulka"/>
              <w:jc w:val="left"/>
              <w:rPr>
                <w:rFonts w:cs="Calibri"/>
              </w:rPr>
            </w:pPr>
            <w:hyperlink r:id="rId191" w:history="1">
              <w:r w:rsidR="00400DD1" w:rsidRPr="00DD47DF">
                <w:rPr>
                  <w:rStyle w:val="Hypertextovodkaz"/>
                  <w:rFonts w:cs="Calibri"/>
                  <w:bCs/>
                </w:rPr>
                <w:t>http://www.amsp.cz/</w:t>
              </w:r>
            </w:hyperlink>
            <w:r w:rsidR="00400DD1" w:rsidRPr="00DD47DF">
              <w:rPr>
                <w:rFonts w:cs="Calibri"/>
              </w:rPr>
              <w:t xml:space="preserve"> </w:t>
            </w:r>
          </w:p>
        </w:tc>
      </w:tr>
      <w:tr w:rsidR="00400DD1" w:rsidRPr="00DD47DF" w14:paraId="3FCE521D" w14:textId="77777777">
        <w:trPr>
          <w:trHeight w:val="429"/>
        </w:trPr>
        <w:tc>
          <w:tcPr>
            <w:tcW w:w="2395" w:type="pct"/>
            <w:shd w:val="clear" w:color="auto" w:fill="auto"/>
            <w:vAlign w:val="center"/>
          </w:tcPr>
          <w:p w14:paraId="6A310A95" w14:textId="77777777" w:rsidR="00400DD1" w:rsidRPr="00DD47DF" w:rsidRDefault="00400DD1" w:rsidP="00F23CDB">
            <w:pPr>
              <w:pStyle w:val="Tabulka"/>
              <w:jc w:val="left"/>
              <w:rPr>
                <w:rFonts w:cs="Calibri"/>
              </w:rPr>
            </w:pPr>
            <w:r w:rsidRPr="00DD47DF">
              <w:rPr>
                <w:rFonts w:cs="Calibri"/>
              </w:rPr>
              <w:t>Asociace krajů ČR</w:t>
            </w:r>
          </w:p>
        </w:tc>
        <w:tc>
          <w:tcPr>
            <w:tcW w:w="2605" w:type="pct"/>
            <w:shd w:val="clear" w:color="auto" w:fill="auto"/>
            <w:vAlign w:val="center"/>
          </w:tcPr>
          <w:p w14:paraId="766FF31B" w14:textId="77777777" w:rsidR="00400DD1" w:rsidRPr="00DD47DF" w:rsidRDefault="00580034" w:rsidP="00F23CDB">
            <w:pPr>
              <w:pStyle w:val="Tabulka"/>
              <w:jc w:val="left"/>
              <w:rPr>
                <w:rFonts w:cs="Calibri"/>
              </w:rPr>
            </w:pPr>
            <w:hyperlink r:id="rId192" w:history="1">
              <w:r w:rsidR="00400DD1" w:rsidRPr="00DD47DF">
                <w:rPr>
                  <w:rStyle w:val="Hypertextovodkaz"/>
                  <w:rFonts w:cs="Calibri"/>
                  <w:bCs/>
                </w:rPr>
                <w:t>http://www.asociacekraju.cz/</w:t>
              </w:r>
            </w:hyperlink>
            <w:r w:rsidR="00400DD1" w:rsidRPr="00DD47DF">
              <w:rPr>
                <w:rFonts w:cs="Calibri"/>
              </w:rPr>
              <w:t xml:space="preserve"> </w:t>
            </w:r>
          </w:p>
        </w:tc>
      </w:tr>
      <w:tr w:rsidR="00400DD1" w:rsidRPr="00DD47DF" w14:paraId="1C3ADA1E" w14:textId="77777777">
        <w:trPr>
          <w:trHeight w:val="413"/>
        </w:trPr>
        <w:tc>
          <w:tcPr>
            <w:tcW w:w="2395" w:type="pct"/>
            <w:shd w:val="clear" w:color="auto" w:fill="auto"/>
            <w:vAlign w:val="center"/>
          </w:tcPr>
          <w:p w14:paraId="6930ED63" w14:textId="77777777" w:rsidR="00400DD1" w:rsidRPr="00DD47DF" w:rsidRDefault="00400DD1" w:rsidP="00F23CDB">
            <w:pPr>
              <w:pStyle w:val="Tabulka"/>
              <w:jc w:val="left"/>
              <w:rPr>
                <w:rFonts w:cs="Calibri"/>
              </w:rPr>
            </w:pPr>
            <w:r w:rsidRPr="00DD47DF">
              <w:rPr>
                <w:rFonts w:cs="Calibri"/>
              </w:rPr>
              <w:t xml:space="preserve">Nestátní neziskové organizace </w:t>
            </w:r>
          </w:p>
        </w:tc>
        <w:tc>
          <w:tcPr>
            <w:tcW w:w="2605" w:type="pct"/>
            <w:shd w:val="clear" w:color="auto" w:fill="auto"/>
            <w:vAlign w:val="center"/>
          </w:tcPr>
          <w:p w14:paraId="150FDA6A" w14:textId="77777777" w:rsidR="00400DD1" w:rsidRPr="00DD47DF" w:rsidRDefault="00580034" w:rsidP="00F23CDB">
            <w:pPr>
              <w:pStyle w:val="Tabulka"/>
              <w:jc w:val="left"/>
              <w:rPr>
                <w:rFonts w:cs="Calibri"/>
              </w:rPr>
            </w:pPr>
            <w:hyperlink r:id="rId193" w:history="1">
              <w:r w:rsidR="00400DD1" w:rsidRPr="00DD47DF">
                <w:rPr>
                  <w:rStyle w:val="Hypertextovodkaz"/>
                  <w:rFonts w:cs="Calibri"/>
                  <w:bCs/>
                </w:rPr>
                <w:t>http://www.asociacenno.cz/</w:t>
              </w:r>
            </w:hyperlink>
            <w:r w:rsidR="00400DD1" w:rsidRPr="00DD47DF">
              <w:rPr>
                <w:rFonts w:cs="Calibri"/>
              </w:rPr>
              <w:t xml:space="preserve"> </w:t>
            </w:r>
          </w:p>
        </w:tc>
      </w:tr>
      <w:tr w:rsidR="00400DD1" w:rsidRPr="00DD47DF" w14:paraId="1267D498" w14:textId="77777777">
        <w:trPr>
          <w:trHeight w:val="699"/>
        </w:trPr>
        <w:tc>
          <w:tcPr>
            <w:tcW w:w="2395" w:type="pct"/>
            <w:shd w:val="clear" w:color="auto" w:fill="auto"/>
            <w:vAlign w:val="center"/>
          </w:tcPr>
          <w:p w14:paraId="18CE80ED" w14:textId="77777777" w:rsidR="00400DD1" w:rsidRPr="00DD47DF" w:rsidRDefault="00400DD1" w:rsidP="00F23CDB">
            <w:pPr>
              <w:pStyle w:val="Tabulka"/>
              <w:jc w:val="left"/>
              <w:rPr>
                <w:rFonts w:cs="Calibri"/>
              </w:rPr>
            </w:pPr>
            <w:r w:rsidRPr="00DD47DF">
              <w:rPr>
                <w:rFonts w:cs="Calibri"/>
              </w:rPr>
              <w:t>Národní síť Místních akčních skupin České republiky, o.s.</w:t>
            </w:r>
          </w:p>
        </w:tc>
        <w:tc>
          <w:tcPr>
            <w:tcW w:w="2605" w:type="pct"/>
            <w:shd w:val="clear" w:color="auto" w:fill="auto"/>
            <w:vAlign w:val="center"/>
          </w:tcPr>
          <w:p w14:paraId="4534B746" w14:textId="77777777" w:rsidR="00400DD1" w:rsidRPr="00DD47DF" w:rsidRDefault="00580034" w:rsidP="00F23CDB">
            <w:pPr>
              <w:pStyle w:val="Tabulka"/>
              <w:jc w:val="left"/>
              <w:rPr>
                <w:rFonts w:cs="Calibri"/>
              </w:rPr>
            </w:pPr>
            <w:hyperlink r:id="rId194" w:history="1">
              <w:r w:rsidR="00400DD1" w:rsidRPr="00DD47DF">
                <w:rPr>
                  <w:rStyle w:val="Hypertextovodkaz"/>
                  <w:rFonts w:cs="Calibri"/>
                  <w:bCs/>
                </w:rPr>
                <w:t>http://nsmascr.cz/o-nas/mistni-akncni-skupiny/</w:t>
              </w:r>
            </w:hyperlink>
            <w:r w:rsidR="00400DD1" w:rsidRPr="00DD47DF">
              <w:rPr>
                <w:rFonts w:cs="Calibri"/>
              </w:rPr>
              <w:t xml:space="preserve"> </w:t>
            </w:r>
          </w:p>
        </w:tc>
      </w:tr>
      <w:tr w:rsidR="00400DD1" w:rsidRPr="00DD47DF" w14:paraId="3F96F53C" w14:textId="77777777">
        <w:trPr>
          <w:trHeight w:val="413"/>
        </w:trPr>
        <w:tc>
          <w:tcPr>
            <w:tcW w:w="2395" w:type="pct"/>
            <w:shd w:val="clear" w:color="auto" w:fill="auto"/>
            <w:vAlign w:val="center"/>
          </w:tcPr>
          <w:p w14:paraId="34538EBB" w14:textId="77777777" w:rsidR="00400DD1" w:rsidRPr="00DD47DF" w:rsidRDefault="00400DD1" w:rsidP="00F23CDB">
            <w:pPr>
              <w:pStyle w:val="Tabulka"/>
              <w:jc w:val="left"/>
              <w:rPr>
                <w:rFonts w:cs="Calibri"/>
              </w:rPr>
            </w:pPr>
            <w:r w:rsidRPr="00DD47DF">
              <w:rPr>
                <w:rFonts w:cs="Calibri"/>
              </w:rPr>
              <w:t>Český statistický úřad</w:t>
            </w:r>
          </w:p>
        </w:tc>
        <w:tc>
          <w:tcPr>
            <w:tcW w:w="2605" w:type="pct"/>
            <w:shd w:val="clear" w:color="auto" w:fill="auto"/>
            <w:vAlign w:val="center"/>
          </w:tcPr>
          <w:p w14:paraId="049768AA" w14:textId="77777777" w:rsidR="00400DD1" w:rsidRPr="00DD47DF" w:rsidRDefault="00580034" w:rsidP="00F23CDB">
            <w:pPr>
              <w:pStyle w:val="Tabulka"/>
              <w:jc w:val="left"/>
              <w:rPr>
                <w:rFonts w:cs="Calibri"/>
              </w:rPr>
            </w:pPr>
            <w:hyperlink r:id="rId195" w:history="1">
              <w:r w:rsidR="00400DD1" w:rsidRPr="00DD47DF">
                <w:rPr>
                  <w:rStyle w:val="Hypertextovodkaz"/>
                  <w:rFonts w:cs="Calibri"/>
                  <w:bCs/>
                </w:rPr>
                <w:t>http://www.czso.cz/</w:t>
              </w:r>
            </w:hyperlink>
            <w:r w:rsidR="00400DD1" w:rsidRPr="00DD47DF">
              <w:rPr>
                <w:rFonts w:cs="Calibri"/>
              </w:rPr>
              <w:t xml:space="preserve"> </w:t>
            </w:r>
          </w:p>
        </w:tc>
      </w:tr>
      <w:tr w:rsidR="00400DD1" w:rsidRPr="00DD47DF" w14:paraId="742AE5C5" w14:textId="77777777">
        <w:trPr>
          <w:trHeight w:val="413"/>
        </w:trPr>
        <w:tc>
          <w:tcPr>
            <w:tcW w:w="2395" w:type="pct"/>
            <w:shd w:val="clear" w:color="auto" w:fill="auto"/>
            <w:vAlign w:val="center"/>
          </w:tcPr>
          <w:p w14:paraId="1D4AD079" w14:textId="77777777" w:rsidR="00400DD1" w:rsidRPr="00DD47DF" w:rsidRDefault="00400DD1" w:rsidP="00F23CDB">
            <w:pPr>
              <w:pStyle w:val="Tabulka"/>
              <w:jc w:val="left"/>
              <w:rPr>
                <w:rFonts w:cs="Calibri"/>
              </w:rPr>
            </w:pPr>
            <w:r w:rsidRPr="00DD47DF">
              <w:rPr>
                <w:rFonts w:cs="Calibri"/>
              </w:rPr>
              <w:lastRenderedPageBreak/>
              <w:t>Hlavní město Praha</w:t>
            </w:r>
          </w:p>
        </w:tc>
        <w:tc>
          <w:tcPr>
            <w:tcW w:w="2605" w:type="pct"/>
            <w:shd w:val="clear" w:color="auto" w:fill="auto"/>
            <w:vAlign w:val="center"/>
          </w:tcPr>
          <w:p w14:paraId="5A2C64FB" w14:textId="77777777" w:rsidR="00400DD1" w:rsidRPr="00DD47DF" w:rsidRDefault="00580034" w:rsidP="00F23CDB">
            <w:pPr>
              <w:pStyle w:val="Tabulka"/>
              <w:jc w:val="left"/>
              <w:rPr>
                <w:rFonts w:cs="Calibri"/>
              </w:rPr>
            </w:pPr>
            <w:hyperlink r:id="rId196" w:history="1">
              <w:r w:rsidR="00400DD1" w:rsidRPr="00DD47DF">
                <w:rPr>
                  <w:rStyle w:val="Hypertextovodkaz"/>
                  <w:rFonts w:cs="Calibri"/>
                  <w:bCs/>
                </w:rPr>
                <w:t>http://www.praha.eu/jnp/cz/home/index.html</w:t>
              </w:r>
            </w:hyperlink>
            <w:r w:rsidR="00400DD1" w:rsidRPr="00DD47DF">
              <w:rPr>
                <w:rFonts w:cs="Calibri"/>
              </w:rPr>
              <w:t xml:space="preserve"> </w:t>
            </w:r>
          </w:p>
        </w:tc>
      </w:tr>
    </w:tbl>
    <w:p w14:paraId="2CBDA8AF"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920"/>
      </w:tblGrid>
      <w:tr w:rsidR="00400DD1" w:rsidRPr="00DD47DF" w14:paraId="41009AFA" w14:textId="77777777">
        <w:trPr>
          <w:trHeight w:val="431"/>
        </w:trPr>
        <w:tc>
          <w:tcPr>
            <w:tcW w:w="5000" w:type="pct"/>
            <w:gridSpan w:val="2"/>
            <w:shd w:val="clear" w:color="auto" w:fill="B8CCE4"/>
            <w:vAlign w:val="center"/>
          </w:tcPr>
          <w:p w14:paraId="02FD0DA1" w14:textId="77777777" w:rsidR="00400DD1" w:rsidRPr="00DD47DF" w:rsidRDefault="00400DD1" w:rsidP="00F23CDB">
            <w:pPr>
              <w:pStyle w:val="Tabulka"/>
              <w:keepNext/>
              <w:keepLines/>
              <w:rPr>
                <w:rFonts w:cs="Calibri"/>
                <w:b/>
              </w:rPr>
            </w:pPr>
            <w:r w:rsidRPr="00DD47DF">
              <w:rPr>
                <w:rFonts w:cs="Calibri"/>
                <w:b/>
              </w:rPr>
              <w:t>Pracovní skupiny pro rozpracování jednotlivých prioritních os OP PIK</w:t>
            </w:r>
          </w:p>
        </w:tc>
      </w:tr>
      <w:tr w:rsidR="00400DD1" w:rsidRPr="00DD47DF" w14:paraId="540E065D" w14:textId="77777777">
        <w:trPr>
          <w:trHeight w:val="414"/>
        </w:trPr>
        <w:tc>
          <w:tcPr>
            <w:tcW w:w="5000" w:type="pct"/>
            <w:gridSpan w:val="2"/>
            <w:shd w:val="clear" w:color="auto" w:fill="DBE5F1"/>
            <w:vAlign w:val="center"/>
          </w:tcPr>
          <w:p w14:paraId="4F463938" w14:textId="77777777" w:rsidR="00400DD1" w:rsidRPr="00DD47DF" w:rsidRDefault="005F4918" w:rsidP="00F23CDB">
            <w:pPr>
              <w:pStyle w:val="Tabulka"/>
              <w:keepNext/>
              <w:keepLines/>
              <w:rPr>
                <w:rFonts w:cs="Calibri"/>
                <w:b/>
              </w:rPr>
            </w:pPr>
            <w:r w:rsidRPr="00DD47DF">
              <w:rPr>
                <w:rFonts w:cs="Calibri"/>
                <w:b/>
              </w:rPr>
              <w:t xml:space="preserve">PS </w:t>
            </w:r>
            <w:r w:rsidR="00400DD1" w:rsidRPr="00DD47DF">
              <w:rPr>
                <w:rFonts w:cs="Calibri"/>
                <w:b/>
              </w:rPr>
              <w:t>1 „</w:t>
            </w:r>
            <w:r w:rsidR="00CB7936" w:rsidRPr="00DD47DF">
              <w:rPr>
                <w:rFonts w:cs="Calibri"/>
                <w:b/>
              </w:rPr>
              <w:t>Rozvoj výzkumu a vývoje pro inovace</w:t>
            </w:r>
            <w:r w:rsidR="00400DD1" w:rsidRPr="00DD47DF">
              <w:rPr>
                <w:rFonts w:cs="Calibri"/>
                <w:b/>
              </w:rPr>
              <w:t>“</w:t>
            </w:r>
          </w:p>
        </w:tc>
      </w:tr>
      <w:tr w:rsidR="00400DD1" w:rsidRPr="00DD47DF" w14:paraId="507CE76D" w14:textId="77777777">
        <w:trPr>
          <w:trHeight w:val="414"/>
        </w:trPr>
        <w:tc>
          <w:tcPr>
            <w:tcW w:w="2391" w:type="pct"/>
            <w:shd w:val="clear" w:color="auto" w:fill="auto"/>
            <w:vAlign w:val="center"/>
          </w:tcPr>
          <w:p w14:paraId="391702A4" w14:textId="77777777" w:rsidR="00400DD1" w:rsidRPr="00DD47DF" w:rsidRDefault="00400DD1" w:rsidP="00F23CDB">
            <w:pPr>
              <w:pStyle w:val="Tabulka"/>
              <w:keepNext/>
              <w:keepLines/>
              <w:jc w:val="left"/>
              <w:rPr>
                <w:rFonts w:cs="Calibri"/>
              </w:rPr>
            </w:pPr>
            <w:r w:rsidRPr="00DD47DF">
              <w:rPr>
                <w:rFonts w:cs="Calibri"/>
              </w:rPr>
              <w:t>Ministerstvo šk</w:t>
            </w:r>
            <w:r w:rsidR="000E47D9" w:rsidRPr="00DD47DF">
              <w:rPr>
                <w:rFonts w:cs="Calibri"/>
              </w:rPr>
              <w:t>olství, mládeže a tělovýchovy</w:t>
            </w:r>
          </w:p>
        </w:tc>
        <w:tc>
          <w:tcPr>
            <w:tcW w:w="2609" w:type="pct"/>
            <w:shd w:val="clear" w:color="auto" w:fill="auto"/>
            <w:vAlign w:val="center"/>
          </w:tcPr>
          <w:p w14:paraId="42CD13C9" w14:textId="77777777" w:rsidR="00400DD1" w:rsidRPr="00DD47DF" w:rsidRDefault="00580034" w:rsidP="00F23CDB">
            <w:pPr>
              <w:pStyle w:val="Tabulka"/>
              <w:keepNext/>
              <w:keepLines/>
              <w:jc w:val="left"/>
              <w:rPr>
                <w:rFonts w:cs="Calibri"/>
              </w:rPr>
            </w:pPr>
            <w:hyperlink r:id="rId197" w:history="1">
              <w:r w:rsidR="00400DD1" w:rsidRPr="00DD47DF">
                <w:rPr>
                  <w:rStyle w:val="Hypertextovodkaz"/>
                  <w:rFonts w:cs="Calibri"/>
                  <w:bCs/>
                </w:rPr>
                <w:t>http://www.msmt.cz/</w:t>
              </w:r>
            </w:hyperlink>
          </w:p>
        </w:tc>
      </w:tr>
      <w:tr w:rsidR="00400DD1" w:rsidRPr="00DD47DF" w14:paraId="16F11F61" w14:textId="77777777">
        <w:trPr>
          <w:trHeight w:val="414"/>
        </w:trPr>
        <w:tc>
          <w:tcPr>
            <w:tcW w:w="2391" w:type="pct"/>
            <w:shd w:val="clear" w:color="auto" w:fill="auto"/>
            <w:vAlign w:val="center"/>
          </w:tcPr>
          <w:p w14:paraId="62C71F88" w14:textId="77777777" w:rsidR="00400DD1" w:rsidRPr="00DD47DF" w:rsidRDefault="000E47D9" w:rsidP="00F23CDB">
            <w:pPr>
              <w:pStyle w:val="Tabulka"/>
              <w:jc w:val="left"/>
              <w:rPr>
                <w:rFonts w:cs="Calibri"/>
              </w:rPr>
            </w:pPr>
            <w:r w:rsidRPr="00DD47DF">
              <w:rPr>
                <w:rFonts w:cs="Calibri"/>
              </w:rPr>
              <w:t>Ministerstvo kultury</w:t>
            </w:r>
          </w:p>
        </w:tc>
        <w:tc>
          <w:tcPr>
            <w:tcW w:w="2609" w:type="pct"/>
            <w:shd w:val="clear" w:color="auto" w:fill="auto"/>
            <w:vAlign w:val="center"/>
          </w:tcPr>
          <w:p w14:paraId="0C118392" w14:textId="77777777" w:rsidR="00400DD1" w:rsidRPr="00DD47DF" w:rsidRDefault="00580034" w:rsidP="00F23CDB">
            <w:pPr>
              <w:pStyle w:val="Tabulka"/>
              <w:jc w:val="left"/>
              <w:rPr>
                <w:rFonts w:cs="Calibri"/>
              </w:rPr>
            </w:pPr>
            <w:hyperlink r:id="rId198" w:history="1">
              <w:r w:rsidR="00400DD1" w:rsidRPr="00DD47DF">
                <w:rPr>
                  <w:rStyle w:val="Hypertextovodkaz"/>
                  <w:rFonts w:cs="Calibri"/>
                  <w:bCs/>
                </w:rPr>
                <w:t>http://www.mkcr.cz/</w:t>
              </w:r>
            </w:hyperlink>
            <w:r w:rsidR="00400DD1" w:rsidRPr="00DD47DF">
              <w:rPr>
                <w:rFonts w:cs="Calibri"/>
              </w:rPr>
              <w:t xml:space="preserve"> </w:t>
            </w:r>
          </w:p>
        </w:tc>
      </w:tr>
      <w:tr w:rsidR="00400DD1" w:rsidRPr="00DD47DF" w14:paraId="2A637455" w14:textId="77777777">
        <w:trPr>
          <w:trHeight w:val="414"/>
        </w:trPr>
        <w:tc>
          <w:tcPr>
            <w:tcW w:w="2391" w:type="pct"/>
            <w:shd w:val="clear" w:color="auto" w:fill="auto"/>
            <w:vAlign w:val="center"/>
          </w:tcPr>
          <w:p w14:paraId="3B4D8D94" w14:textId="77777777" w:rsidR="00400DD1" w:rsidRPr="00DD47DF" w:rsidRDefault="000E47D9" w:rsidP="00F23CDB">
            <w:pPr>
              <w:pStyle w:val="Tabulka"/>
              <w:jc w:val="left"/>
              <w:rPr>
                <w:rFonts w:cs="Calibri"/>
              </w:rPr>
            </w:pPr>
            <w:r w:rsidRPr="00DD47DF">
              <w:rPr>
                <w:rFonts w:cs="Calibri"/>
              </w:rPr>
              <w:t>Ministerstvo dopravy</w:t>
            </w:r>
          </w:p>
        </w:tc>
        <w:tc>
          <w:tcPr>
            <w:tcW w:w="2609" w:type="pct"/>
            <w:shd w:val="clear" w:color="auto" w:fill="auto"/>
            <w:vAlign w:val="center"/>
          </w:tcPr>
          <w:p w14:paraId="293D293B" w14:textId="77777777" w:rsidR="00400DD1" w:rsidRPr="00DD47DF" w:rsidRDefault="00580034" w:rsidP="00F23CDB">
            <w:pPr>
              <w:pStyle w:val="Tabulka"/>
              <w:jc w:val="left"/>
              <w:rPr>
                <w:rFonts w:cs="Calibri"/>
              </w:rPr>
            </w:pPr>
            <w:hyperlink r:id="rId199" w:history="1">
              <w:r w:rsidR="00400DD1" w:rsidRPr="00DD47DF">
                <w:rPr>
                  <w:rStyle w:val="Hypertextovodkaz"/>
                  <w:rFonts w:cs="Calibri"/>
                  <w:bCs/>
                </w:rPr>
                <w:t>http://www.mdcr.cz/cs/default.htm</w:t>
              </w:r>
            </w:hyperlink>
          </w:p>
        </w:tc>
      </w:tr>
      <w:tr w:rsidR="00400DD1" w:rsidRPr="00DD47DF" w14:paraId="452DEF1D" w14:textId="77777777">
        <w:trPr>
          <w:trHeight w:val="414"/>
        </w:trPr>
        <w:tc>
          <w:tcPr>
            <w:tcW w:w="2391" w:type="pct"/>
            <w:shd w:val="clear" w:color="auto" w:fill="auto"/>
            <w:vAlign w:val="center"/>
          </w:tcPr>
          <w:p w14:paraId="4472A7B0" w14:textId="77777777" w:rsidR="00400DD1" w:rsidRPr="00DD47DF" w:rsidRDefault="00400DD1" w:rsidP="00F23CDB">
            <w:pPr>
              <w:pStyle w:val="Tabulka"/>
              <w:jc w:val="left"/>
              <w:rPr>
                <w:rFonts w:cs="Calibri"/>
              </w:rPr>
            </w:pPr>
            <w:r w:rsidRPr="00DD47DF">
              <w:rPr>
                <w:rFonts w:cs="Calibri"/>
              </w:rPr>
              <w:t>Technologická agentura ČR</w:t>
            </w:r>
          </w:p>
        </w:tc>
        <w:tc>
          <w:tcPr>
            <w:tcW w:w="2609" w:type="pct"/>
            <w:shd w:val="clear" w:color="auto" w:fill="auto"/>
            <w:vAlign w:val="center"/>
          </w:tcPr>
          <w:p w14:paraId="7D97D75C" w14:textId="77777777" w:rsidR="00400DD1" w:rsidRPr="00DD47DF" w:rsidRDefault="00580034" w:rsidP="00F23CDB">
            <w:pPr>
              <w:pStyle w:val="Tabulka"/>
              <w:jc w:val="left"/>
              <w:rPr>
                <w:rFonts w:cs="Calibri"/>
              </w:rPr>
            </w:pPr>
            <w:hyperlink r:id="rId200" w:history="1">
              <w:r w:rsidR="00400DD1" w:rsidRPr="00DD47DF">
                <w:rPr>
                  <w:rStyle w:val="Hypertextovodkaz"/>
                  <w:rFonts w:cs="Calibri"/>
                  <w:bCs/>
                </w:rPr>
                <w:t>http://tacr.cz/</w:t>
              </w:r>
            </w:hyperlink>
          </w:p>
        </w:tc>
      </w:tr>
      <w:tr w:rsidR="00400DD1" w:rsidRPr="00DD47DF" w14:paraId="3691F901" w14:textId="77777777">
        <w:trPr>
          <w:trHeight w:val="414"/>
        </w:trPr>
        <w:tc>
          <w:tcPr>
            <w:tcW w:w="2391" w:type="pct"/>
            <w:shd w:val="clear" w:color="auto" w:fill="auto"/>
            <w:vAlign w:val="center"/>
          </w:tcPr>
          <w:p w14:paraId="0E3B0DC5" w14:textId="77777777" w:rsidR="00400DD1" w:rsidRPr="00DD47DF" w:rsidRDefault="00400DD1" w:rsidP="00F23CDB">
            <w:pPr>
              <w:pStyle w:val="Tabulka"/>
              <w:jc w:val="left"/>
              <w:rPr>
                <w:rFonts w:cs="Calibri"/>
              </w:rPr>
            </w:pPr>
            <w:r w:rsidRPr="00DD47DF">
              <w:rPr>
                <w:rFonts w:cs="Calibri"/>
              </w:rPr>
              <w:t>Technologické centrum akademie věd</w:t>
            </w:r>
          </w:p>
        </w:tc>
        <w:tc>
          <w:tcPr>
            <w:tcW w:w="2609" w:type="pct"/>
            <w:shd w:val="clear" w:color="auto" w:fill="auto"/>
            <w:vAlign w:val="center"/>
          </w:tcPr>
          <w:p w14:paraId="0A8BF711" w14:textId="77777777" w:rsidR="00400DD1" w:rsidRPr="00DD47DF" w:rsidRDefault="00580034" w:rsidP="00F23CDB">
            <w:pPr>
              <w:pStyle w:val="Tabulka"/>
              <w:jc w:val="left"/>
              <w:rPr>
                <w:rFonts w:cs="Calibri"/>
              </w:rPr>
            </w:pPr>
            <w:hyperlink r:id="rId201" w:history="1">
              <w:r w:rsidR="00400DD1" w:rsidRPr="00DD47DF">
                <w:rPr>
                  <w:rStyle w:val="Hypertextovodkaz"/>
                  <w:rFonts w:cs="Calibri"/>
                  <w:bCs/>
                </w:rPr>
                <w:t>http://www.tc.cz/cs/</w:t>
              </w:r>
            </w:hyperlink>
            <w:r w:rsidR="00400DD1" w:rsidRPr="00DD47DF">
              <w:rPr>
                <w:rFonts w:cs="Calibri"/>
              </w:rPr>
              <w:t xml:space="preserve"> </w:t>
            </w:r>
          </w:p>
        </w:tc>
      </w:tr>
      <w:tr w:rsidR="00400DD1" w:rsidRPr="00DD47DF" w14:paraId="15EFB467" w14:textId="77777777">
        <w:trPr>
          <w:trHeight w:val="414"/>
        </w:trPr>
        <w:tc>
          <w:tcPr>
            <w:tcW w:w="2391" w:type="pct"/>
            <w:shd w:val="clear" w:color="auto" w:fill="auto"/>
            <w:vAlign w:val="center"/>
          </w:tcPr>
          <w:p w14:paraId="190A6D30" w14:textId="77777777" w:rsidR="00400DD1" w:rsidRPr="00DD47DF" w:rsidRDefault="00400DD1" w:rsidP="00F23CDB">
            <w:pPr>
              <w:pStyle w:val="Tabulka"/>
              <w:jc w:val="left"/>
              <w:rPr>
                <w:rFonts w:cs="Calibri"/>
              </w:rPr>
            </w:pPr>
            <w:r w:rsidRPr="00DD47DF">
              <w:rPr>
                <w:rFonts w:cs="Calibri"/>
              </w:rPr>
              <w:t>Jihomoravské inovační centrum</w:t>
            </w:r>
          </w:p>
        </w:tc>
        <w:tc>
          <w:tcPr>
            <w:tcW w:w="2609" w:type="pct"/>
            <w:shd w:val="clear" w:color="auto" w:fill="auto"/>
            <w:vAlign w:val="center"/>
          </w:tcPr>
          <w:p w14:paraId="400B8B67" w14:textId="77777777" w:rsidR="00400DD1" w:rsidRPr="00DD47DF" w:rsidRDefault="00580034" w:rsidP="00F23CDB">
            <w:pPr>
              <w:pStyle w:val="Tabulka"/>
              <w:jc w:val="left"/>
              <w:rPr>
                <w:rFonts w:cs="Calibri"/>
              </w:rPr>
            </w:pPr>
            <w:hyperlink r:id="rId202" w:history="1">
              <w:r w:rsidR="00400DD1" w:rsidRPr="00DD47DF">
                <w:rPr>
                  <w:rStyle w:val="Hypertextovodkaz"/>
                  <w:rFonts w:cs="Calibri"/>
                  <w:bCs/>
                </w:rPr>
                <w:t>http://www.jic.cz/</w:t>
              </w:r>
            </w:hyperlink>
            <w:r w:rsidR="00400DD1" w:rsidRPr="00DD47DF">
              <w:rPr>
                <w:rFonts w:cs="Calibri"/>
              </w:rPr>
              <w:t xml:space="preserve"> </w:t>
            </w:r>
          </w:p>
        </w:tc>
      </w:tr>
      <w:tr w:rsidR="00400DD1" w:rsidRPr="00DD47DF" w14:paraId="54B6AF28" w14:textId="77777777">
        <w:trPr>
          <w:trHeight w:val="414"/>
        </w:trPr>
        <w:tc>
          <w:tcPr>
            <w:tcW w:w="2391" w:type="pct"/>
            <w:shd w:val="clear" w:color="auto" w:fill="auto"/>
            <w:vAlign w:val="center"/>
          </w:tcPr>
          <w:p w14:paraId="27E89FEC" w14:textId="77777777" w:rsidR="00400DD1" w:rsidRPr="00DD47DF" w:rsidRDefault="00400DD1" w:rsidP="00F23CDB">
            <w:pPr>
              <w:pStyle w:val="Tabulka"/>
              <w:jc w:val="left"/>
              <w:rPr>
                <w:rFonts w:cs="Calibri"/>
              </w:rPr>
            </w:pPr>
            <w:r w:rsidRPr="00DD47DF">
              <w:rPr>
                <w:rFonts w:cs="Calibri"/>
              </w:rPr>
              <w:t>Hospodářská komora ČR</w:t>
            </w:r>
          </w:p>
        </w:tc>
        <w:tc>
          <w:tcPr>
            <w:tcW w:w="2609" w:type="pct"/>
            <w:shd w:val="clear" w:color="auto" w:fill="auto"/>
            <w:vAlign w:val="center"/>
          </w:tcPr>
          <w:p w14:paraId="224BE5AC" w14:textId="77777777" w:rsidR="00400DD1" w:rsidRPr="00DD47DF" w:rsidRDefault="00580034" w:rsidP="00F23CDB">
            <w:pPr>
              <w:pStyle w:val="Tabulka"/>
              <w:jc w:val="left"/>
              <w:rPr>
                <w:rFonts w:cs="Calibri"/>
              </w:rPr>
            </w:pPr>
            <w:hyperlink r:id="rId203" w:history="1">
              <w:r w:rsidR="00400DD1" w:rsidRPr="00DD47DF">
                <w:rPr>
                  <w:rStyle w:val="Hypertextovodkaz"/>
                  <w:rFonts w:cs="Calibri"/>
                  <w:bCs/>
                </w:rPr>
                <w:t>http://www.komora.cz/</w:t>
              </w:r>
            </w:hyperlink>
          </w:p>
        </w:tc>
      </w:tr>
      <w:tr w:rsidR="00400DD1" w:rsidRPr="00DD47DF" w14:paraId="5CC24DD5" w14:textId="77777777">
        <w:trPr>
          <w:trHeight w:val="414"/>
        </w:trPr>
        <w:tc>
          <w:tcPr>
            <w:tcW w:w="2391" w:type="pct"/>
            <w:shd w:val="clear" w:color="auto" w:fill="auto"/>
            <w:vAlign w:val="center"/>
          </w:tcPr>
          <w:p w14:paraId="7F6A69CB" w14:textId="77777777" w:rsidR="00400DD1" w:rsidRPr="00DD47DF" w:rsidRDefault="00400DD1" w:rsidP="00F23CDB">
            <w:pPr>
              <w:pStyle w:val="Tabulka"/>
              <w:jc w:val="left"/>
              <w:rPr>
                <w:rFonts w:cs="Calibri"/>
              </w:rPr>
            </w:pPr>
            <w:r w:rsidRPr="00DD47DF">
              <w:rPr>
                <w:rFonts w:cs="Calibri"/>
              </w:rPr>
              <w:t>Potravinářská komora ČR</w:t>
            </w:r>
          </w:p>
        </w:tc>
        <w:tc>
          <w:tcPr>
            <w:tcW w:w="2609" w:type="pct"/>
            <w:shd w:val="clear" w:color="auto" w:fill="auto"/>
            <w:vAlign w:val="center"/>
          </w:tcPr>
          <w:p w14:paraId="30698FE7" w14:textId="77777777" w:rsidR="00400DD1" w:rsidRPr="00DD47DF" w:rsidRDefault="00580034" w:rsidP="00F23CDB">
            <w:pPr>
              <w:pStyle w:val="Tabulka"/>
              <w:jc w:val="left"/>
              <w:rPr>
                <w:rFonts w:cs="Calibri"/>
              </w:rPr>
            </w:pPr>
            <w:hyperlink r:id="rId204" w:history="1">
              <w:r w:rsidR="00400DD1" w:rsidRPr="00DD47DF">
                <w:rPr>
                  <w:rStyle w:val="Hypertextovodkaz"/>
                  <w:rFonts w:cs="Calibri"/>
                  <w:bCs/>
                </w:rPr>
                <w:t>http://www.pkcr.cz/</w:t>
              </w:r>
            </w:hyperlink>
          </w:p>
        </w:tc>
      </w:tr>
      <w:tr w:rsidR="00400DD1" w:rsidRPr="00DD47DF" w14:paraId="2635F320" w14:textId="77777777">
        <w:trPr>
          <w:trHeight w:val="414"/>
        </w:trPr>
        <w:tc>
          <w:tcPr>
            <w:tcW w:w="2391" w:type="pct"/>
            <w:shd w:val="clear" w:color="auto" w:fill="auto"/>
            <w:vAlign w:val="center"/>
          </w:tcPr>
          <w:p w14:paraId="2530D812" w14:textId="77777777" w:rsidR="00400DD1" w:rsidRPr="00DD47DF" w:rsidRDefault="00400DD1" w:rsidP="00F23CDB">
            <w:pPr>
              <w:pStyle w:val="Tabulka"/>
              <w:jc w:val="left"/>
              <w:rPr>
                <w:rFonts w:cs="Calibri"/>
              </w:rPr>
            </w:pPr>
            <w:r w:rsidRPr="00DD47DF">
              <w:rPr>
                <w:rFonts w:cs="Calibri"/>
              </w:rPr>
              <w:t>Svaz průmyslu a dopravy ČR</w:t>
            </w:r>
          </w:p>
        </w:tc>
        <w:tc>
          <w:tcPr>
            <w:tcW w:w="2609" w:type="pct"/>
            <w:shd w:val="clear" w:color="auto" w:fill="auto"/>
            <w:vAlign w:val="center"/>
          </w:tcPr>
          <w:p w14:paraId="5DDDEF66" w14:textId="77777777" w:rsidR="00400DD1" w:rsidRPr="00DD47DF" w:rsidRDefault="00580034" w:rsidP="00F23CDB">
            <w:pPr>
              <w:pStyle w:val="Tabulka"/>
              <w:jc w:val="left"/>
              <w:rPr>
                <w:rFonts w:cs="Calibri"/>
              </w:rPr>
            </w:pPr>
            <w:hyperlink r:id="rId205" w:history="1">
              <w:r w:rsidR="00400DD1" w:rsidRPr="00DD47DF">
                <w:rPr>
                  <w:rStyle w:val="Hypertextovodkaz"/>
                  <w:rFonts w:cs="Calibri"/>
                  <w:bCs/>
                </w:rPr>
                <w:t>http://www.spcr.cz/</w:t>
              </w:r>
            </w:hyperlink>
          </w:p>
        </w:tc>
      </w:tr>
      <w:tr w:rsidR="00400DD1" w:rsidRPr="00DD47DF" w14:paraId="2B0D5992" w14:textId="77777777">
        <w:trPr>
          <w:trHeight w:val="414"/>
        </w:trPr>
        <w:tc>
          <w:tcPr>
            <w:tcW w:w="2391" w:type="pct"/>
            <w:shd w:val="clear" w:color="auto" w:fill="auto"/>
            <w:vAlign w:val="center"/>
          </w:tcPr>
          <w:p w14:paraId="7EBCC8A5" w14:textId="77777777" w:rsidR="00400DD1" w:rsidRPr="00DD47DF" w:rsidRDefault="00400DD1" w:rsidP="00F23CDB">
            <w:pPr>
              <w:pStyle w:val="Tabulka"/>
              <w:jc w:val="left"/>
              <w:rPr>
                <w:rFonts w:cs="Calibri"/>
              </w:rPr>
            </w:pPr>
            <w:r w:rsidRPr="00DD47DF">
              <w:rPr>
                <w:rFonts w:cs="Calibri"/>
              </w:rPr>
              <w:t>Svaz obchodu a cestovního ruchu</w:t>
            </w:r>
          </w:p>
        </w:tc>
        <w:tc>
          <w:tcPr>
            <w:tcW w:w="2609" w:type="pct"/>
            <w:shd w:val="clear" w:color="auto" w:fill="auto"/>
            <w:vAlign w:val="center"/>
          </w:tcPr>
          <w:p w14:paraId="2B6A60B9" w14:textId="77777777" w:rsidR="00400DD1" w:rsidRPr="00DD47DF" w:rsidRDefault="00580034" w:rsidP="00F23CDB">
            <w:pPr>
              <w:pStyle w:val="Tabulka"/>
              <w:jc w:val="left"/>
              <w:rPr>
                <w:rFonts w:cs="Calibri"/>
              </w:rPr>
            </w:pPr>
            <w:hyperlink r:id="rId206" w:history="1">
              <w:r w:rsidR="00400DD1" w:rsidRPr="00DD47DF">
                <w:rPr>
                  <w:rStyle w:val="Hypertextovodkaz"/>
                  <w:rFonts w:cs="Calibri"/>
                  <w:bCs/>
                </w:rPr>
                <w:t>http://www.socr.cz/</w:t>
              </w:r>
            </w:hyperlink>
            <w:r w:rsidR="00400DD1" w:rsidRPr="00DD47DF">
              <w:rPr>
                <w:rFonts w:cs="Calibri"/>
              </w:rPr>
              <w:t xml:space="preserve"> </w:t>
            </w:r>
          </w:p>
        </w:tc>
      </w:tr>
      <w:tr w:rsidR="00400DD1" w:rsidRPr="00DD47DF" w14:paraId="30DB55E5" w14:textId="77777777">
        <w:trPr>
          <w:trHeight w:val="414"/>
        </w:trPr>
        <w:tc>
          <w:tcPr>
            <w:tcW w:w="2391" w:type="pct"/>
            <w:shd w:val="clear" w:color="auto" w:fill="auto"/>
            <w:vAlign w:val="center"/>
          </w:tcPr>
          <w:p w14:paraId="3A321101" w14:textId="77777777" w:rsidR="00400DD1" w:rsidRPr="00DD47DF" w:rsidRDefault="00400DD1" w:rsidP="00F23CDB">
            <w:pPr>
              <w:pStyle w:val="Tabulka"/>
              <w:jc w:val="left"/>
              <w:rPr>
                <w:rFonts w:cs="Calibri"/>
              </w:rPr>
            </w:pPr>
            <w:r w:rsidRPr="00DD47DF">
              <w:rPr>
                <w:rFonts w:cs="Calibri"/>
              </w:rPr>
              <w:t>Svaz měst a obcí ČR</w:t>
            </w:r>
          </w:p>
        </w:tc>
        <w:tc>
          <w:tcPr>
            <w:tcW w:w="2609" w:type="pct"/>
            <w:shd w:val="clear" w:color="auto" w:fill="auto"/>
            <w:vAlign w:val="center"/>
          </w:tcPr>
          <w:p w14:paraId="2DC31A79" w14:textId="77777777" w:rsidR="00400DD1" w:rsidRPr="00DD47DF" w:rsidRDefault="00580034" w:rsidP="00F23CDB">
            <w:pPr>
              <w:pStyle w:val="Tabulka"/>
              <w:jc w:val="left"/>
              <w:rPr>
                <w:rFonts w:cs="Calibri"/>
              </w:rPr>
            </w:pPr>
            <w:hyperlink r:id="rId207"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2B49CFE7" w14:textId="77777777">
        <w:trPr>
          <w:trHeight w:val="414"/>
        </w:trPr>
        <w:tc>
          <w:tcPr>
            <w:tcW w:w="2391" w:type="pct"/>
            <w:shd w:val="clear" w:color="auto" w:fill="auto"/>
            <w:vAlign w:val="center"/>
          </w:tcPr>
          <w:p w14:paraId="697B0609" w14:textId="77777777" w:rsidR="00400DD1" w:rsidRPr="00DD47DF" w:rsidRDefault="00400DD1" w:rsidP="00F23CDB">
            <w:pPr>
              <w:pStyle w:val="Tabulka"/>
              <w:jc w:val="left"/>
              <w:rPr>
                <w:rFonts w:cs="Calibri"/>
              </w:rPr>
            </w:pPr>
            <w:r w:rsidRPr="00DD47DF">
              <w:rPr>
                <w:rFonts w:cs="Calibri"/>
              </w:rPr>
              <w:t>Asociace výzkumných organizací</w:t>
            </w:r>
          </w:p>
        </w:tc>
        <w:tc>
          <w:tcPr>
            <w:tcW w:w="2609" w:type="pct"/>
            <w:shd w:val="clear" w:color="auto" w:fill="auto"/>
            <w:vAlign w:val="center"/>
          </w:tcPr>
          <w:p w14:paraId="2FA36AED" w14:textId="77777777" w:rsidR="00400DD1" w:rsidRPr="00DD47DF" w:rsidRDefault="00580034" w:rsidP="00F23CDB">
            <w:pPr>
              <w:pStyle w:val="Tabulka"/>
              <w:jc w:val="left"/>
              <w:rPr>
                <w:rFonts w:cs="Calibri"/>
              </w:rPr>
            </w:pPr>
            <w:hyperlink r:id="rId208" w:history="1">
              <w:r w:rsidR="00400DD1" w:rsidRPr="00DD47DF">
                <w:rPr>
                  <w:rStyle w:val="Hypertextovodkaz"/>
                  <w:rFonts w:cs="Calibri"/>
                  <w:bCs/>
                </w:rPr>
                <w:t>http://www.avo.cz/</w:t>
              </w:r>
            </w:hyperlink>
            <w:r w:rsidR="00400DD1" w:rsidRPr="00DD47DF">
              <w:rPr>
                <w:rFonts w:cs="Calibri"/>
              </w:rPr>
              <w:t xml:space="preserve"> </w:t>
            </w:r>
          </w:p>
        </w:tc>
      </w:tr>
      <w:tr w:rsidR="00400DD1" w:rsidRPr="00DD47DF" w14:paraId="76970FE5" w14:textId="77777777">
        <w:trPr>
          <w:trHeight w:val="414"/>
        </w:trPr>
        <w:tc>
          <w:tcPr>
            <w:tcW w:w="2391" w:type="pct"/>
            <w:shd w:val="clear" w:color="auto" w:fill="auto"/>
            <w:vAlign w:val="center"/>
          </w:tcPr>
          <w:p w14:paraId="49B9A789" w14:textId="77777777" w:rsidR="00400DD1" w:rsidRPr="00DD47DF" w:rsidRDefault="00400DD1" w:rsidP="00F23CDB">
            <w:pPr>
              <w:pStyle w:val="Tabulka"/>
              <w:jc w:val="left"/>
              <w:rPr>
                <w:rFonts w:cs="Calibri"/>
              </w:rPr>
            </w:pPr>
            <w:r w:rsidRPr="00DD47DF">
              <w:rPr>
                <w:rFonts w:cs="Calibri"/>
              </w:rPr>
              <w:t>Asociace inovačního podnikání</w:t>
            </w:r>
          </w:p>
        </w:tc>
        <w:tc>
          <w:tcPr>
            <w:tcW w:w="2609" w:type="pct"/>
            <w:shd w:val="clear" w:color="auto" w:fill="auto"/>
            <w:vAlign w:val="center"/>
          </w:tcPr>
          <w:p w14:paraId="725D0BB5" w14:textId="77777777" w:rsidR="00400DD1" w:rsidRPr="00DD47DF" w:rsidRDefault="00580034" w:rsidP="00F23CDB">
            <w:pPr>
              <w:pStyle w:val="Tabulka"/>
              <w:jc w:val="left"/>
              <w:rPr>
                <w:rFonts w:cs="Calibri"/>
              </w:rPr>
            </w:pPr>
            <w:hyperlink r:id="rId209" w:history="1">
              <w:r w:rsidR="00400DD1" w:rsidRPr="00DD47DF">
                <w:rPr>
                  <w:rStyle w:val="Hypertextovodkaz"/>
                  <w:rFonts w:cs="Calibri"/>
                  <w:bCs/>
                </w:rPr>
                <w:t>http://www.aipcr.cz/</w:t>
              </w:r>
            </w:hyperlink>
            <w:r w:rsidR="00400DD1" w:rsidRPr="00DD47DF">
              <w:rPr>
                <w:rFonts w:cs="Calibri"/>
              </w:rPr>
              <w:t xml:space="preserve"> </w:t>
            </w:r>
          </w:p>
        </w:tc>
      </w:tr>
      <w:tr w:rsidR="00400DD1" w:rsidRPr="00DD47DF" w14:paraId="7CE3F947" w14:textId="77777777">
        <w:trPr>
          <w:trHeight w:val="414"/>
        </w:trPr>
        <w:tc>
          <w:tcPr>
            <w:tcW w:w="2391" w:type="pct"/>
            <w:shd w:val="clear" w:color="auto" w:fill="auto"/>
            <w:vAlign w:val="center"/>
          </w:tcPr>
          <w:p w14:paraId="1C49A8D3" w14:textId="77777777" w:rsidR="00400DD1" w:rsidRPr="00DD47DF" w:rsidRDefault="00400DD1" w:rsidP="00F23CDB">
            <w:pPr>
              <w:pStyle w:val="Tabulka"/>
              <w:jc w:val="left"/>
              <w:rPr>
                <w:rFonts w:cs="Calibri"/>
              </w:rPr>
            </w:pPr>
            <w:r w:rsidRPr="00DD47DF">
              <w:rPr>
                <w:rFonts w:cs="Calibri"/>
              </w:rPr>
              <w:t>Asociace malých a středních podniků</w:t>
            </w:r>
          </w:p>
        </w:tc>
        <w:tc>
          <w:tcPr>
            <w:tcW w:w="2609" w:type="pct"/>
            <w:shd w:val="clear" w:color="auto" w:fill="auto"/>
            <w:vAlign w:val="center"/>
          </w:tcPr>
          <w:p w14:paraId="50DE5808" w14:textId="77777777" w:rsidR="00400DD1" w:rsidRPr="00DD47DF" w:rsidRDefault="00580034" w:rsidP="00F23CDB">
            <w:pPr>
              <w:pStyle w:val="Tabulka"/>
              <w:jc w:val="left"/>
              <w:rPr>
                <w:rFonts w:cs="Calibri"/>
              </w:rPr>
            </w:pPr>
            <w:hyperlink r:id="rId210" w:history="1">
              <w:r w:rsidR="00400DD1" w:rsidRPr="00DD47DF">
                <w:rPr>
                  <w:rStyle w:val="Hypertextovodkaz"/>
                  <w:rFonts w:cs="Calibri"/>
                  <w:bCs/>
                </w:rPr>
                <w:t>http://www.amsp.cz/</w:t>
              </w:r>
            </w:hyperlink>
          </w:p>
        </w:tc>
      </w:tr>
      <w:tr w:rsidR="00400DD1" w:rsidRPr="00DD47DF" w14:paraId="4F2A7C2D" w14:textId="77777777">
        <w:trPr>
          <w:trHeight w:val="414"/>
        </w:trPr>
        <w:tc>
          <w:tcPr>
            <w:tcW w:w="2391" w:type="pct"/>
            <w:shd w:val="clear" w:color="auto" w:fill="auto"/>
            <w:vAlign w:val="center"/>
          </w:tcPr>
          <w:p w14:paraId="50DF18D8" w14:textId="77777777" w:rsidR="00400DD1" w:rsidRPr="00DD47DF" w:rsidRDefault="00400DD1" w:rsidP="00F23CDB">
            <w:pPr>
              <w:pStyle w:val="Tabulka"/>
              <w:jc w:val="left"/>
              <w:rPr>
                <w:rFonts w:cs="Calibri"/>
              </w:rPr>
            </w:pPr>
            <w:r w:rsidRPr="00DD47DF">
              <w:rPr>
                <w:rFonts w:cs="Calibri"/>
              </w:rPr>
              <w:t>Nestátní neziskové organizace</w:t>
            </w:r>
          </w:p>
        </w:tc>
        <w:tc>
          <w:tcPr>
            <w:tcW w:w="2609" w:type="pct"/>
            <w:shd w:val="clear" w:color="auto" w:fill="auto"/>
            <w:vAlign w:val="center"/>
          </w:tcPr>
          <w:p w14:paraId="19C900A5" w14:textId="77777777" w:rsidR="00400DD1" w:rsidRPr="00DD47DF" w:rsidRDefault="00580034" w:rsidP="00F23CDB">
            <w:pPr>
              <w:pStyle w:val="Tabulka"/>
              <w:jc w:val="left"/>
              <w:rPr>
                <w:rFonts w:cs="Calibri"/>
              </w:rPr>
            </w:pPr>
            <w:hyperlink r:id="rId211" w:history="1">
              <w:r w:rsidR="00400DD1" w:rsidRPr="00DD47DF">
                <w:rPr>
                  <w:rStyle w:val="Hypertextovodkaz"/>
                  <w:rFonts w:cs="Calibri"/>
                  <w:bCs/>
                </w:rPr>
                <w:t>http://www.asociacenno.cz/</w:t>
              </w:r>
            </w:hyperlink>
          </w:p>
        </w:tc>
      </w:tr>
      <w:tr w:rsidR="00400DD1" w:rsidRPr="00DD47DF" w14:paraId="4467AEA3" w14:textId="77777777">
        <w:trPr>
          <w:trHeight w:val="414"/>
        </w:trPr>
        <w:tc>
          <w:tcPr>
            <w:tcW w:w="2391" w:type="pct"/>
            <w:shd w:val="clear" w:color="auto" w:fill="auto"/>
            <w:vAlign w:val="center"/>
          </w:tcPr>
          <w:p w14:paraId="2BEABA11" w14:textId="77777777" w:rsidR="00400DD1" w:rsidRPr="00DD47DF" w:rsidRDefault="00400DD1" w:rsidP="00F23CDB">
            <w:pPr>
              <w:pStyle w:val="Tabulka"/>
              <w:jc w:val="left"/>
              <w:rPr>
                <w:rFonts w:cs="Calibri"/>
              </w:rPr>
            </w:pPr>
            <w:r w:rsidRPr="00DD47DF">
              <w:rPr>
                <w:rFonts w:cs="Calibri"/>
              </w:rPr>
              <w:t>Konfederace zaměstnavatelských a podnikatelských svazů</w:t>
            </w:r>
          </w:p>
        </w:tc>
        <w:tc>
          <w:tcPr>
            <w:tcW w:w="2609" w:type="pct"/>
            <w:shd w:val="clear" w:color="auto" w:fill="auto"/>
            <w:vAlign w:val="center"/>
          </w:tcPr>
          <w:p w14:paraId="66F0F158" w14:textId="77777777" w:rsidR="00400DD1" w:rsidRPr="00DD47DF" w:rsidRDefault="00580034" w:rsidP="00F23CDB">
            <w:pPr>
              <w:pStyle w:val="Tabulka"/>
              <w:jc w:val="left"/>
              <w:rPr>
                <w:rFonts w:cs="Calibri"/>
              </w:rPr>
            </w:pPr>
            <w:hyperlink r:id="rId212" w:history="1">
              <w:r w:rsidR="00400DD1" w:rsidRPr="00DD47DF">
                <w:rPr>
                  <w:rStyle w:val="Hypertextovodkaz"/>
                  <w:rFonts w:cs="Calibri"/>
                  <w:bCs/>
                </w:rPr>
                <w:t>http://www.kzps.cz/</w:t>
              </w:r>
            </w:hyperlink>
          </w:p>
        </w:tc>
      </w:tr>
      <w:tr w:rsidR="00400DD1" w:rsidRPr="00DD47DF" w14:paraId="336D8620" w14:textId="77777777">
        <w:trPr>
          <w:trHeight w:val="414"/>
        </w:trPr>
        <w:tc>
          <w:tcPr>
            <w:tcW w:w="2391" w:type="pct"/>
            <w:shd w:val="clear" w:color="auto" w:fill="auto"/>
            <w:vAlign w:val="center"/>
          </w:tcPr>
          <w:p w14:paraId="58A36BBF" w14:textId="77777777" w:rsidR="00400DD1" w:rsidRPr="00DD47DF" w:rsidRDefault="00400DD1" w:rsidP="00F23CDB">
            <w:pPr>
              <w:pStyle w:val="Tabulka"/>
              <w:jc w:val="left"/>
              <w:rPr>
                <w:rFonts w:cs="Calibri"/>
              </w:rPr>
            </w:pPr>
            <w:r w:rsidRPr="00DD47DF">
              <w:rPr>
                <w:rFonts w:cs="Calibri"/>
              </w:rPr>
              <w:t>Česká konference rektorů</w:t>
            </w:r>
          </w:p>
        </w:tc>
        <w:tc>
          <w:tcPr>
            <w:tcW w:w="2609" w:type="pct"/>
            <w:shd w:val="clear" w:color="auto" w:fill="auto"/>
            <w:vAlign w:val="center"/>
          </w:tcPr>
          <w:p w14:paraId="106951A3" w14:textId="77777777" w:rsidR="00400DD1" w:rsidRPr="00DD47DF" w:rsidRDefault="00580034" w:rsidP="00F23CDB">
            <w:pPr>
              <w:pStyle w:val="Tabulka"/>
              <w:jc w:val="left"/>
              <w:rPr>
                <w:rFonts w:cs="Calibri"/>
              </w:rPr>
            </w:pPr>
            <w:hyperlink r:id="rId213" w:history="1">
              <w:r w:rsidR="00400DD1" w:rsidRPr="00DD47DF">
                <w:rPr>
                  <w:rStyle w:val="Hypertextovodkaz"/>
                  <w:rFonts w:cs="Calibri"/>
                  <w:bCs/>
                </w:rPr>
                <w:t>http://crc.muni.cz/</w:t>
              </w:r>
            </w:hyperlink>
            <w:r w:rsidR="00400DD1" w:rsidRPr="00DD47DF">
              <w:rPr>
                <w:rFonts w:cs="Calibri"/>
              </w:rPr>
              <w:t xml:space="preserve"> </w:t>
            </w:r>
          </w:p>
        </w:tc>
      </w:tr>
      <w:tr w:rsidR="00400DD1" w:rsidRPr="00DD47DF" w14:paraId="35CAA394" w14:textId="77777777">
        <w:trPr>
          <w:trHeight w:val="414"/>
        </w:trPr>
        <w:tc>
          <w:tcPr>
            <w:tcW w:w="2391" w:type="pct"/>
            <w:shd w:val="clear" w:color="auto" w:fill="auto"/>
            <w:vAlign w:val="center"/>
          </w:tcPr>
          <w:p w14:paraId="0BBF3E0A" w14:textId="77777777" w:rsidR="00400DD1" w:rsidRPr="00DD47DF" w:rsidRDefault="00400DD1" w:rsidP="00F23CDB">
            <w:pPr>
              <w:pStyle w:val="Tabulka"/>
              <w:jc w:val="left"/>
              <w:rPr>
                <w:rFonts w:cs="Calibri"/>
              </w:rPr>
            </w:pPr>
            <w:r w:rsidRPr="00DD47DF">
              <w:rPr>
                <w:rFonts w:cs="Calibri"/>
              </w:rPr>
              <w:t>Univerzita Tomáše Bati</w:t>
            </w:r>
          </w:p>
        </w:tc>
        <w:tc>
          <w:tcPr>
            <w:tcW w:w="2609" w:type="pct"/>
            <w:shd w:val="clear" w:color="auto" w:fill="auto"/>
            <w:vAlign w:val="center"/>
          </w:tcPr>
          <w:p w14:paraId="42BBB2E4" w14:textId="77777777" w:rsidR="00400DD1" w:rsidRPr="00DD47DF" w:rsidRDefault="00580034" w:rsidP="00F23CDB">
            <w:pPr>
              <w:pStyle w:val="Tabulka"/>
              <w:jc w:val="left"/>
              <w:rPr>
                <w:rFonts w:cs="Calibri"/>
              </w:rPr>
            </w:pPr>
            <w:hyperlink r:id="rId214" w:history="1">
              <w:r w:rsidR="00400DD1" w:rsidRPr="00DD47DF">
                <w:rPr>
                  <w:rStyle w:val="Hypertextovodkaz"/>
                  <w:rFonts w:cs="Calibri"/>
                  <w:bCs/>
                </w:rPr>
                <w:t>http://www.utb.cz/</w:t>
              </w:r>
            </w:hyperlink>
            <w:r w:rsidR="00400DD1" w:rsidRPr="00DD47DF">
              <w:rPr>
                <w:rFonts w:cs="Calibri"/>
              </w:rPr>
              <w:t xml:space="preserve"> </w:t>
            </w:r>
          </w:p>
        </w:tc>
      </w:tr>
      <w:tr w:rsidR="00400DD1" w:rsidRPr="00DD47DF" w14:paraId="4E6ADEEE" w14:textId="77777777">
        <w:trPr>
          <w:trHeight w:val="414"/>
        </w:trPr>
        <w:tc>
          <w:tcPr>
            <w:tcW w:w="2391" w:type="pct"/>
            <w:shd w:val="clear" w:color="auto" w:fill="auto"/>
            <w:vAlign w:val="center"/>
          </w:tcPr>
          <w:p w14:paraId="39F23AEF" w14:textId="77777777" w:rsidR="00400DD1" w:rsidRPr="00DD47DF" w:rsidRDefault="00400DD1" w:rsidP="00F23CDB">
            <w:pPr>
              <w:pStyle w:val="Tabulka"/>
              <w:jc w:val="left"/>
              <w:rPr>
                <w:rFonts w:cs="Calibri"/>
              </w:rPr>
            </w:pPr>
            <w:r w:rsidRPr="00DD47DF">
              <w:rPr>
                <w:rFonts w:cs="Calibri"/>
              </w:rPr>
              <w:t>Národní síť Místních akčních skupin České republiky, o.s.</w:t>
            </w:r>
          </w:p>
        </w:tc>
        <w:tc>
          <w:tcPr>
            <w:tcW w:w="2609" w:type="pct"/>
            <w:shd w:val="clear" w:color="auto" w:fill="auto"/>
            <w:vAlign w:val="center"/>
          </w:tcPr>
          <w:p w14:paraId="1CCBB852" w14:textId="77777777" w:rsidR="00400DD1" w:rsidRPr="00DD47DF" w:rsidRDefault="00580034" w:rsidP="00F23CDB">
            <w:pPr>
              <w:pStyle w:val="Tabulka"/>
              <w:jc w:val="left"/>
              <w:rPr>
                <w:rFonts w:cs="Calibri"/>
              </w:rPr>
            </w:pPr>
            <w:hyperlink r:id="rId215" w:history="1">
              <w:r w:rsidR="00400DD1" w:rsidRPr="00DD47DF">
                <w:rPr>
                  <w:rStyle w:val="Hypertextovodkaz"/>
                  <w:rFonts w:cs="Calibri"/>
                  <w:bCs/>
                </w:rPr>
                <w:t>http://nsmascr.cz/o-nas/mistni-akncni-skupiny/</w:t>
              </w:r>
            </w:hyperlink>
          </w:p>
        </w:tc>
      </w:tr>
      <w:tr w:rsidR="00400DD1" w:rsidRPr="00DD47DF" w14:paraId="7560F03B" w14:textId="77777777">
        <w:trPr>
          <w:trHeight w:val="414"/>
        </w:trPr>
        <w:tc>
          <w:tcPr>
            <w:tcW w:w="2391" w:type="pct"/>
            <w:shd w:val="clear" w:color="auto" w:fill="auto"/>
            <w:vAlign w:val="center"/>
          </w:tcPr>
          <w:p w14:paraId="74F732B0" w14:textId="77777777" w:rsidR="00400DD1" w:rsidRPr="00DD47DF" w:rsidRDefault="00400DD1" w:rsidP="00F23CDB">
            <w:pPr>
              <w:pStyle w:val="Tabulka"/>
              <w:jc w:val="left"/>
              <w:rPr>
                <w:rFonts w:cs="Calibri"/>
              </w:rPr>
            </w:pPr>
            <w:r w:rsidRPr="00DD47DF">
              <w:rPr>
                <w:rFonts w:cs="Calibri"/>
              </w:rPr>
              <w:t>Hlavní město Praha</w:t>
            </w:r>
          </w:p>
        </w:tc>
        <w:tc>
          <w:tcPr>
            <w:tcW w:w="2609" w:type="pct"/>
            <w:shd w:val="clear" w:color="auto" w:fill="auto"/>
            <w:vAlign w:val="center"/>
          </w:tcPr>
          <w:p w14:paraId="4A608F29" w14:textId="77777777" w:rsidR="00400DD1" w:rsidRPr="00DD47DF" w:rsidRDefault="00580034" w:rsidP="00F23CDB">
            <w:pPr>
              <w:pStyle w:val="Tabulka"/>
              <w:jc w:val="left"/>
              <w:rPr>
                <w:rFonts w:cs="Calibri"/>
              </w:rPr>
            </w:pPr>
            <w:hyperlink r:id="rId216" w:history="1">
              <w:r w:rsidR="00400DD1" w:rsidRPr="00DD47DF">
                <w:rPr>
                  <w:rStyle w:val="Hypertextovodkaz"/>
                  <w:rFonts w:cs="Calibri"/>
                  <w:bCs/>
                </w:rPr>
                <w:t>http://www.praha.eu/jnp/cz/home/index.html</w:t>
              </w:r>
            </w:hyperlink>
          </w:p>
        </w:tc>
      </w:tr>
      <w:tr w:rsidR="00400DD1" w:rsidRPr="00DD47DF" w14:paraId="29F04FF6" w14:textId="77777777">
        <w:trPr>
          <w:trHeight w:val="414"/>
        </w:trPr>
        <w:tc>
          <w:tcPr>
            <w:tcW w:w="2391" w:type="pct"/>
            <w:shd w:val="clear" w:color="auto" w:fill="auto"/>
            <w:vAlign w:val="center"/>
          </w:tcPr>
          <w:p w14:paraId="22ED0D8F" w14:textId="77777777" w:rsidR="00400DD1" w:rsidRPr="00DD47DF" w:rsidRDefault="00400DD1" w:rsidP="00F23CDB">
            <w:pPr>
              <w:pStyle w:val="Tabulka"/>
              <w:jc w:val="left"/>
              <w:rPr>
                <w:rFonts w:cs="Calibri"/>
              </w:rPr>
            </w:pPr>
            <w:r w:rsidRPr="00DD47DF">
              <w:rPr>
                <w:rFonts w:cs="Calibri"/>
              </w:rPr>
              <w:t>RNDr. Marek Blažka</w:t>
            </w:r>
          </w:p>
        </w:tc>
        <w:tc>
          <w:tcPr>
            <w:tcW w:w="2609" w:type="pct"/>
            <w:shd w:val="clear" w:color="auto" w:fill="auto"/>
            <w:vAlign w:val="center"/>
          </w:tcPr>
          <w:p w14:paraId="7B2DDFD1" w14:textId="77777777" w:rsidR="00400DD1" w:rsidRPr="00DD47DF" w:rsidRDefault="00400DD1" w:rsidP="00F23CDB">
            <w:pPr>
              <w:pStyle w:val="Tabulka"/>
              <w:jc w:val="left"/>
              <w:rPr>
                <w:rFonts w:cs="Calibri"/>
              </w:rPr>
            </w:pPr>
          </w:p>
        </w:tc>
      </w:tr>
    </w:tbl>
    <w:p w14:paraId="03384DBD"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912"/>
      </w:tblGrid>
      <w:tr w:rsidR="00400DD1" w:rsidRPr="00DD47DF" w14:paraId="198EE30A" w14:textId="77777777">
        <w:trPr>
          <w:trHeight w:val="414"/>
        </w:trPr>
        <w:tc>
          <w:tcPr>
            <w:tcW w:w="5000" w:type="pct"/>
            <w:gridSpan w:val="2"/>
            <w:shd w:val="clear" w:color="auto" w:fill="DBE5F1"/>
            <w:vAlign w:val="center"/>
          </w:tcPr>
          <w:p w14:paraId="220AF612" w14:textId="77777777" w:rsidR="00400DD1" w:rsidRPr="00DD47DF" w:rsidRDefault="005F4918" w:rsidP="004126CC">
            <w:pPr>
              <w:pStyle w:val="Tabulka"/>
              <w:keepNext/>
              <w:keepLines/>
              <w:rPr>
                <w:rFonts w:cs="Calibri"/>
                <w:b/>
              </w:rPr>
            </w:pPr>
            <w:r w:rsidRPr="00DD47DF">
              <w:rPr>
                <w:rFonts w:cs="Calibri"/>
                <w:b/>
              </w:rPr>
              <w:t xml:space="preserve">PS </w:t>
            </w:r>
            <w:r w:rsidR="00400DD1" w:rsidRPr="00DD47DF">
              <w:rPr>
                <w:rFonts w:cs="Calibri"/>
                <w:b/>
              </w:rPr>
              <w:t>2 „</w:t>
            </w:r>
            <w:r w:rsidR="005821F5" w:rsidRPr="00DD47DF">
              <w:rPr>
                <w:rFonts w:cs="Calibri"/>
                <w:b/>
              </w:rPr>
              <w:t>Rozvoj podnikání a konkurenceschopnosti malých a středních podniků</w:t>
            </w:r>
            <w:r w:rsidR="00400DD1" w:rsidRPr="00DD47DF">
              <w:rPr>
                <w:rFonts w:cs="Calibri"/>
                <w:b/>
              </w:rPr>
              <w:t>“</w:t>
            </w:r>
          </w:p>
        </w:tc>
      </w:tr>
      <w:tr w:rsidR="00400DD1" w:rsidRPr="00DD47DF" w14:paraId="3240E00F" w14:textId="77777777">
        <w:trPr>
          <w:trHeight w:val="414"/>
        </w:trPr>
        <w:tc>
          <w:tcPr>
            <w:tcW w:w="2395" w:type="pct"/>
            <w:shd w:val="clear" w:color="auto" w:fill="auto"/>
            <w:vAlign w:val="center"/>
          </w:tcPr>
          <w:p w14:paraId="19A8C097" w14:textId="77777777" w:rsidR="00400DD1" w:rsidRPr="00DD47DF" w:rsidRDefault="00400DD1" w:rsidP="004126CC">
            <w:pPr>
              <w:pStyle w:val="Tabulka"/>
              <w:keepNext/>
              <w:keepLines/>
              <w:jc w:val="left"/>
              <w:rPr>
                <w:rFonts w:cs="Calibri"/>
              </w:rPr>
            </w:pPr>
            <w:r w:rsidRPr="00DD47DF">
              <w:rPr>
                <w:rFonts w:cs="Calibri"/>
              </w:rPr>
              <w:t>Ministerstvo školství, mládeže a tělovýchovy</w:t>
            </w:r>
          </w:p>
        </w:tc>
        <w:tc>
          <w:tcPr>
            <w:tcW w:w="2605" w:type="pct"/>
            <w:shd w:val="clear" w:color="auto" w:fill="auto"/>
            <w:vAlign w:val="center"/>
          </w:tcPr>
          <w:p w14:paraId="79F11F0B" w14:textId="77777777" w:rsidR="00400DD1" w:rsidRPr="00DD47DF" w:rsidRDefault="00580034" w:rsidP="004126CC">
            <w:pPr>
              <w:pStyle w:val="Tabulka"/>
              <w:keepNext/>
              <w:keepLines/>
              <w:jc w:val="left"/>
              <w:rPr>
                <w:rFonts w:cs="Calibri"/>
              </w:rPr>
            </w:pPr>
            <w:hyperlink r:id="rId217" w:history="1">
              <w:r w:rsidR="00400DD1" w:rsidRPr="00DD47DF">
                <w:rPr>
                  <w:rStyle w:val="Hypertextovodkaz"/>
                  <w:rFonts w:cs="Calibri"/>
                  <w:bCs/>
                </w:rPr>
                <w:t>http://www.msmt.cz/</w:t>
              </w:r>
            </w:hyperlink>
          </w:p>
        </w:tc>
      </w:tr>
      <w:tr w:rsidR="00400DD1" w:rsidRPr="00DD47DF" w14:paraId="7C92D2BF" w14:textId="77777777">
        <w:trPr>
          <w:trHeight w:val="414"/>
        </w:trPr>
        <w:tc>
          <w:tcPr>
            <w:tcW w:w="2395" w:type="pct"/>
            <w:shd w:val="clear" w:color="auto" w:fill="auto"/>
            <w:vAlign w:val="center"/>
          </w:tcPr>
          <w:p w14:paraId="7DE06B0C" w14:textId="77777777" w:rsidR="00400DD1" w:rsidRPr="00DD47DF" w:rsidRDefault="000E47D9" w:rsidP="00F23CDB">
            <w:pPr>
              <w:pStyle w:val="Tabulka"/>
              <w:jc w:val="left"/>
              <w:rPr>
                <w:rFonts w:cs="Calibri"/>
              </w:rPr>
            </w:pPr>
            <w:r w:rsidRPr="00DD47DF">
              <w:rPr>
                <w:rFonts w:cs="Calibri"/>
              </w:rPr>
              <w:t>Ministerstvo kultury</w:t>
            </w:r>
          </w:p>
        </w:tc>
        <w:tc>
          <w:tcPr>
            <w:tcW w:w="2605" w:type="pct"/>
            <w:shd w:val="clear" w:color="auto" w:fill="auto"/>
            <w:vAlign w:val="center"/>
          </w:tcPr>
          <w:p w14:paraId="2577B621" w14:textId="77777777" w:rsidR="00400DD1" w:rsidRPr="00DD47DF" w:rsidRDefault="00580034" w:rsidP="00F23CDB">
            <w:pPr>
              <w:pStyle w:val="Tabulka"/>
              <w:jc w:val="left"/>
              <w:rPr>
                <w:rFonts w:cs="Calibri"/>
              </w:rPr>
            </w:pPr>
            <w:hyperlink r:id="rId218" w:history="1">
              <w:r w:rsidR="00400DD1" w:rsidRPr="00DD47DF">
                <w:rPr>
                  <w:rStyle w:val="Hypertextovodkaz"/>
                  <w:rFonts w:cs="Calibri"/>
                  <w:bCs/>
                </w:rPr>
                <w:t>http://www.mkcr.cz/</w:t>
              </w:r>
            </w:hyperlink>
            <w:r w:rsidR="00400DD1" w:rsidRPr="00DD47DF">
              <w:rPr>
                <w:rFonts w:cs="Calibri"/>
              </w:rPr>
              <w:t xml:space="preserve"> </w:t>
            </w:r>
          </w:p>
        </w:tc>
      </w:tr>
      <w:tr w:rsidR="00400DD1" w:rsidRPr="00DD47DF" w14:paraId="3DAAAE08" w14:textId="77777777">
        <w:trPr>
          <w:trHeight w:val="414"/>
        </w:trPr>
        <w:tc>
          <w:tcPr>
            <w:tcW w:w="2395" w:type="pct"/>
            <w:shd w:val="clear" w:color="auto" w:fill="auto"/>
            <w:vAlign w:val="center"/>
          </w:tcPr>
          <w:p w14:paraId="27ABE386" w14:textId="77777777" w:rsidR="00400DD1" w:rsidRPr="00DD47DF" w:rsidRDefault="00400DD1" w:rsidP="00F23CDB">
            <w:pPr>
              <w:pStyle w:val="Tabulka"/>
              <w:jc w:val="left"/>
              <w:rPr>
                <w:rFonts w:cs="Calibri"/>
              </w:rPr>
            </w:pPr>
            <w:r w:rsidRPr="00DD47DF">
              <w:rPr>
                <w:rFonts w:cs="Calibri"/>
              </w:rPr>
              <w:t>Ministe</w:t>
            </w:r>
            <w:r w:rsidR="000E47D9" w:rsidRPr="00DD47DF">
              <w:rPr>
                <w:rFonts w:cs="Calibri"/>
              </w:rPr>
              <w:t>rstvo práce a sociálních věcí</w:t>
            </w:r>
          </w:p>
        </w:tc>
        <w:tc>
          <w:tcPr>
            <w:tcW w:w="2605" w:type="pct"/>
            <w:shd w:val="clear" w:color="auto" w:fill="auto"/>
            <w:vAlign w:val="center"/>
          </w:tcPr>
          <w:p w14:paraId="08444228" w14:textId="77777777" w:rsidR="00400DD1" w:rsidRPr="00DD47DF" w:rsidRDefault="00580034" w:rsidP="00F23CDB">
            <w:pPr>
              <w:pStyle w:val="Tabulka"/>
              <w:jc w:val="left"/>
              <w:rPr>
                <w:rFonts w:cs="Calibri"/>
              </w:rPr>
            </w:pPr>
            <w:hyperlink r:id="rId219" w:history="1">
              <w:r w:rsidR="00400DD1" w:rsidRPr="00DD47DF">
                <w:rPr>
                  <w:rStyle w:val="Hypertextovodkaz"/>
                  <w:rFonts w:cs="Calibri"/>
                  <w:bCs/>
                </w:rPr>
                <w:t>http://www.mpsv.cz/cs/</w:t>
              </w:r>
            </w:hyperlink>
            <w:r w:rsidR="00400DD1" w:rsidRPr="00DD47DF">
              <w:rPr>
                <w:rFonts w:cs="Calibri"/>
              </w:rPr>
              <w:t xml:space="preserve"> </w:t>
            </w:r>
          </w:p>
        </w:tc>
      </w:tr>
      <w:tr w:rsidR="00400DD1" w:rsidRPr="00DD47DF" w14:paraId="17969D1E" w14:textId="77777777">
        <w:trPr>
          <w:trHeight w:val="414"/>
        </w:trPr>
        <w:tc>
          <w:tcPr>
            <w:tcW w:w="2395" w:type="pct"/>
            <w:shd w:val="clear" w:color="auto" w:fill="auto"/>
            <w:vAlign w:val="center"/>
          </w:tcPr>
          <w:p w14:paraId="57E336E8" w14:textId="77777777" w:rsidR="00400DD1" w:rsidRPr="00DD47DF" w:rsidRDefault="00400DD1" w:rsidP="00F23CDB">
            <w:pPr>
              <w:pStyle w:val="Tabulka"/>
              <w:jc w:val="left"/>
              <w:rPr>
                <w:rFonts w:cs="Calibri"/>
              </w:rPr>
            </w:pPr>
            <w:r w:rsidRPr="00DD47DF">
              <w:rPr>
                <w:rFonts w:cs="Calibri"/>
              </w:rPr>
              <w:lastRenderedPageBreak/>
              <w:t>Ministers</w:t>
            </w:r>
            <w:r w:rsidR="000E47D9" w:rsidRPr="00DD47DF">
              <w:rPr>
                <w:rFonts w:cs="Calibri"/>
              </w:rPr>
              <w:t>tvo dopravy</w:t>
            </w:r>
          </w:p>
        </w:tc>
        <w:tc>
          <w:tcPr>
            <w:tcW w:w="2605" w:type="pct"/>
            <w:shd w:val="clear" w:color="auto" w:fill="auto"/>
            <w:vAlign w:val="center"/>
          </w:tcPr>
          <w:p w14:paraId="42BE3F7E" w14:textId="77777777" w:rsidR="00400DD1" w:rsidRPr="00DD47DF" w:rsidRDefault="00580034" w:rsidP="00F23CDB">
            <w:pPr>
              <w:pStyle w:val="Tabulka"/>
              <w:jc w:val="left"/>
              <w:rPr>
                <w:rFonts w:cs="Calibri"/>
              </w:rPr>
            </w:pPr>
            <w:hyperlink r:id="rId220" w:history="1">
              <w:r w:rsidR="00400DD1" w:rsidRPr="00DD47DF">
                <w:rPr>
                  <w:rStyle w:val="Hypertextovodkaz"/>
                  <w:rFonts w:cs="Calibri"/>
                  <w:bCs/>
                </w:rPr>
                <w:t>http://www.mdcr.cz/cs/default.htm</w:t>
              </w:r>
            </w:hyperlink>
            <w:r w:rsidR="00400DD1" w:rsidRPr="00DD47DF">
              <w:rPr>
                <w:rFonts w:cs="Calibri"/>
              </w:rPr>
              <w:t xml:space="preserve"> </w:t>
            </w:r>
          </w:p>
        </w:tc>
      </w:tr>
      <w:tr w:rsidR="00400DD1" w:rsidRPr="00DD47DF" w14:paraId="4D79B89C" w14:textId="77777777">
        <w:trPr>
          <w:trHeight w:val="414"/>
        </w:trPr>
        <w:tc>
          <w:tcPr>
            <w:tcW w:w="2395" w:type="pct"/>
            <w:shd w:val="clear" w:color="auto" w:fill="auto"/>
            <w:vAlign w:val="center"/>
          </w:tcPr>
          <w:p w14:paraId="0816414C" w14:textId="77777777" w:rsidR="00400DD1" w:rsidRPr="00DD47DF" w:rsidRDefault="00400DD1" w:rsidP="00F23CDB">
            <w:pPr>
              <w:pStyle w:val="Tabulka"/>
              <w:jc w:val="left"/>
              <w:rPr>
                <w:rFonts w:cs="Calibri"/>
              </w:rPr>
            </w:pPr>
            <w:r w:rsidRPr="00DD47DF">
              <w:rPr>
                <w:rFonts w:cs="Calibri"/>
              </w:rPr>
              <w:t>Jihomoravské inovační centrum</w:t>
            </w:r>
          </w:p>
        </w:tc>
        <w:tc>
          <w:tcPr>
            <w:tcW w:w="2605" w:type="pct"/>
            <w:shd w:val="clear" w:color="auto" w:fill="auto"/>
            <w:vAlign w:val="center"/>
          </w:tcPr>
          <w:p w14:paraId="58D3B954" w14:textId="77777777" w:rsidR="00400DD1" w:rsidRPr="00DD47DF" w:rsidRDefault="00580034" w:rsidP="00F23CDB">
            <w:pPr>
              <w:pStyle w:val="Tabulka"/>
              <w:jc w:val="left"/>
              <w:rPr>
                <w:rFonts w:cs="Calibri"/>
              </w:rPr>
            </w:pPr>
            <w:hyperlink r:id="rId221" w:history="1">
              <w:r w:rsidR="00400DD1" w:rsidRPr="00DD47DF">
                <w:rPr>
                  <w:rStyle w:val="Hypertextovodkaz"/>
                  <w:rFonts w:cs="Calibri"/>
                  <w:bCs/>
                </w:rPr>
                <w:t>http://www.jic.cz/</w:t>
              </w:r>
            </w:hyperlink>
            <w:r w:rsidR="00400DD1" w:rsidRPr="00DD47DF">
              <w:rPr>
                <w:rFonts w:cs="Calibri"/>
              </w:rPr>
              <w:t xml:space="preserve"> </w:t>
            </w:r>
          </w:p>
        </w:tc>
      </w:tr>
      <w:tr w:rsidR="00400DD1" w:rsidRPr="00DD47DF" w14:paraId="405A127D" w14:textId="77777777">
        <w:trPr>
          <w:trHeight w:val="414"/>
        </w:trPr>
        <w:tc>
          <w:tcPr>
            <w:tcW w:w="2395" w:type="pct"/>
            <w:shd w:val="clear" w:color="auto" w:fill="auto"/>
            <w:vAlign w:val="center"/>
          </w:tcPr>
          <w:p w14:paraId="51AC247E" w14:textId="77777777" w:rsidR="00400DD1" w:rsidRPr="00DD47DF" w:rsidRDefault="00400DD1" w:rsidP="00F23CDB">
            <w:pPr>
              <w:pStyle w:val="Tabulka"/>
              <w:jc w:val="left"/>
              <w:rPr>
                <w:rFonts w:cs="Calibri"/>
              </w:rPr>
            </w:pPr>
            <w:r w:rsidRPr="00DD47DF">
              <w:rPr>
                <w:rFonts w:cs="Calibri"/>
              </w:rPr>
              <w:t>Technologická agentura ČR</w:t>
            </w:r>
          </w:p>
        </w:tc>
        <w:tc>
          <w:tcPr>
            <w:tcW w:w="2605" w:type="pct"/>
            <w:shd w:val="clear" w:color="auto" w:fill="auto"/>
            <w:vAlign w:val="center"/>
          </w:tcPr>
          <w:p w14:paraId="5400DE39" w14:textId="77777777" w:rsidR="00400DD1" w:rsidRPr="00DD47DF" w:rsidRDefault="00580034" w:rsidP="00F23CDB">
            <w:pPr>
              <w:pStyle w:val="Tabulka"/>
              <w:jc w:val="left"/>
              <w:rPr>
                <w:rFonts w:cs="Calibri"/>
              </w:rPr>
            </w:pPr>
            <w:hyperlink r:id="rId222" w:history="1">
              <w:r w:rsidR="00400DD1" w:rsidRPr="00DD47DF">
                <w:rPr>
                  <w:rStyle w:val="Hypertextovodkaz"/>
                  <w:rFonts w:cs="Calibri"/>
                  <w:bCs/>
                </w:rPr>
                <w:t>http://tacr.cz/</w:t>
              </w:r>
            </w:hyperlink>
          </w:p>
        </w:tc>
      </w:tr>
      <w:tr w:rsidR="00400DD1" w:rsidRPr="00DD47DF" w14:paraId="0F2A05D5" w14:textId="77777777">
        <w:trPr>
          <w:trHeight w:val="414"/>
        </w:trPr>
        <w:tc>
          <w:tcPr>
            <w:tcW w:w="2395" w:type="pct"/>
            <w:shd w:val="clear" w:color="auto" w:fill="auto"/>
            <w:vAlign w:val="center"/>
          </w:tcPr>
          <w:p w14:paraId="5A8420D2" w14:textId="77777777" w:rsidR="00400DD1" w:rsidRPr="00DD47DF" w:rsidRDefault="00400DD1" w:rsidP="00F23CDB">
            <w:pPr>
              <w:pStyle w:val="Tabulka"/>
              <w:jc w:val="left"/>
              <w:rPr>
                <w:rFonts w:cs="Calibri"/>
              </w:rPr>
            </w:pPr>
            <w:r w:rsidRPr="00DD47DF">
              <w:rPr>
                <w:rFonts w:cs="Calibri"/>
              </w:rPr>
              <w:t>Hospodářská komora ČR</w:t>
            </w:r>
          </w:p>
        </w:tc>
        <w:tc>
          <w:tcPr>
            <w:tcW w:w="2605" w:type="pct"/>
            <w:shd w:val="clear" w:color="auto" w:fill="auto"/>
            <w:vAlign w:val="center"/>
          </w:tcPr>
          <w:p w14:paraId="19EC0935" w14:textId="77777777" w:rsidR="00400DD1" w:rsidRPr="00DD47DF" w:rsidRDefault="00580034" w:rsidP="00F23CDB">
            <w:pPr>
              <w:pStyle w:val="Tabulka"/>
              <w:jc w:val="left"/>
              <w:rPr>
                <w:rFonts w:cs="Calibri"/>
              </w:rPr>
            </w:pPr>
            <w:hyperlink r:id="rId223" w:history="1">
              <w:r w:rsidR="00400DD1" w:rsidRPr="00DD47DF">
                <w:rPr>
                  <w:rStyle w:val="Hypertextovodkaz"/>
                  <w:rFonts w:cs="Calibri"/>
                  <w:bCs/>
                </w:rPr>
                <w:t>http://www.komora.cz/</w:t>
              </w:r>
            </w:hyperlink>
          </w:p>
        </w:tc>
      </w:tr>
      <w:tr w:rsidR="00400DD1" w:rsidRPr="00DD47DF" w14:paraId="1E83604B" w14:textId="77777777">
        <w:trPr>
          <w:trHeight w:val="414"/>
        </w:trPr>
        <w:tc>
          <w:tcPr>
            <w:tcW w:w="2395" w:type="pct"/>
            <w:shd w:val="clear" w:color="auto" w:fill="auto"/>
            <w:vAlign w:val="center"/>
          </w:tcPr>
          <w:p w14:paraId="5A2E6C1B" w14:textId="77777777" w:rsidR="00400DD1" w:rsidRPr="00DD47DF" w:rsidRDefault="00400DD1" w:rsidP="00F23CDB">
            <w:pPr>
              <w:pStyle w:val="Tabulka"/>
              <w:jc w:val="left"/>
              <w:rPr>
                <w:rFonts w:cs="Calibri"/>
              </w:rPr>
            </w:pPr>
            <w:r w:rsidRPr="00DD47DF">
              <w:rPr>
                <w:rFonts w:cs="Calibri"/>
              </w:rPr>
              <w:t>Českomoravská záruční a rozvojová banka</w:t>
            </w:r>
          </w:p>
        </w:tc>
        <w:tc>
          <w:tcPr>
            <w:tcW w:w="2605" w:type="pct"/>
            <w:shd w:val="clear" w:color="auto" w:fill="auto"/>
            <w:vAlign w:val="center"/>
          </w:tcPr>
          <w:p w14:paraId="41F63CB2" w14:textId="77777777" w:rsidR="00400DD1" w:rsidRPr="00DD47DF" w:rsidRDefault="00580034" w:rsidP="00F23CDB">
            <w:pPr>
              <w:pStyle w:val="Tabulka"/>
              <w:jc w:val="left"/>
              <w:rPr>
                <w:rFonts w:cs="Calibri"/>
              </w:rPr>
            </w:pPr>
            <w:hyperlink r:id="rId224" w:history="1">
              <w:r w:rsidR="00400DD1" w:rsidRPr="00DD47DF">
                <w:rPr>
                  <w:rStyle w:val="Hypertextovodkaz"/>
                  <w:rFonts w:cs="Calibri"/>
                  <w:bCs/>
                </w:rPr>
                <w:t>http://www.cmzrb.cz/</w:t>
              </w:r>
            </w:hyperlink>
            <w:r w:rsidR="00400DD1" w:rsidRPr="00DD47DF">
              <w:rPr>
                <w:rFonts w:cs="Calibri"/>
              </w:rPr>
              <w:t xml:space="preserve"> </w:t>
            </w:r>
          </w:p>
        </w:tc>
      </w:tr>
      <w:tr w:rsidR="00400DD1" w:rsidRPr="00DD47DF" w14:paraId="725F456D" w14:textId="77777777">
        <w:trPr>
          <w:trHeight w:val="414"/>
        </w:trPr>
        <w:tc>
          <w:tcPr>
            <w:tcW w:w="2395" w:type="pct"/>
            <w:shd w:val="clear" w:color="auto" w:fill="auto"/>
            <w:vAlign w:val="center"/>
          </w:tcPr>
          <w:p w14:paraId="3111D8BE" w14:textId="77777777" w:rsidR="00400DD1" w:rsidRPr="00DD47DF" w:rsidRDefault="00400DD1" w:rsidP="00F23CDB">
            <w:pPr>
              <w:pStyle w:val="Tabulka"/>
              <w:jc w:val="left"/>
              <w:rPr>
                <w:rFonts w:cs="Calibri"/>
              </w:rPr>
            </w:pPr>
            <w:r w:rsidRPr="00DD47DF">
              <w:rPr>
                <w:rFonts w:cs="Calibri"/>
              </w:rPr>
              <w:t>Svaz průmyslu a dopravy ČR</w:t>
            </w:r>
          </w:p>
        </w:tc>
        <w:tc>
          <w:tcPr>
            <w:tcW w:w="2605" w:type="pct"/>
            <w:shd w:val="clear" w:color="auto" w:fill="auto"/>
            <w:vAlign w:val="center"/>
          </w:tcPr>
          <w:p w14:paraId="14B4AD0B" w14:textId="77777777" w:rsidR="00400DD1" w:rsidRPr="00DD47DF" w:rsidRDefault="00580034" w:rsidP="00F23CDB">
            <w:pPr>
              <w:pStyle w:val="Tabulka"/>
              <w:jc w:val="left"/>
              <w:rPr>
                <w:rFonts w:cs="Calibri"/>
              </w:rPr>
            </w:pPr>
            <w:hyperlink r:id="rId225" w:history="1">
              <w:r w:rsidR="00400DD1" w:rsidRPr="00DD47DF">
                <w:rPr>
                  <w:rStyle w:val="Hypertextovodkaz"/>
                  <w:rFonts w:cs="Calibri"/>
                  <w:bCs/>
                </w:rPr>
                <w:t>http://www.spcr.cz/</w:t>
              </w:r>
            </w:hyperlink>
          </w:p>
        </w:tc>
      </w:tr>
      <w:tr w:rsidR="00400DD1" w:rsidRPr="00DD47DF" w14:paraId="79A0E321" w14:textId="77777777">
        <w:trPr>
          <w:trHeight w:val="414"/>
        </w:trPr>
        <w:tc>
          <w:tcPr>
            <w:tcW w:w="2395" w:type="pct"/>
            <w:shd w:val="clear" w:color="auto" w:fill="auto"/>
            <w:vAlign w:val="center"/>
          </w:tcPr>
          <w:p w14:paraId="4BF75CE9" w14:textId="77777777" w:rsidR="00400DD1" w:rsidRPr="00DD47DF" w:rsidRDefault="00400DD1" w:rsidP="00F23CDB">
            <w:pPr>
              <w:pStyle w:val="Tabulka"/>
              <w:jc w:val="left"/>
              <w:rPr>
                <w:rFonts w:cs="Calibri"/>
              </w:rPr>
            </w:pPr>
            <w:r w:rsidRPr="00DD47DF">
              <w:rPr>
                <w:rFonts w:cs="Calibri"/>
              </w:rPr>
              <w:t>Svaz obchodu a cestovního ruchu</w:t>
            </w:r>
          </w:p>
        </w:tc>
        <w:tc>
          <w:tcPr>
            <w:tcW w:w="2605" w:type="pct"/>
            <w:shd w:val="clear" w:color="auto" w:fill="auto"/>
            <w:vAlign w:val="center"/>
          </w:tcPr>
          <w:p w14:paraId="6BB4294A" w14:textId="77777777" w:rsidR="00400DD1" w:rsidRPr="00DD47DF" w:rsidRDefault="00580034" w:rsidP="00F23CDB">
            <w:pPr>
              <w:pStyle w:val="Tabulka"/>
              <w:jc w:val="left"/>
              <w:rPr>
                <w:rFonts w:cs="Calibri"/>
              </w:rPr>
            </w:pPr>
            <w:hyperlink r:id="rId226" w:history="1">
              <w:r w:rsidR="00400DD1" w:rsidRPr="00DD47DF">
                <w:rPr>
                  <w:rStyle w:val="Hypertextovodkaz"/>
                  <w:rFonts w:cs="Calibri"/>
                  <w:bCs/>
                </w:rPr>
                <w:t>http://www.socr.cz/</w:t>
              </w:r>
            </w:hyperlink>
            <w:r w:rsidR="00400DD1" w:rsidRPr="00DD47DF">
              <w:rPr>
                <w:rFonts w:cs="Calibri"/>
              </w:rPr>
              <w:t xml:space="preserve"> </w:t>
            </w:r>
          </w:p>
        </w:tc>
      </w:tr>
      <w:tr w:rsidR="00400DD1" w:rsidRPr="00DD47DF" w14:paraId="5BB0B829" w14:textId="77777777">
        <w:trPr>
          <w:trHeight w:val="414"/>
        </w:trPr>
        <w:tc>
          <w:tcPr>
            <w:tcW w:w="2395" w:type="pct"/>
            <w:shd w:val="clear" w:color="auto" w:fill="auto"/>
            <w:vAlign w:val="center"/>
          </w:tcPr>
          <w:p w14:paraId="2C3674E2" w14:textId="77777777" w:rsidR="00400DD1" w:rsidRPr="00DD47DF" w:rsidRDefault="00400DD1" w:rsidP="00F23CDB">
            <w:pPr>
              <w:pStyle w:val="Tabulka"/>
              <w:jc w:val="left"/>
              <w:rPr>
                <w:rFonts w:cs="Calibri"/>
              </w:rPr>
            </w:pPr>
            <w:r w:rsidRPr="00DD47DF">
              <w:rPr>
                <w:rFonts w:cs="Calibri"/>
              </w:rPr>
              <w:t>Svaz podnikatelů ve stavebnictví</w:t>
            </w:r>
          </w:p>
        </w:tc>
        <w:tc>
          <w:tcPr>
            <w:tcW w:w="2605" w:type="pct"/>
            <w:shd w:val="clear" w:color="auto" w:fill="auto"/>
            <w:vAlign w:val="center"/>
          </w:tcPr>
          <w:p w14:paraId="402EBA5F" w14:textId="77777777" w:rsidR="00400DD1" w:rsidRPr="00DD47DF" w:rsidRDefault="00580034" w:rsidP="00F23CDB">
            <w:pPr>
              <w:pStyle w:val="Tabulka"/>
              <w:jc w:val="left"/>
              <w:rPr>
                <w:rFonts w:cs="Calibri"/>
              </w:rPr>
            </w:pPr>
            <w:hyperlink r:id="rId227" w:history="1">
              <w:r w:rsidR="00400DD1" w:rsidRPr="00DD47DF">
                <w:rPr>
                  <w:rStyle w:val="Hypertextovodkaz"/>
                  <w:rFonts w:cs="Calibri"/>
                  <w:bCs/>
                </w:rPr>
                <w:t>http://www.sps.cz/index.ASP</w:t>
              </w:r>
            </w:hyperlink>
            <w:r w:rsidR="00400DD1" w:rsidRPr="00DD47DF">
              <w:rPr>
                <w:rFonts w:cs="Calibri"/>
              </w:rPr>
              <w:t xml:space="preserve"> </w:t>
            </w:r>
          </w:p>
        </w:tc>
      </w:tr>
      <w:tr w:rsidR="00400DD1" w:rsidRPr="00DD47DF" w14:paraId="563AF024" w14:textId="77777777">
        <w:trPr>
          <w:trHeight w:val="414"/>
        </w:trPr>
        <w:tc>
          <w:tcPr>
            <w:tcW w:w="2395" w:type="pct"/>
            <w:shd w:val="clear" w:color="auto" w:fill="auto"/>
            <w:vAlign w:val="center"/>
          </w:tcPr>
          <w:p w14:paraId="2595DB15" w14:textId="77777777" w:rsidR="00400DD1" w:rsidRPr="00DD47DF" w:rsidRDefault="00400DD1" w:rsidP="00F23CDB">
            <w:pPr>
              <w:pStyle w:val="Tabulka"/>
              <w:jc w:val="left"/>
              <w:rPr>
                <w:rFonts w:cs="Calibri"/>
              </w:rPr>
            </w:pPr>
            <w:r w:rsidRPr="00DD47DF">
              <w:rPr>
                <w:rFonts w:cs="Calibri"/>
              </w:rPr>
              <w:t>Svaz českých a moravských výrobních družstev</w:t>
            </w:r>
          </w:p>
        </w:tc>
        <w:tc>
          <w:tcPr>
            <w:tcW w:w="2605" w:type="pct"/>
            <w:shd w:val="clear" w:color="auto" w:fill="auto"/>
            <w:vAlign w:val="center"/>
          </w:tcPr>
          <w:p w14:paraId="01027479" w14:textId="77777777" w:rsidR="00400DD1" w:rsidRPr="00DD47DF" w:rsidRDefault="00580034" w:rsidP="00F23CDB">
            <w:pPr>
              <w:pStyle w:val="Tabulka"/>
              <w:jc w:val="left"/>
              <w:rPr>
                <w:rFonts w:cs="Calibri"/>
              </w:rPr>
            </w:pPr>
            <w:hyperlink r:id="rId228" w:history="1">
              <w:r w:rsidR="00400DD1" w:rsidRPr="00DD47DF">
                <w:rPr>
                  <w:rStyle w:val="Hypertextovodkaz"/>
                  <w:rFonts w:cs="Calibri"/>
                  <w:bCs/>
                </w:rPr>
                <w:t>http://www.scmvd.cz/</w:t>
              </w:r>
            </w:hyperlink>
            <w:r w:rsidR="00400DD1" w:rsidRPr="00DD47DF">
              <w:rPr>
                <w:rFonts w:cs="Calibri"/>
              </w:rPr>
              <w:t xml:space="preserve"> </w:t>
            </w:r>
          </w:p>
        </w:tc>
      </w:tr>
      <w:tr w:rsidR="00400DD1" w:rsidRPr="00DD47DF" w14:paraId="4B70C5D6" w14:textId="77777777">
        <w:trPr>
          <w:trHeight w:val="414"/>
        </w:trPr>
        <w:tc>
          <w:tcPr>
            <w:tcW w:w="2395" w:type="pct"/>
            <w:shd w:val="clear" w:color="auto" w:fill="auto"/>
            <w:vAlign w:val="center"/>
          </w:tcPr>
          <w:p w14:paraId="2E1B7909" w14:textId="77777777" w:rsidR="00400DD1" w:rsidRPr="00DD47DF" w:rsidRDefault="00400DD1" w:rsidP="00F23CDB">
            <w:pPr>
              <w:pStyle w:val="Tabulka"/>
              <w:jc w:val="left"/>
              <w:rPr>
                <w:rFonts w:cs="Calibri"/>
              </w:rPr>
            </w:pPr>
            <w:r w:rsidRPr="00DD47DF">
              <w:rPr>
                <w:rFonts w:cs="Calibri"/>
              </w:rPr>
              <w:t>Asociace malých a středních podniků</w:t>
            </w:r>
          </w:p>
        </w:tc>
        <w:tc>
          <w:tcPr>
            <w:tcW w:w="2605" w:type="pct"/>
            <w:shd w:val="clear" w:color="auto" w:fill="auto"/>
            <w:vAlign w:val="center"/>
          </w:tcPr>
          <w:p w14:paraId="6EFF190C" w14:textId="77777777" w:rsidR="00400DD1" w:rsidRPr="00DD47DF" w:rsidRDefault="00580034" w:rsidP="00F23CDB">
            <w:pPr>
              <w:pStyle w:val="Tabulka"/>
              <w:jc w:val="left"/>
              <w:rPr>
                <w:rFonts w:cs="Calibri"/>
              </w:rPr>
            </w:pPr>
            <w:hyperlink r:id="rId229" w:history="1">
              <w:r w:rsidR="00400DD1" w:rsidRPr="00DD47DF">
                <w:rPr>
                  <w:rStyle w:val="Hypertextovodkaz"/>
                  <w:rFonts w:cs="Calibri"/>
                  <w:bCs/>
                </w:rPr>
                <w:t>http://www.amsp.cz/</w:t>
              </w:r>
            </w:hyperlink>
          </w:p>
        </w:tc>
      </w:tr>
      <w:tr w:rsidR="00400DD1" w:rsidRPr="00DD47DF" w14:paraId="5344A247" w14:textId="77777777">
        <w:trPr>
          <w:trHeight w:val="414"/>
        </w:trPr>
        <w:tc>
          <w:tcPr>
            <w:tcW w:w="2395" w:type="pct"/>
            <w:shd w:val="clear" w:color="auto" w:fill="auto"/>
            <w:vAlign w:val="center"/>
          </w:tcPr>
          <w:p w14:paraId="406292E9" w14:textId="77777777" w:rsidR="00400DD1" w:rsidRPr="00DD47DF" w:rsidRDefault="00400DD1" w:rsidP="00F23CDB">
            <w:pPr>
              <w:pStyle w:val="Tabulka"/>
              <w:jc w:val="left"/>
              <w:rPr>
                <w:rFonts w:cs="Calibri"/>
              </w:rPr>
            </w:pPr>
            <w:r w:rsidRPr="00DD47DF">
              <w:rPr>
                <w:rFonts w:cs="Calibri"/>
              </w:rPr>
              <w:t>Asociace inovačního podnikání</w:t>
            </w:r>
          </w:p>
        </w:tc>
        <w:tc>
          <w:tcPr>
            <w:tcW w:w="2605" w:type="pct"/>
            <w:shd w:val="clear" w:color="auto" w:fill="auto"/>
            <w:vAlign w:val="center"/>
          </w:tcPr>
          <w:p w14:paraId="20AACB44" w14:textId="77777777" w:rsidR="00400DD1" w:rsidRPr="00DD47DF" w:rsidRDefault="00580034" w:rsidP="00F23CDB">
            <w:pPr>
              <w:pStyle w:val="Tabulka"/>
              <w:jc w:val="left"/>
              <w:rPr>
                <w:rFonts w:cs="Calibri"/>
              </w:rPr>
            </w:pPr>
            <w:hyperlink r:id="rId230" w:history="1">
              <w:r w:rsidR="00400DD1" w:rsidRPr="00DD47DF">
                <w:rPr>
                  <w:rStyle w:val="Hypertextovodkaz"/>
                  <w:rFonts w:cs="Calibri"/>
                  <w:bCs/>
                </w:rPr>
                <w:t>http://www.aipcr.cz/</w:t>
              </w:r>
            </w:hyperlink>
            <w:r w:rsidR="00400DD1" w:rsidRPr="00DD47DF">
              <w:rPr>
                <w:rFonts w:cs="Calibri"/>
              </w:rPr>
              <w:t xml:space="preserve"> </w:t>
            </w:r>
          </w:p>
        </w:tc>
      </w:tr>
      <w:tr w:rsidR="00400DD1" w:rsidRPr="00DD47DF" w14:paraId="15569911" w14:textId="77777777">
        <w:trPr>
          <w:trHeight w:val="414"/>
        </w:trPr>
        <w:tc>
          <w:tcPr>
            <w:tcW w:w="2395" w:type="pct"/>
            <w:shd w:val="clear" w:color="auto" w:fill="auto"/>
            <w:vAlign w:val="center"/>
          </w:tcPr>
          <w:p w14:paraId="0B126EF0" w14:textId="77777777" w:rsidR="00400DD1" w:rsidRPr="00DD47DF" w:rsidRDefault="00400DD1" w:rsidP="00F23CDB">
            <w:pPr>
              <w:pStyle w:val="Tabulka"/>
              <w:jc w:val="left"/>
              <w:rPr>
                <w:rFonts w:cs="Calibri"/>
              </w:rPr>
            </w:pPr>
            <w:r w:rsidRPr="00DD47DF">
              <w:rPr>
                <w:rFonts w:cs="Calibri"/>
              </w:rPr>
              <w:t>Nestátní neziskové organizace</w:t>
            </w:r>
          </w:p>
        </w:tc>
        <w:tc>
          <w:tcPr>
            <w:tcW w:w="2605" w:type="pct"/>
            <w:shd w:val="clear" w:color="auto" w:fill="auto"/>
            <w:vAlign w:val="center"/>
          </w:tcPr>
          <w:p w14:paraId="5D36AB4D" w14:textId="77777777" w:rsidR="00400DD1" w:rsidRPr="00DD47DF" w:rsidRDefault="00580034" w:rsidP="00F23CDB">
            <w:pPr>
              <w:pStyle w:val="Tabulka"/>
              <w:jc w:val="left"/>
              <w:rPr>
                <w:rFonts w:cs="Calibri"/>
              </w:rPr>
            </w:pPr>
            <w:hyperlink r:id="rId231" w:history="1">
              <w:r w:rsidR="00400DD1" w:rsidRPr="00DD47DF">
                <w:rPr>
                  <w:rStyle w:val="Hypertextovodkaz"/>
                  <w:rFonts w:cs="Calibri"/>
                  <w:bCs/>
                </w:rPr>
                <w:t>http://www.asociacenno.cz/</w:t>
              </w:r>
            </w:hyperlink>
          </w:p>
        </w:tc>
      </w:tr>
      <w:tr w:rsidR="00400DD1" w:rsidRPr="00DD47DF" w14:paraId="3C0955E3" w14:textId="77777777">
        <w:trPr>
          <w:trHeight w:val="414"/>
        </w:trPr>
        <w:tc>
          <w:tcPr>
            <w:tcW w:w="2395" w:type="pct"/>
            <w:shd w:val="clear" w:color="auto" w:fill="auto"/>
            <w:vAlign w:val="center"/>
          </w:tcPr>
          <w:p w14:paraId="363AF0D3" w14:textId="77777777" w:rsidR="00400DD1" w:rsidRPr="00DD47DF" w:rsidRDefault="00400DD1" w:rsidP="00F23CDB">
            <w:pPr>
              <w:pStyle w:val="Tabulka"/>
              <w:jc w:val="left"/>
              <w:rPr>
                <w:rFonts w:cs="Calibri"/>
              </w:rPr>
            </w:pPr>
            <w:r w:rsidRPr="00DD47DF">
              <w:rPr>
                <w:rFonts w:cs="Calibri"/>
              </w:rPr>
              <w:t>Národní síť Místních akčních skupin České republiky, o.s.</w:t>
            </w:r>
          </w:p>
        </w:tc>
        <w:tc>
          <w:tcPr>
            <w:tcW w:w="2605" w:type="pct"/>
            <w:shd w:val="clear" w:color="auto" w:fill="auto"/>
            <w:vAlign w:val="center"/>
          </w:tcPr>
          <w:p w14:paraId="0E35ABB7" w14:textId="77777777" w:rsidR="00400DD1" w:rsidRPr="00DD47DF" w:rsidRDefault="00580034" w:rsidP="00F23CDB">
            <w:pPr>
              <w:pStyle w:val="Tabulka"/>
              <w:jc w:val="left"/>
              <w:rPr>
                <w:rFonts w:cs="Calibri"/>
              </w:rPr>
            </w:pPr>
            <w:hyperlink r:id="rId232" w:history="1">
              <w:r w:rsidR="00400DD1" w:rsidRPr="00DD47DF">
                <w:rPr>
                  <w:rStyle w:val="Hypertextovodkaz"/>
                  <w:rFonts w:cs="Calibri"/>
                  <w:bCs/>
                </w:rPr>
                <w:t>http://nsmascr.cz/o-nas/mistni-akncni-skupiny/</w:t>
              </w:r>
            </w:hyperlink>
          </w:p>
        </w:tc>
      </w:tr>
      <w:tr w:rsidR="00400DD1" w:rsidRPr="00DD47DF" w14:paraId="0CB1BC6F" w14:textId="77777777">
        <w:trPr>
          <w:trHeight w:val="414"/>
        </w:trPr>
        <w:tc>
          <w:tcPr>
            <w:tcW w:w="2395" w:type="pct"/>
            <w:shd w:val="clear" w:color="auto" w:fill="auto"/>
            <w:vAlign w:val="center"/>
          </w:tcPr>
          <w:p w14:paraId="4D30A71A" w14:textId="77777777" w:rsidR="00400DD1" w:rsidRPr="00DD47DF" w:rsidRDefault="00400DD1" w:rsidP="00F23CDB">
            <w:pPr>
              <w:pStyle w:val="Tabulka"/>
              <w:jc w:val="left"/>
              <w:rPr>
                <w:rFonts w:cs="Calibri"/>
              </w:rPr>
            </w:pPr>
            <w:r w:rsidRPr="00DD47DF">
              <w:rPr>
                <w:rFonts w:cs="Calibri"/>
              </w:rPr>
              <w:t>Fórum průmyslu a vysokých škol</w:t>
            </w:r>
          </w:p>
        </w:tc>
        <w:tc>
          <w:tcPr>
            <w:tcW w:w="2605" w:type="pct"/>
            <w:shd w:val="clear" w:color="auto" w:fill="auto"/>
            <w:vAlign w:val="center"/>
          </w:tcPr>
          <w:p w14:paraId="5E876EC7" w14:textId="77777777" w:rsidR="00400DD1" w:rsidRPr="00DD47DF" w:rsidRDefault="00580034" w:rsidP="00F23CDB">
            <w:pPr>
              <w:pStyle w:val="Tabulka"/>
              <w:jc w:val="left"/>
              <w:rPr>
                <w:rFonts w:cs="Calibri"/>
              </w:rPr>
            </w:pPr>
            <w:hyperlink r:id="rId233" w:history="1">
              <w:r w:rsidR="00400DD1" w:rsidRPr="00DD47DF">
                <w:rPr>
                  <w:rStyle w:val="Hypertextovodkaz"/>
                  <w:rFonts w:cs="Calibri"/>
                  <w:bCs/>
                </w:rPr>
                <w:t>http://fpvs.cz/</w:t>
              </w:r>
            </w:hyperlink>
            <w:r w:rsidR="00400DD1" w:rsidRPr="00DD47DF">
              <w:rPr>
                <w:rFonts w:cs="Calibri"/>
              </w:rPr>
              <w:t xml:space="preserve"> </w:t>
            </w:r>
          </w:p>
        </w:tc>
      </w:tr>
      <w:tr w:rsidR="00400DD1" w:rsidRPr="00DD47DF" w14:paraId="1BF7ED70" w14:textId="77777777">
        <w:trPr>
          <w:trHeight w:val="414"/>
        </w:trPr>
        <w:tc>
          <w:tcPr>
            <w:tcW w:w="2395" w:type="pct"/>
            <w:shd w:val="clear" w:color="auto" w:fill="auto"/>
            <w:vAlign w:val="center"/>
          </w:tcPr>
          <w:p w14:paraId="1996B6A2" w14:textId="77777777" w:rsidR="00400DD1" w:rsidRPr="00DD47DF" w:rsidRDefault="00400DD1" w:rsidP="00F23CDB">
            <w:pPr>
              <w:pStyle w:val="Tabulka"/>
              <w:jc w:val="left"/>
              <w:rPr>
                <w:rFonts w:cs="Calibri"/>
              </w:rPr>
            </w:pPr>
            <w:r w:rsidRPr="00DD47DF">
              <w:rPr>
                <w:rFonts w:cs="Calibri"/>
              </w:rPr>
              <w:t>Hlavní město Praha</w:t>
            </w:r>
          </w:p>
        </w:tc>
        <w:tc>
          <w:tcPr>
            <w:tcW w:w="2605" w:type="pct"/>
            <w:shd w:val="clear" w:color="auto" w:fill="auto"/>
            <w:vAlign w:val="center"/>
          </w:tcPr>
          <w:p w14:paraId="45E92331" w14:textId="77777777" w:rsidR="00400DD1" w:rsidRPr="00DD47DF" w:rsidRDefault="00580034" w:rsidP="00F23CDB">
            <w:pPr>
              <w:pStyle w:val="Tabulka"/>
              <w:jc w:val="left"/>
              <w:rPr>
                <w:rFonts w:cs="Calibri"/>
              </w:rPr>
            </w:pPr>
            <w:hyperlink r:id="rId234" w:history="1">
              <w:r w:rsidR="00400DD1" w:rsidRPr="00DD47DF">
                <w:rPr>
                  <w:rStyle w:val="Hypertextovodkaz"/>
                  <w:rFonts w:cs="Calibri"/>
                  <w:bCs/>
                </w:rPr>
                <w:t>http://www.praha.eu/jnp/cz/home/index.html</w:t>
              </w:r>
            </w:hyperlink>
          </w:p>
        </w:tc>
      </w:tr>
      <w:tr w:rsidR="00400DD1" w:rsidRPr="00DD47DF" w14:paraId="5204F3C8" w14:textId="77777777">
        <w:trPr>
          <w:trHeight w:val="414"/>
        </w:trPr>
        <w:tc>
          <w:tcPr>
            <w:tcW w:w="2395" w:type="pct"/>
            <w:shd w:val="clear" w:color="auto" w:fill="auto"/>
            <w:vAlign w:val="center"/>
          </w:tcPr>
          <w:p w14:paraId="115CA4FA" w14:textId="77777777" w:rsidR="00400DD1" w:rsidRPr="00DD47DF" w:rsidRDefault="00400DD1" w:rsidP="00F23CDB">
            <w:pPr>
              <w:pStyle w:val="Tabulka"/>
              <w:jc w:val="left"/>
              <w:rPr>
                <w:rFonts w:cs="Calibri"/>
              </w:rPr>
            </w:pPr>
            <w:r w:rsidRPr="00DD47DF">
              <w:rPr>
                <w:rFonts w:cs="Calibri"/>
              </w:rPr>
              <w:t>Ing. Petr Zahradník, MSc.</w:t>
            </w:r>
          </w:p>
        </w:tc>
        <w:tc>
          <w:tcPr>
            <w:tcW w:w="2605" w:type="pct"/>
            <w:shd w:val="clear" w:color="auto" w:fill="auto"/>
            <w:vAlign w:val="center"/>
          </w:tcPr>
          <w:p w14:paraId="2A31C2A5" w14:textId="77777777" w:rsidR="00400DD1" w:rsidRPr="00DD47DF" w:rsidRDefault="00400DD1" w:rsidP="00F23CDB">
            <w:pPr>
              <w:pStyle w:val="Tabulka"/>
              <w:jc w:val="left"/>
              <w:rPr>
                <w:rFonts w:cs="Calibri"/>
              </w:rPr>
            </w:pPr>
          </w:p>
        </w:tc>
      </w:tr>
    </w:tbl>
    <w:p w14:paraId="23091035"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925"/>
      </w:tblGrid>
      <w:tr w:rsidR="00400DD1" w:rsidRPr="00DD47DF" w14:paraId="26720A26" w14:textId="77777777">
        <w:trPr>
          <w:trHeight w:val="414"/>
        </w:trPr>
        <w:tc>
          <w:tcPr>
            <w:tcW w:w="5000" w:type="pct"/>
            <w:gridSpan w:val="2"/>
            <w:shd w:val="clear" w:color="auto" w:fill="DBE5F1"/>
            <w:vAlign w:val="center"/>
          </w:tcPr>
          <w:p w14:paraId="2DBF7ED9" w14:textId="77777777" w:rsidR="00400DD1" w:rsidRPr="00DD47DF" w:rsidRDefault="005F4918" w:rsidP="007D5FD2">
            <w:pPr>
              <w:pStyle w:val="Tabulka"/>
              <w:rPr>
                <w:rFonts w:cs="Calibri"/>
                <w:b/>
              </w:rPr>
            </w:pPr>
            <w:r w:rsidRPr="00DD47DF">
              <w:rPr>
                <w:rFonts w:cs="Calibri"/>
                <w:b/>
              </w:rPr>
              <w:t xml:space="preserve">PS </w:t>
            </w:r>
            <w:r w:rsidR="00400DD1" w:rsidRPr="00DD47DF">
              <w:rPr>
                <w:rFonts w:cs="Calibri"/>
                <w:b/>
              </w:rPr>
              <w:t>3 „</w:t>
            </w:r>
            <w:r w:rsidR="009F593E" w:rsidRPr="00DD47DF">
              <w:rPr>
                <w:rFonts w:cs="Calibri"/>
                <w:b/>
              </w:rPr>
              <w:t>Účinné nakládání</w:t>
            </w:r>
            <w:r w:rsidR="00B70E21" w:rsidRPr="00DD47DF">
              <w:rPr>
                <w:rFonts w:cs="Calibri"/>
                <w:b/>
              </w:rPr>
              <w:t xml:space="preserve"> </w:t>
            </w:r>
            <w:r w:rsidR="00E701CA" w:rsidRPr="00DD47DF">
              <w:rPr>
                <w:rFonts w:cs="Calibri"/>
                <w:b/>
              </w:rPr>
              <w:t>energií, rozvoj energetické infrastruktury a obnovitelných zdrojů energie, podpora zavádění nových technologií v oblasti nakládání energií a druhotných surovin</w:t>
            </w:r>
            <w:r w:rsidR="00400DD1" w:rsidRPr="00DD47DF">
              <w:rPr>
                <w:rFonts w:cs="Calibri"/>
                <w:b/>
              </w:rPr>
              <w:t>“</w:t>
            </w:r>
          </w:p>
        </w:tc>
      </w:tr>
      <w:tr w:rsidR="00400DD1" w:rsidRPr="00DD47DF" w14:paraId="7D4B6B40" w14:textId="77777777">
        <w:trPr>
          <w:trHeight w:val="414"/>
        </w:trPr>
        <w:tc>
          <w:tcPr>
            <w:tcW w:w="2388" w:type="pct"/>
            <w:shd w:val="clear" w:color="auto" w:fill="auto"/>
            <w:vAlign w:val="center"/>
          </w:tcPr>
          <w:p w14:paraId="7FFC19EF" w14:textId="77777777" w:rsidR="00400DD1" w:rsidRPr="00DD47DF" w:rsidRDefault="00400DD1" w:rsidP="00F23CDB">
            <w:pPr>
              <w:pStyle w:val="Tabulka"/>
              <w:jc w:val="left"/>
              <w:rPr>
                <w:rFonts w:cs="Calibri"/>
              </w:rPr>
            </w:pPr>
            <w:r w:rsidRPr="00DD47DF">
              <w:rPr>
                <w:rFonts w:cs="Calibri"/>
              </w:rPr>
              <w:t>Hospodářská komora ČR</w:t>
            </w:r>
          </w:p>
        </w:tc>
        <w:tc>
          <w:tcPr>
            <w:tcW w:w="2612" w:type="pct"/>
            <w:shd w:val="clear" w:color="auto" w:fill="auto"/>
            <w:vAlign w:val="center"/>
          </w:tcPr>
          <w:p w14:paraId="057BE6A1" w14:textId="77777777" w:rsidR="00400DD1" w:rsidRPr="00DD47DF" w:rsidRDefault="00580034" w:rsidP="00F23CDB">
            <w:pPr>
              <w:pStyle w:val="Tabulka"/>
              <w:jc w:val="left"/>
              <w:rPr>
                <w:rFonts w:cs="Calibri"/>
              </w:rPr>
            </w:pPr>
            <w:hyperlink r:id="rId235" w:history="1">
              <w:r w:rsidR="00400DD1" w:rsidRPr="00DD47DF">
                <w:rPr>
                  <w:rStyle w:val="Hypertextovodkaz"/>
                  <w:rFonts w:cs="Calibri"/>
                  <w:bCs/>
                </w:rPr>
                <w:t>http://www.komora.cz/</w:t>
              </w:r>
            </w:hyperlink>
          </w:p>
        </w:tc>
      </w:tr>
      <w:tr w:rsidR="00400DD1" w:rsidRPr="00DD47DF" w14:paraId="18C0B650" w14:textId="77777777">
        <w:trPr>
          <w:trHeight w:val="414"/>
        </w:trPr>
        <w:tc>
          <w:tcPr>
            <w:tcW w:w="2388" w:type="pct"/>
            <w:shd w:val="clear" w:color="auto" w:fill="auto"/>
            <w:vAlign w:val="center"/>
          </w:tcPr>
          <w:p w14:paraId="515E825D" w14:textId="77777777" w:rsidR="00400DD1" w:rsidRPr="00DD47DF" w:rsidRDefault="00400DD1" w:rsidP="00F23CDB">
            <w:pPr>
              <w:pStyle w:val="Tabulka"/>
              <w:jc w:val="left"/>
              <w:rPr>
                <w:rFonts w:cs="Calibri"/>
              </w:rPr>
            </w:pPr>
            <w:r w:rsidRPr="00DD47DF">
              <w:rPr>
                <w:rFonts w:cs="Calibri"/>
              </w:rPr>
              <w:t>Potravinářská komora ČR</w:t>
            </w:r>
          </w:p>
        </w:tc>
        <w:tc>
          <w:tcPr>
            <w:tcW w:w="2612" w:type="pct"/>
            <w:shd w:val="clear" w:color="auto" w:fill="auto"/>
            <w:vAlign w:val="center"/>
          </w:tcPr>
          <w:p w14:paraId="31BC1D67" w14:textId="77777777" w:rsidR="00400DD1" w:rsidRPr="00DD47DF" w:rsidRDefault="00580034" w:rsidP="00F23CDB">
            <w:pPr>
              <w:pStyle w:val="Tabulka"/>
              <w:jc w:val="left"/>
              <w:rPr>
                <w:rFonts w:cs="Calibri"/>
              </w:rPr>
            </w:pPr>
            <w:hyperlink r:id="rId236" w:history="1">
              <w:r w:rsidR="00400DD1" w:rsidRPr="00DD47DF">
                <w:rPr>
                  <w:rStyle w:val="Hypertextovodkaz"/>
                  <w:rFonts w:cs="Calibri"/>
                  <w:bCs/>
                </w:rPr>
                <w:t>http://www.pkcr.cz/</w:t>
              </w:r>
            </w:hyperlink>
            <w:r w:rsidR="00400DD1" w:rsidRPr="00DD47DF">
              <w:rPr>
                <w:rFonts w:cs="Calibri"/>
              </w:rPr>
              <w:t xml:space="preserve"> </w:t>
            </w:r>
          </w:p>
        </w:tc>
      </w:tr>
      <w:tr w:rsidR="00400DD1" w:rsidRPr="00DD47DF" w14:paraId="0C6A0B43" w14:textId="77777777">
        <w:trPr>
          <w:trHeight w:val="414"/>
        </w:trPr>
        <w:tc>
          <w:tcPr>
            <w:tcW w:w="2388" w:type="pct"/>
            <w:shd w:val="clear" w:color="auto" w:fill="auto"/>
            <w:vAlign w:val="center"/>
          </w:tcPr>
          <w:p w14:paraId="341ECFE3" w14:textId="77777777" w:rsidR="00400DD1" w:rsidRPr="00DD47DF" w:rsidRDefault="00400DD1" w:rsidP="00F23CDB">
            <w:pPr>
              <w:pStyle w:val="Tabulka"/>
              <w:jc w:val="left"/>
              <w:rPr>
                <w:rFonts w:cs="Calibri"/>
              </w:rPr>
            </w:pPr>
            <w:r w:rsidRPr="00DD47DF">
              <w:rPr>
                <w:rFonts w:cs="Calibri"/>
              </w:rPr>
              <w:t>Agrární komora ČR</w:t>
            </w:r>
          </w:p>
        </w:tc>
        <w:tc>
          <w:tcPr>
            <w:tcW w:w="2612" w:type="pct"/>
            <w:shd w:val="clear" w:color="auto" w:fill="auto"/>
            <w:vAlign w:val="center"/>
          </w:tcPr>
          <w:p w14:paraId="1D1A137B" w14:textId="77777777" w:rsidR="00400DD1" w:rsidRPr="00DD47DF" w:rsidRDefault="00580034" w:rsidP="00F23CDB">
            <w:pPr>
              <w:pStyle w:val="Tabulka"/>
              <w:jc w:val="left"/>
              <w:rPr>
                <w:rFonts w:cs="Calibri"/>
              </w:rPr>
            </w:pPr>
            <w:hyperlink r:id="rId237" w:history="1">
              <w:r w:rsidR="00400DD1" w:rsidRPr="00DD47DF">
                <w:rPr>
                  <w:rStyle w:val="Hypertextovodkaz"/>
                  <w:rFonts w:cs="Calibri"/>
                  <w:bCs/>
                </w:rPr>
                <w:t>http://www.agrocr.cz/</w:t>
              </w:r>
            </w:hyperlink>
            <w:r w:rsidR="00400DD1" w:rsidRPr="00DD47DF">
              <w:rPr>
                <w:rFonts w:cs="Calibri"/>
              </w:rPr>
              <w:t xml:space="preserve"> </w:t>
            </w:r>
          </w:p>
        </w:tc>
      </w:tr>
      <w:tr w:rsidR="00400DD1" w:rsidRPr="00DD47DF" w14:paraId="408B3714" w14:textId="77777777">
        <w:trPr>
          <w:trHeight w:val="414"/>
        </w:trPr>
        <w:tc>
          <w:tcPr>
            <w:tcW w:w="2388" w:type="pct"/>
            <w:shd w:val="clear" w:color="auto" w:fill="auto"/>
            <w:vAlign w:val="center"/>
          </w:tcPr>
          <w:p w14:paraId="5B3EB7F2" w14:textId="77777777" w:rsidR="00400DD1" w:rsidRPr="00DD47DF" w:rsidRDefault="00400DD1" w:rsidP="00F23CDB">
            <w:pPr>
              <w:pStyle w:val="Tabulka"/>
              <w:jc w:val="left"/>
              <w:rPr>
                <w:rFonts w:cs="Calibri"/>
              </w:rPr>
            </w:pPr>
            <w:r w:rsidRPr="00DD47DF">
              <w:rPr>
                <w:rFonts w:cs="Calibri"/>
              </w:rPr>
              <w:t>Svaz průmyslu a dopravy ČR</w:t>
            </w:r>
          </w:p>
        </w:tc>
        <w:tc>
          <w:tcPr>
            <w:tcW w:w="2612" w:type="pct"/>
            <w:shd w:val="clear" w:color="auto" w:fill="auto"/>
            <w:vAlign w:val="center"/>
          </w:tcPr>
          <w:p w14:paraId="10239802" w14:textId="77777777" w:rsidR="00400DD1" w:rsidRPr="00DD47DF" w:rsidRDefault="00580034" w:rsidP="00F23CDB">
            <w:pPr>
              <w:pStyle w:val="Tabulka"/>
              <w:jc w:val="left"/>
              <w:rPr>
                <w:rFonts w:cs="Calibri"/>
              </w:rPr>
            </w:pPr>
            <w:hyperlink r:id="rId238" w:history="1">
              <w:r w:rsidR="00400DD1" w:rsidRPr="00DD47DF">
                <w:rPr>
                  <w:rStyle w:val="Hypertextovodkaz"/>
                  <w:rFonts w:cs="Calibri"/>
                  <w:bCs/>
                </w:rPr>
                <w:t>http://www.spcr.cz/</w:t>
              </w:r>
            </w:hyperlink>
          </w:p>
        </w:tc>
      </w:tr>
      <w:tr w:rsidR="00400DD1" w:rsidRPr="00DD47DF" w14:paraId="6E314192" w14:textId="77777777">
        <w:trPr>
          <w:trHeight w:val="414"/>
        </w:trPr>
        <w:tc>
          <w:tcPr>
            <w:tcW w:w="2388" w:type="pct"/>
            <w:shd w:val="clear" w:color="auto" w:fill="auto"/>
            <w:vAlign w:val="center"/>
          </w:tcPr>
          <w:p w14:paraId="37CCD681" w14:textId="77777777" w:rsidR="00400DD1" w:rsidRPr="00DD47DF" w:rsidRDefault="00400DD1" w:rsidP="00F23CDB">
            <w:pPr>
              <w:pStyle w:val="Tabulka"/>
              <w:jc w:val="left"/>
              <w:rPr>
                <w:rFonts w:cs="Calibri"/>
              </w:rPr>
            </w:pPr>
            <w:r w:rsidRPr="00DD47DF">
              <w:rPr>
                <w:rFonts w:cs="Calibri"/>
              </w:rPr>
              <w:t>Svaz měst a obcí ČR</w:t>
            </w:r>
          </w:p>
        </w:tc>
        <w:tc>
          <w:tcPr>
            <w:tcW w:w="2612" w:type="pct"/>
            <w:shd w:val="clear" w:color="auto" w:fill="auto"/>
            <w:vAlign w:val="center"/>
          </w:tcPr>
          <w:p w14:paraId="484DDD58" w14:textId="77777777" w:rsidR="00400DD1" w:rsidRPr="00DD47DF" w:rsidRDefault="00580034" w:rsidP="00F23CDB">
            <w:pPr>
              <w:pStyle w:val="Tabulka"/>
              <w:jc w:val="left"/>
              <w:rPr>
                <w:rFonts w:cs="Calibri"/>
              </w:rPr>
            </w:pPr>
            <w:hyperlink r:id="rId239"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03E28316" w14:textId="77777777">
        <w:trPr>
          <w:trHeight w:val="414"/>
        </w:trPr>
        <w:tc>
          <w:tcPr>
            <w:tcW w:w="2388" w:type="pct"/>
            <w:shd w:val="clear" w:color="auto" w:fill="auto"/>
            <w:vAlign w:val="center"/>
          </w:tcPr>
          <w:p w14:paraId="72AD7E9D" w14:textId="77777777" w:rsidR="00400DD1" w:rsidRPr="00DD47DF" w:rsidRDefault="00400DD1" w:rsidP="00F23CDB">
            <w:pPr>
              <w:pStyle w:val="Tabulka"/>
              <w:jc w:val="left"/>
              <w:rPr>
                <w:rFonts w:cs="Calibri"/>
              </w:rPr>
            </w:pPr>
            <w:r w:rsidRPr="00DD47DF">
              <w:rPr>
                <w:rFonts w:cs="Calibri"/>
              </w:rPr>
              <w:t>Svaz průmyslu druhotných surovin</w:t>
            </w:r>
          </w:p>
        </w:tc>
        <w:tc>
          <w:tcPr>
            <w:tcW w:w="2612" w:type="pct"/>
            <w:shd w:val="clear" w:color="auto" w:fill="auto"/>
            <w:vAlign w:val="center"/>
          </w:tcPr>
          <w:p w14:paraId="04DF418D" w14:textId="77777777" w:rsidR="00400DD1" w:rsidRPr="00DD47DF" w:rsidRDefault="00580034" w:rsidP="00F23CDB">
            <w:pPr>
              <w:pStyle w:val="Tabulka"/>
              <w:jc w:val="left"/>
              <w:rPr>
                <w:rFonts w:cs="Calibri"/>
              </w:rPr>
            </w:pPr>
            <w:hyperlink r:id="rId240" w:history="1">
              <w:r w:rsidR="00400DD1" w:rsidRPr="00DD47DF">
                <w:rPr>
                  <w:rStyle w:val="Hypertextovodkaz"/>
                  <w:rFonts w:cs="Calibri"/>
                  <w:bCs/>
                </w:rPr>
                <w:t>http://www.spds.cz/</w:t>
              </w:r>
            </w:hyperlink>
            <w:r w:rsidR="00400DD1" w:rsidRPr="00DD47DF">
              <w:rPr>
                <w:rFonts w:cs="Calibri"/>
              </w:rPr>
              <w:t xml:space="preserve"> </w:t>
            </w:r>
          </w:p>
        </w:tc>
      </w:tr>
      <w:tr w:rsidR="00400DD1" w:rsidRPr="00DD47DF" w14:paraId="6A1EFB23" w14:textId="77777777">
        <w:trPr>
          <w:trHeight w:val="414"/>
        </w:trPr>
        <w:tc>
          <w:tcPr>
            <w:tcW w:w="2388" w:type="pct"/>
            <w:shd w:val="clear" w:color="auto" w:fill="auto"/>
            <w:vAlign w:val="center"/>
          </w:tcPr>
          <w:p w14:paraId="23CB93B3" w14:textId="77777777" w:rsidR="00400DD1" w:rsidRPr="00DD47DF" w:rsidRDefault="00400DD1" w:rsidP="00F23CDB">
            <w:pPr>
              <w:pStyle w:val="Tabulka"/>
              <w:jc w:val="left"/>
              <w:rPr>
                <w:rFonts w:cs="Calibri"/>
              </w:rPr>
            </w:pPr>
            <w:r w:rsidRPr="00DD47DF">
              <w:rPr>
                <w:rFonts w:cs="Calibri"/>
              </w:rPr>
              <w:t>Asociace malých a středních podniků</w:t>
            </w:r>
          </w:p>
        </w:tc>
        <w:tc>
          <w:tcPr>
            <w:tcW w:w="2612" w:type="pct"/>
            <w:shd w:val="clear" w:color="auto" w:fill="auto"/>
            <w:vAlign w:val="center"/>
          </w:tcPr>
          <w:p w14:paraId="53EDF00D" w14:textId="77777777" w:rsidR="00400DD1" w:rsidRPr="00DD47DF" w:rsidRDefault="00580034" w:rsidP="00F23CDB">
            <w:pPr>
              <w:pStyle w:val="Tabulka"/>
              <w:jc w:val="left"/>
              <w:rPr>
                <w:rFonts w:cs="Calibri"/>
              </w:rPr>
            </w:pPr>
            <w:hyperlink r:id="rId241" w:history="1">
              <w:r w:rsidR="00400DD1" w:rsidRPr="00DD47DF">
                <w:rPr>
                  <w:rStyle w:val="Hypertextovodkaz"/>
                  <w:rFonts w:cs="Calibri"/>
                  <w:bCs/>
                </w:rPr>
                <w:t>http://www.amsp.cz/</w:t>
              </w:r>
            </w:hyperlink>
          </w:p>
        </w:tc>
      </w:tr>
      <w:tr w:rsidR="00400DD1" w:rsidRPr="00DD47DF" w14:paraId="4A1EB68F" w14:textId="77777777">
        <w:trPr>
          <w:trHeight w:val="414"/>
        </w:trPr>
        <w:tc>
          <w:tcPr>
            <w:tcW w:w="2388" w:type="pct"/>
            <w:shd w:val="clear" w:color="auto" w:fill="auto"/>
            <w:vAlign w:val="center"/>
          </w:tcPr>
          <w:p w14:paraId="41955471" w14:textId="77777777" w:rsidR="00400DD1" w:rsidRPr="00DD47DF" w:rsidRDefault="00400DD1" w:rsidP="00F23CDB">
            <w:pPr>
              <w:pStyle w:val="Tabulka"/>
              <w:jc w:val="left"/>
              <w:rPr>
                <w:rFonts w:cs="Calibri"/>
              </w:rPr>
            </w:pPr>
            <w:r w:rsidRPr="00DD47DF">
              <w:rPr>
                <w:rFonts w:cs="Calibri"/>
              </w:rPr>
              <w:t>Nestátní neziskové organizace</w:t>
            </w:r>
          </w:p>
        </w:tc>
        <w:tc>
          <w:tcPr>
            <w:tcW w:w="2612" w:type="pct"/>
            <w:shd w:val="clear" w:color="auto" w:fill="auto"/>
            <w:vAlign w:val="center"/>
          </w:tcPr>
          <w:p w14:paraId="18D54E04" w14:textId="77777777" w:rsidR="00400DD1" w:rsidRPr="00DD47DF" w:rsidRDefault="00580034" w:rsidP="00F23CDB">
            <w:pPr>
              <w:pStyle w:val="Tabulka"/>
              <w:jc w:val="left"/>
              <w:rPr>
                <w:rFonts w:cs="Calibri"/>
              </w:rPr>
            </w:pPr>
            <w:hyperlink r:id="rId242" w:history="1">
              <w:r w:rsidR="00400DD1" w:rsidRPr="00DD47DF">
                <w:rPr>
                  <w:rStyle w:val="Hypertextovodkaz"/>
                  <w:rFonts w:cs="Calibri"/>
                  <w:bCs/>
                </w:rPr>
                <w:t>http://www.asociacenno.cz/</w:t>
              </w:r>
            </w:hyperlink>
          </w:p>
        </w:tc>
      </w:tr>
      <w:tr w:rsidR="00400DD1" w:rsidRPr="00DD47DF" w14:paraId="0A546F61" w14:textId="77777777">
        <w:trPr>
          <w:trHeight w:val="414"/>
        </w:trPr>
        <w:tc>
          <w:tcPr>
            <w:tcW w:w="2388" w:type="pct"/>
            <w:shd w:val="clear" w:color="auto" w:fill="auto"/>
            <w:vAlign w:val="center"/>
          </w:tcPr>
          <w:p w14:paraId="174E7441" w14:textId="77777777" w:rsidR="00400DD1" w:rsidRPr="00DD47DF" w:rsidRDefault="00400DD1" w:rsidP="00F23CDB">
            <w:pPr>
              <w:pStyle w:val="Tabulka"/>
              <w:jc w:val="left"/>
              <w:rPr>
                <w:rFonts w:cs="Calibri"/>
              </w:rPr>
            </w:pPr>
            <w:r w:rsidRPr="00DD47DF">
              <w:rPr>
                <w:rFonts w:cs="Calibri"/>
              </w:rPr>
              <w:t>Asociace dodavatelů tepla a technologií</w:t>
            </w:r>
          </w:p>
        </w:tc>
        <w:tc>
          <w:tcPr>
            <w:tcW w:w="2612" w:type="pct"/>
            <w:shd w:val="clear" w:color="auto" w:fill="auto"/>
            <w:vAlign w:val="center"/>
          </w:tcPr>
          <w:p w14:paraId="37CE8F18" w14:textId="77777777" w:rsidR="00400DD1" w:rsidRPr="00DD47DF" w:rsidRDefault="00580034" w:rsidP="00F23CDB">
            <w:pPr>
              <w:pStyle w:val="Tabulka"/>
              <w:jc w:val="left"/>
              <w:rPr>
                <w:rFonts w:cs="Calibri"/>
              </w:rPr>
            </w:pPr>
            <w:hyperlink r:id="rId243" w:history="1">
              <w:r w:rsidR="00400DD1" w:rsidRPr="00DD47DF">
                <w:rPr>
                  <w:rStyle w:val="Hypertextovodkaz"/>
                  <w:rFonts w:cs="Calibri"/>
                  <w:bCs/>
                </w:rPr>
                <w:t>http://adtt.cz/</w:t>
              </w:r>
            </w:hyperlink>
            <w:r w:rsidR="00400DD1" w:rsidRPr="00DD47DF">
              <w:rPr>
                <w:rFonts w:cs="Calibri"/>
              </w:rPr>
              <w:t xml:space="preserve"> </w:t>
            </w:r>
          </w:p>
        </w:tc>
      </w:tr>
      <w:tr w:rsidR="00400DD1" w:rsidRPr="00DD47DF" w14:paraId="1214F9F5" w14:textId="77777777">
        <w:trPr>
          <w:trHeight w:val="414"/>
        </w:trPr>
        <w:tc>
          <w:tcPr>
            <w:tcW w:w="2388" w:type="pct"/>
            <w:shd w:val="clear" w:color="auto" w:fill="auto"/>
            <w:vAlign w:val="center"/>
          </w:tcPr>
          <w:p w14:paraId="64417FAD" w14:textId="77777777" w:rsidR="00400DD1" w:rsidRPr="00DD47DF" w:rsidRDefault="00400DD1" w:rsidP="00F23CDB">
            <w:pPr>
              <w:pStyle w:val="Tabulka"/>
              <w:jc w:val="left"/>
              <w:rPr>
                <w:rFonts w:cs="Calibri"/>
              </w:rPr>
            </w:pPr>
            <w:r w:rsidRPr="00DD47DF">
              <w:rPr>
                <w:rFonts w:cs="Calibri"/>
              </w:rPr>
              <w:t>Asociace poskytovatelů energetických služeb</w:t>
            </w:r>
          </w:p>
        </w:tc>
        <w:tc>
          <w:tcPr>
            <w:tcW w:w="2612" w:type="pct"/>
            <w:shd w:val="clear" w:color="auto" w:fill="auto"/>
            <w:vAlign w:val="center"/>
          </w:tcPr>
          <w:p w14:paraId="3FCC0CD4" w14:textId="77777777" w:rsidR="00400DD1" w:rsidRPr="00DD47DF" w:rsidRDefault="00580034" w:rsidP="00F23CDB">
            <w:pPr>
              <w:pStyle w:val="Tabulka"/>
              <w:jc w:val="left"/>
              <w:rPr>
                <w:rFonts w:cs="Calibri"/>
              </w:rPr>
            </w:pPr>
            <w:hyperlink r:id="rId244" w:history="1">
              <w:r w:rsidR="00400DD1" w:rsidRPr="00DD47DF">
                <w:rPr>
                  <w:rStyle w:val="Hypertextovodkaz"/>
                  <w:rFonts w:cs="Calibri"/>
                  <w:bCs/>
                </w:rPr>
                <w:t>http://apes.cz/</w:t>
              </w:r>
            </w:hyperlink>
            <w:r w:rsidR="00400DD1" w:rsidRPr="00DD47DF">
              <w:rPr>
                <w:rFonts w:cs="Calibri"/>
              </w:rPr>
              <w:t xml:space="preserve"> </w:t>
            </w:r>
          </w:p>
        </w:tc>
      </w:tr>
      <w:tr w:rsidR="00400DD1" w:rsidRPr="00DD47DF" w14:paraId="737E7771" w14:textId="77777777">
        <w:trPr>
          <w:trHeight w:val="414"/>
        </w:trPr>
        <w:tc>
          <w:tcPr>
            <w:tcW w:w="2388" w:type="pct"/>
            <w:shd w:val="clear" w:color="auto" w:fill="auto"/>
            <w:vAlign w:val="center"/>
          </w:tcPr>
          <w:p w14:paraId="49C5F6C8" w14:textId="77777777" w:rsidR="00400DD1" w:rsidRPr="00DD47DF" w:rsidRDefault="00400DD1" w:rsidP="00F23CDB">
            <w:pPr>
              <w:pStyle w:val="Tabulka"/>
              <w:jc w:val="left"/>
              <w:rPr>
                <w:rFonts w:cs="Calibri"/>
              </w:rPr>
            </w:pPr>
            <w:r w:rsidRPr="00DD47DF">
              <w:rPr>
                <w:rFonts w:cs="Calibri"/>
              </w:rPr>
              <w:t>Asociace pro využití OZE</w:t>
            </w:r>
          </w:p>
        </w:tc>
        <w:tc>
          <w:tcPr>
            <w:tcW w:w="2612" w:type="pct"/>
            <w:shd w:val="clear" w:color="auto" w:fill="auto"/>
            <w:vAlign w:val="center"/>
          </w:tcPr>
          <w:p w14:paraId="4A993B23" w14:textId="77777777" w:rsidR="00400DD1" w:rsidRPr="00DD47DF" w:rsidRDefault="00580034" w:rsidP="00F23CDB">
            <w:pPr>
              <w:pStyle w:val="Tabulka"/>
              <w:jc w:val="left"/>
              <w:rPr>
                <w:rFonts w:cs="Calibri"/>
              </w:rPr>
            </w:pPr>
            <w:hyperlink r:id="rId245" w:history="1">
              <w:r w:rsidR="00400DD1" w:rsidRPr="00DD47DF">
                <w:rPr>
                  <w:rStyle w:val="Hypertextovodkaz"/>
                  <w:rFonts w:cs="Calibri"/>
                  <w:bCs/>
                </w:rPr>
                <w:t>http://www.oze.cz/</w:t>
              </w:r>
            </w:hyperlink>
            <w:r w:rsidR="00400DD1" w:rsidRPr="00DD47DF">
              <w:rPr>
                <w:rFonts w:cs="Calibri"/>
              </w:rPr>
              <w:t xml:space="preserve"> </w:t>
            </w:r>
          </w:p>
        </w:tc>
      </w:tr>
      <w:tr w:rsidR="00400DD1" w:rsidRPr="00DD47DF" w14:paraId="0E8255A7" w14:textId="77777777">
        <w:trPr>
          <w:trHeight w:val="414"/>
        </w:trPr>
        <w:tc>
          <w:tcPr>
            <w:tcW w:w="2388" w:type="pct"/>
            <w:shd w:val="clear" w:color="auto" w:fill="auto"/>
            <w:vAlign w:val="center"/>
          </w:tcPr>
          <w:p w14:paraId="55B92010" w14:textId="77777777" w:rsidR="00400DD1" w:rsidRPr="00DD47DF" w:rsidRDefault="00400DD1" w:rsidP="00F23CDB">
            <w:pPr>
              <w:pStyle w:val="Tabulka"/>
              <w:jc w:val="left"/>
              <w:rPr>
                <w:rFonts w:cs="Calibri"/>
              </w:rPr>
            </w:pPr>
            <w:r w:rsidRPr="00DD47DF">
              <w:rPr>
                <w:rFonts w:cs="Calibri"/>
              </w:rPr>
              <w:t>Asociace pro využití energetických produktů</w:t>
            </w:r>
          </w:p>
        </w:tc>
        <w:tc>
          <w:tcPr>
            <w:tcW w:w="2612" w:type="pct"/>
            <w:shd w:val="clear" w:color="auto" w:fill="auto"/>
            <w:vAlign w:val="center"/>
          </w:tcPr>
          <w:p w14:paraId="3A0FE2F3" w14:textId="77777777" w:rsidR="00400DD1" w:rsidRPr="00DD47DF" w:rsidRDefault="00580034" w:rsidP="00F23CDB">
            <w:pPr>
              <w:pStyle w:val="Tabulka"/>
              <w:jc w:val="left"/>
              <w:rPr>
                <w:rFonts w:cs="Calibri"/>
              </w:rPr>
            </w:pPr>
            <w:hyperlink r:id="rId246" w:history="1">
              <w:r w:rsidR="00400DD1" w:rsidRPr="00DD47DF">
                <w:rPr>
                  <w:rStyle w:val="Hypertextovodkaz"/>
                  <w:rFonts w:cs="Calibri"/>
                  <w:bCs/>
                </w:rPr>
                <w:t>http://www.asvep.cz/</w:t>
              </w:r>
            </w:hyperlink>
            <w:r w:rsidR="00400DD1" w:rsidRPr="00DD47DF">
              <w:rPr>
                <w:rFonts w:cs="Calibri"/>
              </w:rPr>
              <w:t xml:space="preserve"> </w:t>
            </w:r>
          </w:p>
        </w:tc>
      </w:tr>
      <w:tr w:rsidR="00400DD1" w:rsidRPr="00DD47DF" w14:paraId="7E4B1B45" w14:textId="77777777">
        <w:trPr>
          <w:trHeight w:val="414"/>
        </w:trPr>
        <w:tc>
          <w:tcPr>
            <w:tcW w:w="2388" w:type="pct"/>
            <w:shd w:val="clear" w:color="auto" w:fill="auto"/>
            <w:vAlign w:val="center"/>
          </w:tcPr>
          <w:p w14:paraId="391CA52F" w14:textId="77777777" w:rsidR="00400DD1" w:rsidRPr="00DD47DF" w:rsidRDefault="00400DD1" w:rsidP="00F23CDB">
            <w:pPr>
              <w:pStyle w:val="Tabulka"/>
              <w:jc w:val="left"/>
              <w:rPr>
                <w:rFonts w:cs="Calibri"/>
              </w:rPr>
            </w:pPr>
            <w:r w:rsidRPr="00DD47DF">
              <w:rPr>
                <w:rFonts w:cs="Calibri"/>
              </w:rPr>
              <w:lastRenderedPageBreak/>
              <w:t>Národní síť Místních akčních skupin České republiky, o.s.</w:t>
            </w:r>
          </w:p>
        </w:tc>
        <w:tc>
          <w:tcPr>
            <w:tcW w:w="2612" w:type="pct"/>
            <w:shd w:val="clear" w:color="auto" w:fill="auto"/>
            <w:vAlign w:val="center"/>
          </w:tcPr>
          <w:p w14:paraId="1AF9DAC9" w14:textId="77777777" w:rsidR="00400DD1" w:rsidRPr="00DD47DF" w:rsidRDefault="00580034" w:rsidP="00F23CDB">
            <w:pPr>
              <w:pStyle w:val="Tabulka"/>
              <w:jc w:val="left"/>
              <w:rPr>
                <w:rFonts w:cs="Calibri"/>
              </w:rPr>
            </w:pPr>
            <w:hyperlink r:id="rId247" w:history="1">
              <w:r w:rsidR="00400DD1" w:rsidRPr="00DD47DF">
                <w:rPr>
                  <w:rStyle w:val="Hypertextovodkaz"/>
                  <w:rFonts w:cs="Calibri"/>
                  <w:bCs/>
                </w:rPr>
                <w:t>http://nsmascr.cz/o-nas/mistni-akncni-skupiny/</w:t>
              </w:r>
            </w:hyperlink>
          </w:p>
        </w:tc>
      </w:tr>
      <w:tr w:rsidR="00400DD1" w:rsidRPr="00DD47DF" w14:paraId="7C798776" w14:textId="77777777">
        <w:trPr>
          <w:trHeight w:val="414"/>
        </w:trPr>
        <w:tc>
          <w:tcPr>
            <w:tcW w:w="2388" w:type="pct"/>
            <w:shd w:val="clear" w:color="auto" w:fill="auto"/>
            <w:vAlign w:val="center"/>
          </w:tcPr>
          <w:p w14:paraId="2262267F" w14:textId="77777777" w:rsidR="00400DD1" w:rsidRPr="00DD47DF" w:rsidRDefault="00400DD1" w:rsidP="00F23CDB">
            <w:pPr>
              <w:pStyle w:val="Tabulka"/>
              <w:jc w:val="left"/>
              <w:rPr>
                <w:rFonts w:cs="Calibri"/>
              </w:rPr>
            </w:pPr>
            <w:r w:rsidRPr="00DD47DF">
              <w:rPr>
                <w:rFonts w:cs="Calibri"/>
              </w:rPr>
              <w:t>Konfederace zaměstnavatelských a podnikatelských svazů</w:t>
            </w:r>
          </w:p>
        </w:tc>
        <w:tc>
          <w:tcPr>
            <w:tcW w:w="2612" w:type="pct"/>
            <w:shd w:val="clear" w:color="auto" w:fill="auto"/>
            <w:vAlign w:val="center"/>
          </w:tcPr>
          <w:p w14:paraId="2A6B9680" w14:textId="77777777" w:rsidR="00400DD1" w:rsidRPr="00DD47DF" w:rsidRDefault="00580034" w:rsidP="00F23CDB">
            <w:pPr>
              <w:pStyle w:val="Tabulka"/>
              <w:jc w:val="left"/>
              <w:rPr>
                <w:rFonts w:cs="Calibri"/>
              </w:rPr>
            </w:pPr>
            <w:hyperlink r:id="rId248" w:history="1">
              <w:r w:rsidR="00400DD1" w:rsidRPr="00DD47DF">
                <w:rPr>
                  <w:rStyle w:val="Hypertextovodkaz"/>
                  <w:rFonts w:cs="Calibri"/>
                  <w:bCs/>
                </w:rPr>
                <w:t>http://www.kzps.cz/</w:t>
              </w:r>
            </w:hyperlink>
          </w:p>
        </w:tc>
      </w:tr>
      <w:tr w:rsidR="00400DD1" w:rsidRPr="00DD47DF" w14:paraId="34B16636" w14:textId="77777777">
        <w:trPr>
          <w:trHeight w:val="414"/>
        </w:trPr>
        <w:tc>
          <w:tcPr>
            <w:tcW w:w="2388" w:type="pct"/>
            <w:shd w:val="clear" w:color="auto" w:fill="auto"/>
            <w:vAlign w:val="center"/>
          </w:tcPr>
          <w:p w14:paraId="5D4EA756" w14:textId="77777777" w:rsidR="00400DD1" w:rsidRPr="00DD47DF" w:rsidRDefault="00400DD1" w:rsidP="00F23CDB">
            <w:pPr>
              <w:pStyle w:val="Tabulka"/>
              <w:jc w:val="left"/>
              <w:rPr>
                <w:rFonts w:cs="Calibri"/>
              </w:rPr>
            </w:pPr>
            <w:r w:rsidRPr="00DD47DF">
              <w:rPr>
                <w:rFonts w:cs="Calibri"/>
              </w:rPr>
              <w:t>Teplárenské sdružení České republiky</w:t>
            </w:r>
          </w:p>
        </w:tc>
        <w:tc>
          <w:tcPr>
            <w:tcW w:w="2612" w:type="pct"/>
            <w:shd w:val="clear" w:color="auto" w:fill="auto"/>
            <w:vAlign w:val="center"/>
          </w:tcPr>
          <w:p w14:paraId="2D76769E" w14:textId="77777777" w:rsidR="00400DD1" w:rsidRPr="00DD47DF" w:rsidRDefault="00580034" w:rsidP="00F23CDB">
            <w:pPr>
              <w:pStyle w:val="Tabulka"/>
              <w:jc w:val="left"/>
              <w:rPr>
                <w:rFonts w:cs="Calibri"/>
              </w:rPr>
            </w:pPr>
            <w:hyperlink r:id="rId249" w:history="1">
              <w:r w:rsidR="00400DD1" w:rsidRPr="00DD47DF">
                <w:rPr>
                  <w:rStyle w:val="Hypertextovodkaz"/>
                  <w:rFonts w:cs="Calibri"/>
                  <w:bCs/>
                </w:rPr>
                <w:t>http://www.tscr.cz/</w:t>
              </w:r>
            </w:hyperlink>
            <w:r w:rsidR="00400DD1" w:rsidRPr="00DD47DF">
              <w:rPr>
                <w:rFonts w:cs="Calibri"/>
              </w:rPr>
              <w:t xml:space="preserve"> </w:t>
            </w:r>
          </w:p>
        </w:tc>
      </w:tr>
      <w:tr w:rsidR="00400DD1" w:rsidRPr="00DD47DF" w14:paraId="6CE2F06D" w14:textId="77777777">
        <w:trPr>
          <w:trHeight w:val="414"/>
        </w:trPr>
        <w:tc>
          <w:tcPr>
            <w:tcW w:w="2388" w:type="pct"/>
            <w:shd w:val="clear" w:color="auto" w:fill="auto"/>
            <w:vAlign w:val="center"/>
          </w:tcPr>
          <w:p w14:paraId="14AB0527" w14:textId="77777777" w:rsidR="00400DD1" w:rsidRPr="00DD47DF" w:rsidRDefault="00400DD1" w:rsidP="00F23CDB">
            <w:pPr>
              <w:pStyle w:val="Tabulka"/>
              <w:jc w:val="left"/>
              <w:rPr>
                <w:rFonts w:cs="Calibri"/>
              </w:rPr>
            </w:pPr>
            <w:r w:rsidRPr="00DD47DF">
              <w:rPr>
                <w:rFonts w:cs="Calibri"/>
              </w:rPr>
              <w:t>České sdružení regulovaných elektrotechnických společností</w:t>
            </w:r>
          </w:p>
        </w:tc>
        <w:tc>
          <w:tcPr>
            <w:tcW w:w="2612" w:type="pct"/>
            <w:shd w:val="clear" w:color="auto" w:fill="auto"/>
            <w:vAlign w:val="center"/>
          </w:tcPr>
          <w:p w14:paraId="7FF17358" w14:textId="77777777" w:rsidR="00400DD1" w:rsidRPr="00DD47DF" w:rsidRDefault="00580034" w:rsidP="00F23CDB">
            <w:pPr>
              <w:pStyle w:val="Tabulka"/>
              <w:jc w:val="left"/>
              <w:rPr>
                <w:rFonts w:cs="Calibri"/>
              </w:rPr>
            </w:pPr>
            <w:hyperlink r:id="rId250" w:history="1">
              <w:r w:rsidR="00400DD1" w:rsidRPr="00DD47DF">
                <w:rPr>
                  <w:rStyle w:val="Hypertextovodkaz"/>
                  <w:rFonts w:cs="Calibri"/>
                  <w:bCs/>
                </w:rPr>
                <w:t>http://www.csres.cz/</w:t>
              </w:r>
            </w:hyperlink>
            <w:r w:rsidR="00400DD1" w:rsidRPr="00DD47DF">
              <w:rPr>
                <w:rFonts w:cs="Calibri"/>
              </w:rPr>
              <w:t xml:space="preserve"> </w:t>
            </w:r>
          </w:p>
        </w:tc>
      </w:tr>
      <w:tr w:rsidR="00400DD1" w:rsidRPr="00DD47DF" w14:paraId="566F86F9" w14:textId="77777777">
        <w:trPr>
          <w:trHeight w:val="414"/>
        </w:trPr>
        <w:tc>
          <w:tcPr>
            <w:tcW w:w="2388" w:type="pct"/>
            <w:shd w:val="clear" w:color="auto" w:fill="auto"/>
            <w:vAlign w:val="center"/>
          </w:tcPr>
          <w:p w14:paraId="592E705F" w14:textId="77777777" w:rsidR="00400DD1" w:rsidRPr="00DD47DF" w:rsidRDefault="00400DD1" w:rsidP="00F23CDB">
            <w:pPr>
              <w:pStyle w:val="Tabulka"/>
              <w:jc w:val="left"/>
              <w:rPr>
                <w:rFonts w:cs="Calibri"/>
              </w:rPr>
            </w:pPr>
            <w:r w:rsidRPr="00DD47DF">
              <w:rPr>
                <w:rFonts w:cs="Calibri"/>
              </w:rPr>
              <w:t>Šance pro budovy</w:t>
            </w:r>
          </w:p>
        </w:tc>
        <w:tc>
          <w:tcPr>
            <w:tcW w:w="2612" w:type="pct"/>
            <w:shd w:val="clear" w:color="auto" w:fill="auto"/>
            <w:vAlign w:val="center"/>
          </w:tcPr>
          <w:p w14:paraId="6599C034" w14:textId="77777777" w:rsidR="00400DD1" w:rsidRPr="00DD47DF" w:rsidRDefault="00580034" w:rsidP="00F23CDB">
            <w:pPr>
              <w:pStyle w:val="Tabulka"/>
              <w:jc w:val="left"/>
              <w:rPr>
                <w:rFonts w:cs="Calibri"/>
              </w:rPr>
            </w:pPr>
            <w:hyperlink r:id="rId251" w:history="1">
              <w:r w:rsidR="00400DD1" w:rsidRPr="00DD47DF">
                <w:rPr>
                  <w:rStyle w:val="Hypertextovodkaz"/>
                  <w:rFonts w:cs="Calibri"/>
                  <w:bCs/>
                </w:rPr>
                <w:t>http://www.sanceprobudovy.cz/cs.html?start=20</w:t>
              </w:r>
            </w:hyperlink>
            <w:r w:rsidR="00400DD1" w:rsidRPr="00DD47DF">
              <w:rPr>
                <w:rFonts w:cs="Calibri"/>
              </w:rPr>
              <w:t xml:space="preserve"> </w:t>
            </w:r>
          </w:p>
        </w:tc>
      </w:tr>
      <w:tr w:rsidR="00400DD1" w:rsidRPr="00DD47DF" w14:paraId="3A6877EB" w14:textId="77777777">
        <w:trPr>
          <w:trHeight w:val="414"/>
        </w:trPr>
        <w:tc>
          <w:tcPr>
            <w:tcW w:w="2388" w:type="pct"/>
            <w:shd w:val="clear" w:color="auto" w:fill="auto"/>
            <w:vAlign w:val="center"/>
          </w:tcPr>
          <w:p w14:paraId="0F99D082" w14:textId="77777777" w:rsidR="00400DD1" w:rsidRPr="00DD47DF" w:rsidRDefault="00400DD1" w:rsidP="00F23CDB">
            <w:pPr>
              <w:pStyle w:val="Tabulka"/>
              <w:jc w:val="left"/>
              <w:rPr>
                <w:rFonts w:cs="Calibri"/>
              </w:rPr>
            </w:pPr>
            <w:r w:rsidRPr="00DD47DF">
              <w:rPr>
                <w:rFonts w:cs="Calibri"/>
              </w:rPr>
              <w:t>Hlavní město Praha</w:t>
            </w:r>
          </w:p>
        </w:tc>
        <w:tc>
          <w:tcPr>
            <w:tcW w:w="2612" w:type="pct"/>
            <w:shd w:val="clear" w:color="auto" w:fill="auto"/>
            <w:vAlign w:val="center"/>
          </w:tcPr>
          <w:p w14:paraId="1AE0BABC" w14:textId="77777777" w:rsidR="00400DD1" w:rsidRPr="00DD47DF" w:rsidRDefault="00580034" w:rsidP="00F23CDB">
            <w:pPr>
              <w:pStyle w:val="Tabulka"/>
              <w:jc w:val="left"/>
              <w:rPr>
                <w:rFonts w:cs="Calibri"/>
              </w:rPr>
            </w:pPr>
            <w:hyperlink r:id="rId252" w:history="1">
              <w:r w:rsidR="00400DD1" w:rsidRPr="00DD47DF">
                <w:rPr>
                  <w:rStyle w:val="Hypertextovodkaz"/>
                  <w:rFonts w:cs="Calibri"/>
                  <w:bCs/>
                </w:rPr>
                <w:t>http://www.praha.eu/jnp/cz/home/index.html</w:t>
              </w:r>
            </w:hyperlink>
          </w:p>
        </w:tc>
      </w:tr>
    </w:tbl>
    <w:p w14:paraId="54CD3FFF"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920"/>
      </w:tblGrid>
      <w:tr w:rsidR="00400DD1" w:rsidRPr="00DD47DF" w14:paraId="2FBDD518" w14:textId="77777777">
        <w:tc>
          <w:tcPr>
            <w:tcW w:w="5000" w:type="pct"/>
            <w:gridSpan w:val="2"/>
            <w:shd w:val="clear" w:color="auto" w:fill="DBE5F1"/>
            <w:vAlign w:val="center"/>
          </w:tcPr>
          <w:p w14:paraId="611CFA5E" w14:textId="77777777" w:rsidR="00400DD1" w:rsidRPr="00DD47DF" w:rsidRDefault="00400DD1" w:rsidP="005F4918">
            <w:pPr>
              <w:pStyle w:val="Tabulka"/>
              <w:rPr>
                <w:rFonts w:cs="Calibri"/>
                <w:b/>
              </w:rPr>
            </w:pPr>
            <w:r w:rsidRPr="00DD47DF">
              <w:rPr>
                <w:rFonts w:cs="Calibri"/>
                <w:b/>
              </w:rPr>
              <w:t>PS</w:t>
            </w:r>
            <w:r w:rsidR="005F4918" w:rsidRPr="00DD47DF">
              <w:rPr>
                <w:rFonts w:cs="Calibri"/>
                <w:b/>
              </w:rPr>
              <w:t xml:space="preserve"> </w:t>
            </w:r>
            <w:r w:rsidRPr="00DD47DF">
              <w:rPr>
                <w:rFonts w:cs="Calibri"/>
                <w:b/>
              </w:rPr>
              <w:t>4 „Rozvoj sítí pro vysokorychlostní přístup k internetu a informačních a komunikačních technologií“</w:t>
            </w:r>
          </w:p>
        </w:tc>
      </w:tr>
      <w:tr w:rsidR="00400DD1" w:rsidRPr="00DD47DF" w14:paraId="0CFA9140" w14:textId="77777777">
        <w:trPr>
          <w:trHeight w:val="414"/>
        </w:trPr>
        <w:tc>
          <w:tcPr>
            <w:tcW w:w="2391" w:type="pct"/>
            <w:shd w:val="clear" w:color="auto" w:fill="auto"/>
            <w:vAlign w:val="center"/>
          </w:tcPr>
          <w:p w14:paraId="20A4D79B" w14:textId="77777777" w:rsidR="00400DD1" w:rsidRPr="00DD47DF" w:rsidRDefault="000E47D9" w:rsidP="00F23CDB">
            <w:pPr>
              <w:pStyle w:val="Tabulka"/>
              <w:jc w:val="left"/>
              <w:rPr>
                <w:rFonts w:cs="Calibri"/>
              </w:rPr>
            </w:pPr>
            <w:r w:rsidRPr="00DD47DF">
              <w:rPr>
                <w:rFonts w:cs="Calibri"/>
              </w:rPr>
              <w:t>Ministerstvo dopravy</w:t>
            </w:r>
          </w:p>
        </w:tc>
        <w:tc>
          <w:tcPr>
            <w:tcW w:w="2609" w:type="pct"/>
            <w:shd w:val="clear" w:color="auto" w:fill="auto"/>
            <w:vAlign w:val="center"/>
          </w:tcPr>
          <w:p w14:paraId="6EF01FA3" w14:textId="77777777" w:rsidR="00400DD1" w:rsidRPr="00DD47DF" w:rsidRDefault="00580034" w:rsidP="00F23CDB">
            <w:pPr>
              <w:pStyle w:val="Tabulka"/>
              <w:jc w:val="left"/>
              <w:rPr>
                <w:rFonts w:cs="Calibri"/>
              </w:rPr>
            </w:pPr>
            <w:hyperlink r:id="rId253" w:history="1">
              <w:r w:rsidR="00400DD1" w:rsidRPr="00DD47DF">
                <w:rPr>
                  <w:rStyle w:val="Hypertextovodkaz"/>
                  <w:rFonts w:cs="Calibri"/>
                  <w:bCs/>
                </w:rPr>
                <w:t>http://www.mdcr.cz/cs/default.htm</w:t>
              </w:r>
            </w:hyperlink>
            <w:r w:rsidR="00400DD1" w:rsidRPr="00DD47DF">
              <w:rPr>
                <w:rFonts w:cs="Calibri"/>
              </w:rPr>
              <w:t xml:space="preserve"> </w:t>
            </w:r>
          </w:p>
        </w:tc>
      </w:tr>
      <w:tr w:rsidR="00400DD1" w:rsidRPr="00DD47DF" w14:paraId="6F5B5B3A" w14:textId="77777777">
        <w:trPr>
          <w:trHeight w:val="414"/>
        </w:trPr>
        <w:tc>
          <w:tcPr>
            <w:tcW w:w="2391" w:type="pct"/>
            <w:shd w:val="clear" w:color="auto" w:fill="auto"/>
            <w:vAlign w:val="center"/>
          </w:tcPr>
          <w:p w14:paraId="03A3006C" w14:textId="77777777" w:rsidR="00400DD1" w:rsidRPr="00DD47DF" w:rsidRDefault="00400DD1" w:rsidP="00F23CDB">
            <w:pPr>
              <w:pStyle w:val="Tabulka"/>
              <w:jc w:val="left"/>
              <w:rPr>
                <w:rFonts w:cs="Calibri"/>
              </w:rPr>
            </w:pPr>
            <w:r w:rsidRPr="00DD47DF">
              <w:rPr>
                <w:rFonts w:cs="Calibri"/>
              </w:rPr>
              <w:t>Svaz průmyslu a dopravy ČR</w:t>
            </w:r>
          </w:p>
        </w:tc>
        <w:tc>
          <w:tcPr>
            <w:tcW w:w="2609" w:type="pct"/>
            <w:shd w:val="clear" w:color="auto" w:fill="auto"/>
            <w:vAlign w:val="center"/>
          </w:tcPr>
          <w:p w14:paraId="1F53DD3E" w14:textId="77777777" w:rsidR="00400DD1" w:rsidRPr="00DD47DF" w:rsidRDefault="00580034" w:rsidP="00F23CDB">
            <w:pPr>
              <w:pStyle w:val="Tabulka"/>
              <w:jc w:val="left"/>
              <w:rPr>
                <w:rFonts w:cs="Calibri"/>
              </w:rPr>
            </w:pPr>
            <w:hyperlink r:id="rId254" w:history="1">
              <w:r w:rsidR="00400DD1" w:rsidRPr="00DD47DF">
                <w:rPr>
                  <w:rStyle w:val="Hypertextovodkaz"/>
                  <w:rFonts w:cs="Calibri"/>
                  <w:bCs/>
                </w:rPr>
                <w:t>http://www.spcr.cz/</w:t>
              </w:r>
            </w:hyperlink>
          </w:p>
        </w:tc>
      </w:tr>
      <w:tr w:rsidR="00400DD1" w:rsidRPr="00DD47DF" w14:paraId="51EA3559" w14:textId="77777777">
        <w:trPr>
          <w:trHeight w:val="414"/>
        </w:trPr>
        <w:tc>
          <w:tcPr>
            <w:tcW w:w="2391" w:type="pct"/>
            <w:shd w:val="clear" w:color="auto" w:fill="auto"/>
            <w:vAlign w:val="center"/>
          </w:tcPr>
          <w:p w14:paraId="1EC7B9C2" w14:textId="77777777" w:rsidR="00400DD1" w:rsidRPr="00DD47DF" w:rsidRDefault="00400DD1" w:rsidP="00F23CDB">
            <w:pPr>
              <w:pStyle w:val="Tabulka"/>
              <w:jc w:val="left"/>
              <w:rPr>
                <w:rFonts w:cs="Calibri"/>
              </w:rPr>
            </w:pPr>
            <w:r w:rsidRPr="00DD47DF">
              <w:rPr>
                <w:rFonts w:cs="Calibri"/>
              </w:rPr>
              <w:t>Svaz měst a obcí ČR</w:t>
            </w:r>
          </w:p>
        </w:tc>
        <w:tc>
          <w:tcPr>
            <w:tcW w:w="2609" w:type="pct"/>
            <w:shd w:val="clear" w:color="auto" w:fill="auto"/>
            <w:vAlign w:val="center"/>
          </w:tcPr>
          <w:p w14:paraId="6F2DFA5A" w14:textId="77777777" w:rsidR="00400DD1" w:rsidRPr="00DD47DF" w:rsidRDefault="00580034" w:rsidP="00F23CDB">
            <w:pPr>
              <w:pStyle w:val="Tabulka"/>
              <w:jc w:val="left"/>
              <w:rPr>
                <w:rFonts w:cs="Calibri"/>
              </w:rPr>
            </w:pPr>
            <w:hyperlink r:id="rId255"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44DC74BB" w14:textId="77777777">
        <w:trPr>
          <w:trHeight w:val="414"/>
        </w:trPr>
        <w:tc>
          <w:tcPr>
            <w:tcW w:w="2391" w:type="pct"/>
            <w:shd w:val="clear" w:color="auto" w:fill="auto"/>
            <w:vAlign w:val="center"/>
          </w:tcPr>
          <w:p w14:paraId="210D6B7B" w14:textId="77777777" w:rsidR="00400DD1" w:rsidRPr="00DD47DF" w:rsidRDefault="00400DD1" w:rsidP="00F23CDB">
            <w:pPr>
              <w:pStyle w:val="Tabulka"/>
              <w:jc w:val="left"/>
              <w:rPr>
                <w:rFonts w:cs="Calibri"/>
              </w:rPr>
            </w:pPr>
            <w:r w:rsidRPr="00DD47DF">
              <w:rPr>
                <w:rFonts w:cs="Calibri"/>
              </w:rPr>
              <w:t>Svaz obchodu a cestovního ruchu</w:t>
            </w:r>
          </w:p>
        </w:tc>
        <w:tc>
          <w:tcPr>
            <w:tcW w:w="2609" w:type="pct"/>
            <w:shd w:val="clear" w:color="auto" w:fill="auto"/>
            <w:vAlign w:val="center"/>
          </w:tcPr>
          <w:p w14:paraId="1AE1007D" w14:textId="77777777" w:rsidR="00400DD1" w:rsidRPr="00DD47DF" w:rsidRDefault="00580034" w:rsidP="00F23CDB">
            <w:pPr>
              <w:pStyle w:val="Tabulka"/>
              <w:jc w:val="left"/>
              <w:rPr>
                <w:rFonts w:cs="Calibri"/>
              </w:rPr>
            </w:pPr>
            <w:hyperlink r:id="rId256" w:history="1">
              <w:r w:rsidR="00400DD1" w:rsidRPr="00DD47DF">
                <w:rPr>
                  <w:rStyle w:val="Hypertextovodkaz"/>
                  <w:rFonts w:cs="Calibri"/>
                  <w:bCs/>
                </w:rPr>
                <w:t>http://www.socr.cz/</w:t>
              </w:r>
            </w:hyperlink>
            <w:r w:rsidR="00400DD1" w:rsidRPr="00DD47DF">
              <w:rPr>
                <w:rFonts w:cs="Calibri"/>
              </w:rPr>
              <w:t xml:space="preserve"> </w:t>
            </w:r>
          </w:p>
        </w:tc>
      </w:tr>
      <w:tr w:rsidR="00400DD1" w:rsidRPr="00DD47DF" w14:paraId="6F762DD9" w14:textId="77777777">
        <w:trPr>
          <w:trHeight w:val="414"/>
        </w:trPr>
        <w:tc>
          <w:tcPr>
            <w:tcW w:w="2391" w:type="pct"/>
            <w:shd w:val="clear" w:color="auto" w:fill="auto"/>
            <w:vAlign w:val="center"/>
          </w:tcPr>
          <w:p w14:paraId="5877020C" w14:textId="77777777" w:rsidR="00400DD1" w:rsidRPr="00DD47DF" w:rsidRDefault="00400DD1" w:rsidP="00F23CDB">
            <w:pPr>
              <w:pStyle w:val="Tabulka"/>
              <w:jc w:val="left"/>
              <w:rPr>
                <w:rFonts w:cs="Calibri"/>
              </w:rPr>
            </w:pPr>
            <w:r w:rsidRPr="00DD47DF">
              <w:rPr>
                <w:rFonts w:cs="Calibri"/>
              </w:rPr>
              <w:t>Asociace malých a středních podniků</w:t>
            </w:r>
          </w:p>
        </w:tc>
        <w:tc>
          <w:tcPr>
            <w:tcW w:w="2609" w:type="pct"/>
            <w:shd w:val="clear" w:color="auto" w:fill="auto"/>
            <w:vAlign w:val="center"/>
          </w:tcPr>
          <w:p w14:paraId="68967793" w14:textId="77777777" w:rsidR="00400DD1" w:rsidRPr="00DD47DF" w:rsidRDefault="00580034" w:rsidP="00F23CDB">
            <w:pPr>
              <w:pStyle w:val="Tabulka"/>
              <w:jc w:val="left"/>
              <w:rPr>
                <w:rFonts w:cs="Calibri"/>
              </w:rPr>
            </w:pPr>
            <w:hyperlink r:id="rId257" w:history="1">
              <w:r w:rsidR="00400DD1" w:rsidRPr="00DD47DF">
                <w:rPr>
                  <w:rStyle w:val="Hypertextovodkaz"/>
                  <w:rFonts w:cs="Calibri"/>
                  <w:bCs/>
                </w:rPr>
                <w:t>http://www.amsp.cz/</w:t>
              </w:r>
            </w:hyperlink>
          </w:p>
        </w:tc>
      </w:tr>
      <w:tr w:rsidR="00400DD1" w:rsidRPr="00DD47DF" w14:paraId="7FB6B854" w14:textId="77777777">
        <w:trPr>
          <w:trHeight w:val="414"/>
        </w:trPr>
        <w:tc>
          <w:tcPr>
            <w:tcW w:w="2391" w:type="pct"/>
            <w:shd w:val="clear" w:color="auto" w:fill="auto"/>
            <w:vAlign w:val="center"/>
          </w:tcPr>
          <w:p w14:paraId="23C9C9CE" w14:textId="77777777" w:rsidR="00400DD1" w:rsidRPr="00DD47DF" w:rsidRDefault="00400DD1" w:rsidP="00F23CDB">
            <w:pPr>
              <w:pStyle w:val="Tabulka"/>
              <w:jc w:val="left"/>
              <w:rPr>
                <w:rFonts w:cs="Calibri"/>
              </w:rPr>
            </w:pPr>
            <w:r w:rsidRPr="00DD47DF">
              <w:rPr>
                <w:rFonts w:cs="Calibri"/>
              </w:rPr>
              <w:t>Nestátní neziskové organizace</w:t>
            </w:r>
          </w:p>
        </w:tc>
        <w:tc>
          <w:tcPr>
            <w:tcW w:w="2609" w:type="pct"/>
            <w:shd w:val="clear" w:color="auto" w:fill="auto"/>
            <w:vAlign w:val="center"/>
          </w:tcPr>
          <w:p w14:paraId="0F4FB3F0" w14:textId="77777777" w:rsidR="00400DD1" w:rsidRPr="00DD47DF" w:rsidRDefault="00580034" w:rsidP="00F23CDB">
            <w:pPr>
              <w:pStyle w:val="Tabulka"/>
              <w:jc w:val="left"/>
              <w:rPr>
                <w:rFonts w:cs="Calibri"/>
              </w:rPr>
            </w:pPr>
            <w:hyperlink r:id="rId258" w:history="1">
              <w:r w:rsidR="00400DD1" w:rsidRPr="00DD47DF">
                <w:rPr>
                  <w:rStyle w:val="Hypertextovodkaz"/>
                  <w:rFonts w:cs="Calibri"/>
                  <w:bCs/>
                </w:rPr>
                <w:t>http://www.asociacenno.cz/</w:t>
              </w:r>
            </w:hyperlink>
          </w:p>
        </w:tc>
      </w:tr>
      <w:tr w:rsidR="00400DD1" w:rsidRPr="00DD47DF" w14:paraId="1C3445D7" w14:textId="77777777">
        <w:trPr>
          <w:trHeight w:val="414"/>
        </w:trPr>
        <w:tc>
          <w:tcPr>
            <w:tcW w:w="2391" w:type="pct"/>
            <w:shd w:val="clear" w:color="auto" w:fill="auto"/>
            <w:vAlign w:val="center"/>
          </w:tcPr>
          <w:p w14:paraId="1FCA6CEC" w14:textId="77777777" w:rsidR="00400DD1" w:rsidRPr="00DD47DF" w:rsidRDefault="00400DD1" w:rsidP="00F23CDB">
            <w:pPr>
              <w:pStyle w:val="Tabulka"/>
              <w:jc w:val="left"/>
              <w:rPr>
                <w:rFonts w:cs="Calibri"/>
              </w:rPr>
            </w:pPr>
            <w:r w:rsidRPr="00DD47DF">
              <w:rPr>
                <w:rFonts w:cs="Calibri"/>
              </w:rPr>
              <w:t>Národní síť Místních akčních skupin České republiky, o.s.</w:t>
            </w:r>
          </w:p>
        </w:tc>
        <w:tc>
          <w:tcPr>
            <w:tcW w:w="2609" w:type="pct"/>
            <w:shd w:val="clear" w:color="auto" w:fill="auto"/>
            <w:vAlign w:val="center"/>
          </w:tcPr>
          <w:p w14:paraId="33C15DB2" w14:textId="77777777" w:rsidR="00400DD1" w:rsidRPr="00DD47DF" w:rsidRDefault="00580034" w:rsidP="00F23CDB">
            <w:pPr>
              <w:pStyle w:val="Tabulka"/>
              <w:jc w:val="left"/>
              <w:rPr>
                <w:rFonts w:cs="Calibri"/>
              </w:rPr>
            </w:pPr>
            <w:hyperlink r:id="rId259" w:history="1">
              <w:r w:rsidR="00400DD1" w:rsidRPr="00DD47DF">
                <w:rPr>
                  <w:rStyle w:val="Hypertextovodkaz"/>
                  <w:rFonts w:cs="Calibri"/>
                  <w:bCs/>
                </w:rPr>
                <w:t>http://nsmascr.cz/o-nas/mistni-akncni-skupiny/</w:t>
              </w:r>
            </w:hyperlink>
          </w:p>
        </w:tc>
      </w:tr>
      <w:tr w:rsidR="00400DD1" w:rsidRPr="00DD47DF" w14:paraId="2B2E26F7" w14:textId="77777777">
        <w:trPr>
          <w:trHeight w:val="414"/>
        </w:trPr>
        <w:tc>
          <w:tcPr>
            <w:tcW w:w="2391" w:type="pct"/>
            <w:shd w:val="clear" w:color="auto" w:fill="auto"/>
            <w:vAlign w:val="center"/>
          </w:tcPr>
          <w:p w14:paraId="1C680A38" w14:textId="77777777" w:rsidR="00400DD1" w:rsidRPr="00DD47DF" w:rsidRDefault="00400DD1" w:rsidP="00F23CDB">
            <w:pPr>
              <w:pStyle w:val="Tabulka"/>
              <w:jc w:val="left"/>
              <w:rPr>
                <w:rFonts w:cs="Calibri"/>
              </w:rPr>
            </w:pPr>
            <w:r w:rsidRPr="00DD47DF">
              <w:rPr>
                <w:rFonts w:cs="Calibri"/>
              </w:rPr>
              <w:t>Český telekomunikační úřad</w:t>
            </w:r>
          </w:p>
        </w:tc>
        <w:tc>
          <w:tcPr>
            <w:tcW w:w="2609" w:type="pct"/>
            <w:shd w:val="clear" w:color="auto" w:fill="auto"/>
            <w:vAlign w:val="center"/>
          </w:tcPr>
          <w:p w14:paraId="5E5CDA43" w14:textId="77777777" w:rsidR="00400DD1" w:rsidRPr="00DD47DF" w:rsidRDefault="00580034" w:rsidP="00F23CDB">
            <w:pPr>
              <w:pStyle w:val="Tabulka"/>
              <w:jc w:val="left"/>
              <w:rPr>
                <w:rFonts w:cs="Calibri"/>
              </w:rPr>
            </w:pPr>
            <w:hyperlink r:id="rId260" w:history="1">
              <w:r w:rsidR="00400DD1" w:rsidRPr="00DD47DF">
                <w:rPr>
                  <w:rStyle w:val="Hypertextovodkaz"/>
                  <w:rFonts w:cs="Calibri"/>
                  <w:bCs/>
                </w:rPr>
                <w:t>http://www.ctu.cz/</w:t>
              </w:r>
            </w:hyperlink>
            <w:r w:rsidR="00400DD1" w:rsidRPr="00DD47DF">
              <w:rPr>
                <w:rFonts w:cs="Calibri"/>
              </w:rPr>
              <w:t xml:space="preserve"> </w:t>
            </w:r>
          </w:p>
        </w:tc>
      </w:tr>
      <w:tr w:rsidR="00400DD1" w:rsidRPr="00DD47DF" w14:paraId="0217C7EC" w14:textId="77777777">
        <w:trPr>
          <w:trHeight w:val="414"/>
        </w:trPr>
        <w:tc>
          <w:tcPr>
            <w:tcW w:w="2391" w:type="pct"/>
            <w:shd w:val="clear" w:color="auto" w:fill="auto"/>
            <w:vAlign w:val="center"/>
          </w:tcPr>
          <w:p w14:paraId="2499976A" w14:textId="77777777" w:rsidR="00400DD1" w:rsidRPr="00DD47DF" w:rsidRDefault="00400DD1" w:rsidP="00F23CDB">
            <w:pPr>
              <w:pStyle w:val="Tabulka"/>
              <w:jc w:val="left"/>
              <w:rPr>
                <w:rFonts w:cs="Calibri"/>
              </w:rPr>
            </w:pPr>
            <w:r w:rsidRPr="00DD47DF">
              <w:rPr>
                <w:rFonts w:cs="Calibri"/>
              </w:rPr>
              <w:t>Vysoká škola ekonomická v Praze</w:t>
            </w:r>
          </w:p>
        </w:tc>
        <w:tc>
          <w:tcPr>
            <w:tcW w:w="2609" w:type="pct"/>
            <w:shd w:val="clear" w:color="auto" w:fill="auto"/>
            <w:vAlign w:val="center"/>
          </w:tcPr>
          <w:p w14:paraId="33529480" w14:textId="77777777" w:rsidR="00400DD1" w:rsidRPr="00DD47DF" w:rsidRDefault="00580034" w:rsidP="00F23CDB">
            <w:pPr>
              <w:pStyle w:val="Tabulka"/>
              <w:jc w:val="left"/>
              <w:rPr>
                <w:rFonts w:cs="Calibri"/>
              </w:rPr>
            </w:pPr>
            <w:hyperlink r:id="rId261" w:history="1">
              <w:r w:rsidR="00400DD1" w:rsidRPr="00DD47DF">
                <w:rPr>
                  <w:rStyle w:val="Hypertextovodkaz"/>
                  <w:rFonts w:cs="Calibri"/>
                  <w:bCs/>
                </w:rPr>
                <w:t>http://www.vse.cz/</w:t>
              </w:r>
            </w:hyperlink>
            <w:r w:rsidR="00400DD1" w:rsidRPr="00DD47DF">
              <w:rPr>
                <w:rFonts w:cs="Calibri"/>
              </w:rPr>
              <w:t xml:space="preserve"> </w:t>
            </w:r>
          </w:p>
        </w:tc>
      </w:tr>
      <w:tr w:rsidR="00400DD1" w:rsidRPr="00DD47DF" w14:paraId="3566CC57" w14:textId="77777777">
        <w:trPr>
          <w:trHeight w:val="414"/>
        </w:trPr>
        <w:tc>
          <w:tcPr>
            <w:tcW w:w="2391" w:type="pct"/>
            <w:shd w:val="clear" w:color="auto" w:fill="auto"/>
            <w:vAlign w:val="center"/>
          </w:tcPr>
          <w:p w14:paraId="655D5EE8" w14:textId="77777777" w:rsidR="00400DD1" w:rsidRPr="00DD47DF" w:rsidRDefault="00400DD1" w:rsidP="00F23CDB">
            <w:pPr>
              <w:pStyle w:val="Tabulka"/>
              <w:jc w:val="left"/>
              <w:rPr>
                <w:rFonts w:cs="Calibri"/>
              </w:rPr>
            </w:pPr>
            <w:r w:rsidRPr="00DD47DF">
              <w:rPr>
                <w:rFonts w:cs="Calibri"/>
              </w:rPr>
              <w:t>Hlavní město Praha</w:t>
            </w:r>
          </w:p>
        </w:tc>
        <w:tc>
          <w:tcPr>
            <w:tcW w:w="2609" w:type="pct"/>
            <w:shd w:val="clear" w:color="auto" w:fill="auto"/>
            <w:vAlign w:val="center"/>
          </w:tcPr>
          <w:p w14:paraId="4A0ED0A3" w14:textId="77777777" w:rsidR="00400DD1" w:rsidRPr="00DD47DF" w:rsidRDefault="00580034" w:rsidP="00F23CDB">
            <w:pPr>
              <w:pStyle w:val="Tabulka"/>
              <w:jc w:val="left"/>
              <w:rPr>
                <w:rFonts w:cs="Calibri"/>
              </w:rPr>
            </w:pPr>
            <w:hyperlink r:id="rId262" w:history="1">
              <w:r w:rsidR="00400DD1" w:rsidRPr="00DD47DF">
                <w:rPr>
                  <w:rStyle w:val="Hypertextovodkaz"/>
                  <w:rFonts w:cs="Calibri"/>
                  <w:bCs/>
                </w:rPr>
                <w:t>http://www.praha.eu/jnp/cz/home/index.html</w:t>
              </w:r>
            </w:hyperlink>
          </w:p>
        </w:tc>
      </w:tr>
    </w:tbl>
    <w:p w14:paraId="43B9F840"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912"/>
      </w:tblGrid>
      <w:tr w:rsidR="00400DD1" w:rsidRPr="00DD47DF" w14:paraId="4A1B91E1" w14:textId="77777777">
        <w:trPr>
          <w:trHeight w:val="414"/>
        </w:trPr>
        <w:tc>
          <w:tcPr>
            <w:tcW w:w="5000" w:type="pct"/>
            <w:gridSpan w:val="2"/>
            <w:shd w:val="clear" w:color="auto" w:fill="DBE5F1"/>
            <w:vAlign w:val="center"/>
          </w:tcPr>
          <w:p w14:paraId="50759680" w14:textId="77777777" w:rsidR="00400DD1" w:rsidRPr="00DD47DF" w:rsidRDefault="00400DD1" w:rsidP="005F4918">
            <w:pPr>
              <w:pStyle w:val="Tabulka"/>
              <w:rPr>
                <w:rFonts w:cs="Calibri"/>
                <w:b/>
              </w:rPr>
            </w:pPr>
            <w:r w:rsidRPr="00DD47DF">
              <w:rPr>
                <w:rFonts w:cs="Calibri"/>
                <w:b/>
              </w:rPr>
              <w:t>PS</w:t>
            </w:r>
            <w:r w:rsidR="005F4918" w:rsidRPr="00DD47DF">
              <w:rPr>
                <w:rFonts w:cs="Calibri"/>
                <w:b/>
              </w:rPr>
              <w:t xml:space="preserve"> </w:t>
            </w:r>
            <w:r w:rsidRPr="00DD47DF">
              <w:rPr>
                <w:rFonts w:cs="Calibri"/>
                <w:b/>
              </w:rPr>
              <w:t>5 „Příprava finančních nástrojů“</w:t>
            </w:r>
          </w:p>
        </w:tc>
      </w:tr>
      <w:tr w:rsidR="00400DD1" w:rsidRPr="00DD47DF" w14:paraId="13481287" w14:textId="77777777">
        <w:trPr>
          <w:trHeight w:val="414"/>
        </w:trPr>
        <w:tc>
          <w:tcPr>
            <w:tcW w:w="2395" w:type="pct"/>
            <w:shd w:val="clear" w:color="auto" w:fill="auto"/>
            <w:vAlign w:val="center"/>
          </w:tcPr>
          <w:p w14:paraId="1EB8355D" w14:textId="77777777" w:rsidR="00400DD1" w:rsidRPr="00DD47DF" w:rsidRDefault="00400DD1" w:rsidP="00F23CDB">
            <w:pPr>
              <w:pStyle w:val="Tabulka"/>
              <w:jc w:val="left"/>
              <w:rPr>
                <w:rFonts w:cs="Calibri"/>
              </w:rPr>
            </w:pPr>
            <w:r w:rsidRPr="00DD47DF">
              <w:rPr>
                <w:rFonts w:cs="Calibri"/>
              </w:rPr>
              <w:t>Národní ekonomická rada vlády</w:t>
            </w:r>
          </w:p>
        </w:tc>
        <w:tc>
          <w:tcPr>
            <w:tcW w:w="2605" w:type="pct"/>
            <w:shd w:val="clear" w:color="auto" w:fill="auto"/>
            <w:vAlign w:val="center"/>
          </w:tcPr>
          <w:p w14:paraId="1BE3F559" w14:textId="77777777" w:rsidR="00400DD1" w:rsidRPr="00DD47DF" w:rsidRDefault="00580034" w:rsidP="00F23CDB">
            <w:pPr>
              <w:pStyle w:val="Tabulka"/>
              <w:jc w:val="left"/>
              <w:rPr>
                <w:rFonts w:cs="Calibri"/>
              </w:rPr>
            </w:pPr>
            <w:hyperlink r:id="rId263" w:history="1">
              <w:r w:rsidR="00400DD1" w:rsidRPr="00DD47DF">
                <w:rPr>
                  <w:rStyle w:val="Hypertextovodkaz"/>
                  <w:rFonts w:cs="Calibri"/>
                  <w:bCs/>
                </w:rPr>
                <w:t>http://www.vlada.cz/cz/ppov/ekonomicka-rada/narodni-ekonomicka-rada-vlady-51371/</w:t>
              </w:r>
            </w:hyperlink>
            <w:r w:rsidR="00400DD1" w:rsidRPr="00DD47DF">
              <w:rPr>
                <w:rFonts w:cs="Calibri"/>
              </w:rPr>
              <w:t xml:space="preserve"> </w:t>
            </w:r>
          </w:p>
        </w:tc>
      </w:tr>
      <w:tr w:rsidR="00400DD1" w:rsidRPr="00DD47DF" w14:paraId="6F586E87" w14:textId="77777777">
        <w:trPr>
          <w:trHeight w:val="414"/>
        </w:trPr>
        <w:tc>
          <w:tcPr>
            <w:tcW w:w="2395" w:type="pct"/>
            <w:shd w:val="clear" w:color="auto" w:fill="auto"/>
            <w:vAlign w:val="center"/>
          </w:tcPr>
          <w:p w14:paraId="4EFB8B8D" w14:textId="77777777" w:rsidR="00400DD1" w:rsidRPr="00DD47DF" w:rsidRDefault="00400DD1" w:rsidP="00F23CDB">
            <w:pPr>
              <w:pStyle w:val="Tabulka"/>
              <w:jc w:val="left"/>
              <w:rPr>
                <w:rFonts w:cs="Calibri"/>
              </w:rPr>
            </w:pPr>
            <w:r w:rsidRPr="00DD47DF">
              <w:rPr>
                <w:rFonts w:cs="Calibri"/>
              </w:rPr>
              <w:t>Českomoravská záruční a rozvojová banka</w:t>
            </w:r>
          </w:p>
        </w:tc>
        <w:tc>
          <w:tcPr>
            <w:tcW w:w="2605" w:type="pct"/>
            <w:shd w:val="clear" w:color="auto" w:fill="auto"/>
            <w:vAlign w:val="center"/>
          </w:tcPr>
          <w:p w14:paraId="23257724" w14:textId="77777777" w:rsidR="00400DD1" w:rsidRPr="00DD47DF" w:rsidRDefault="00580034" w:rsidP="00F23CDB">
            <w:pPr>
              <w:pStyle w:val="Tabulka"/>
              <w:jc w:val="left"/>
              <w:rPr>
                <w:rFonts w:cs="Calibri"/>
              </w:rPr>
            </w:pPr>
            <w:hyperlink r:id="rId264" w:history="1">
              <w:r w:rsidR="00400DD1" w:rsidRPr="00DD47DF">
                <w:rPr>
                  <w:rStyle w:val="Hypertextovodkaz"/>
                  <w:rFonts w:cs="Calibri"/>
                  <w:bCs/>
                </w:rPr>
                <w:t>http://www.cmzrb.cz/</w:t>
              </w:r>
            </w:hyperlink>
            <w:r w:rsidR="00400DD1" w:rsidRPr="00DD47DF">
              <w:rPr>
                <w:rFonts w:cs="Calibri"/>
              </w:rPr>
              <w:t xml:space="preserve"> </w:t>
            </w:r>
          </w:p>
        </w:tc>
      </w:tr>
      <w:tr w:rsidR="00400DD1" w:rsidRPr="00DD47DF" w14:paraId="2D8E561D" w14:textId="77777777">
        <w:trPr>
          <w:trHeight w:val="414"/>
        </w:trPr>
        <w:tc>
          <w:tcPr>
            <w:tcW w:w="2395" w:type="pct"/>
            <w:shd w:val="clear" w:color="auto" w:fill="auto"/>
            <w:vAlign w:val="center"/>
          </w:tcPr>
          <w:p w14:paraId="2E9511B4" w14:textId="77777777" w:rsidR="00400DD1" w:rsidRPr="00DD47DF" w:rsidRDefault="00400DD1" w:rsidP="00F23CDB">
            <w:pPr>
              <w:pStyle w:val="Tabulka"/>
              <w:jc w:val="left"/>
              <w:rPr>
                <w:rFonts w:cs="Calibri"/>
              </w:rPr>
            </w:pPr>
            <w:r w:rsidRPr="00DD47DF">
              <w:rPr>
                <w:rFonts w:cs="Calibri"/>
              </w:rPr>
              <w:t>Svaz měst a obcí ČR</w:t>
            </w:r>
          </w:p>
        </w:tc>
        <w:tc>
          <w:tcPr>
            <w:tcW w:w="2605" w:type="pct"/>
            <w:shd w:val="clear" w:color="auto" w:fill="auto"/>
            <w:vAlign w:val="center"/>
          </w:tcPr>
          <w:p w14:paraId="27D4E628" w14:textId="77777777" w:rsidR="00400DD1" w:rsidRPr="00DD47DF" w:rsidRDefault="00580034" w:rsidP="00F23CDB">
            <w:pPr>
              <w:pStyle w:val="Tabulka"/>
              <w:jc w:val="left"/>
              <w:rPr>
                <w:rFonts w:cs="Calibri"/>
              </w:rPr>
            </w:pPr>
            <w:hyperlink r:id="rId265"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028C7776" w14:textId="77777777">
        <w:trPr>
          <w:trHeight w:val="414"/>
        </w:trPr>
        <w:tc>
          <w:tcPr>
            <w:tcW w:w="2395" w:type="pct"/>
            <w:shd w:val="clear" w:color="auto" w:fill="auto"/>
            <w:vAlign w:val="center"/>
          </w:tcPr>
          <w:p w14:paraId="488A583F" w14:textId="77777777" w:rsidR="00400DD1" w:rsidRPr="00DD47DF" w:rsidRDefault="00400DD1" w:rsidP="00F23CDB">
            <w:pPr>
              <w:pStyle w:val="Tabulka"/>
              <w:jc w:val="left"/>
              <w:rPr>
                <w:rFonts w:cs="Calibri"/>
              </w:rPr>
            </w:pPr>
            <w:r w:rsidRPr="00DD47DF">
              <w:rPr>
                <w:rFonts w:cs="Calibri"/>
              </w:rPr>
              <w:t>Česká bankovní asociace</w:t>
            </w:r>
          </w:p>
        </w:tc>
        <w:tc>
          <w:tcPr>
            <w:tcW w:w="2605" w:type="pct"/>
            <w:shd w:val="clear" w:color="auto" w:fill="auto"/>
            <w:vAlign w:val="center"/>
          </w:tcPr>
          <w:p w14:paraId="7E684E30" w14:textId="77777777" w:rsidR="00400DD1" w:rsidRPr="00DD47DF" w:rsidRDefault="00580034" w:rsidP="00F23CDB">
            <w:pPr>
              <w:pStyle w:val="Tabulka"/>
              <w:jc w:val="left"/>
              <w:rPr>
                <w:rFonts w:cs="Calibri"/>
              </w:rPr>
            </w:pPr>
            <w:hyperlink r:id="rId266" w:history="1">
              <w:r w:rsidR="00400DD1" w:rsidRPr="00DD47DF">
                <w:rPr>
                  <w:rStyle w:val="Hypertextovodkaz"/>
                  <w:rFonts w:cs="Calibri"/>
                  <w:bCs/>
                </w:rPr>
                <w:t>https://www.czech-ba.cz/</w:t>
              </w:r>
            </w:hyperlink>
            <w:r w:rsidR="00400DD1" w:rsidRPr="00DD47DF">
              <w:rPr>
                <w:rFonts w:cs="Calibri"/>
              </w:rPr>
              <w:t xml:space="preserve"> </w:t>
            </w:r>
          </w:p>
        </w:tc>
      </w:tr>
      <w:tr w:rsidR="002002C5" w:rsidRPr="00DD47DF" w14:paraId="4EF2D6E6" w14:textId="77777777">
        <w:trPr>
          <w:trHeight w:val="414"/>
        </w:trPr>
        <w:tc>
          <w:tcPr>
            <w:tcW w:w="2395" w:type="pct"/>
            <w:shd w:val="clear" w:color="auto" w:fill="auto"/>
            <w:vAlign w:val="center"/>
          </w:tcPr>
          <w:p w14:paraId="61CF8C42" w14:textId="77777777" w:rsidR="002002C5" w:rsidRPr="00DD47DF" w:rsidRDefault="002002C5" w:rsidP="00E7342F">
            <w:pPr>
              <w:pStyle w:val="Tabulka"/>
              <w:jc w:val="left"/>
              <w:rPr>
                <w:rFonts w:cs="Calibri"/>
              </w:rPr>
            </w:pPr>
            <w:r w:rsidRPr="00DD47DF">
              <w:rPr>
                <w:rFonts w:cs="Calibri"/>
              </w:rPr>
              <w:t>Czech Venture Capital &amp; Private Equity Association</w:t>
            </w:r>
          </w:p>
        </w:tc>
        <w:tc>
          <w:tcPr>
            <w:tcW w:w="2605" w:type="pct"/>
            <w:shd w:val="clear" w:color="auto" w:fill="auto"/>
            <w:vAlign w:val="center"/>
          </w:tcPr>
          <w:p w14:paraId="7244A820" w14:textId="77777777" w:rsidR="002002C5" w:rsidRPr="00DD47DF" w:rsidRDefault="00580034" w:rsidP="00E7342F">
            <w:pPr>
              <w:pStyle w:val="Tabulka"/>
              <w:jc w:val="left"/>
              <w:rPr>
                <w:rFonts w:cs="Calibri"/>
              </w:rPr>
            </w:pPr>
            <w:hyperlink r:id="rId267" w:history="1">
              <w:r w:rsidR="002002C5" w:rsidRPr="00DD47DF">
                <w:rPr>
                  <w:rStyle w:val="Hypertextovodkaz"/>
                  <w:rFonts w:cs="Calibri"/>
                </w:rPr>
                <w:t>http://www.cvca.cz</w:t>
              </w:r>
            </w:hyperlink>
          </w:p>
        </w:tc>
      </w:tr>
    </w:tbl>
    <w:p w14:paraId="552B1862"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912"/>
      </w:tblGrid>
      <w:tr w:rsidR="00400DD1" w:rsidRPr="00DD47DF" w14:paraId="255DD70E" w14:textId="77777777">
        <w:trPr>
          <w:trHeight w:val="430"/>
        </w:trPr>
        <w:tc>
          <w:tcPr>
            <w:tcW w:w="5000" w:type="pct"/>
            <w:gridSpan w:val="2"/>
            <w:shd w:val="clear" w:color="auto" w:fill="DBE5F1"/>
            <w:vAlign w:val="center"/>
          </w:tcPr>
          <w:p w14:paraId="715357D7" w14:textId="77777777" w:rsidR="00400DD1" w:rsidRPr="00DD47DF" w:rsidRDefault="00400DD1" w:rsidP="005F4918">
            <w:pPr>
              <w:pStyle w:val="Tabulka"/>
              <w:rPr>
                <w:rFonts w:cs="Calibri"/>
                <w:b/>
              </w:rPr>
            </w:pPr>
            <w:r w:rsidRPr="00DD47DF">
              <w:rPr>
                <w:rFonts w:cs="Calibri"/>
                <w:b/>
              </w:rPr>
              <w:t>PS</w:t>
            </w:r>
            <w:r w:rsidR="005F4918" w:rsidRPr="00DD47DF">
              <w:rPr>
                <w:rFonts w:cs="Calibri"/>
                <w:b/>
              </w:rPr>
              <w:t xml:space="preserve"> </w:t>
            </w:r>
            <w:r w:rsidRPr="00DD47DF">
              <w:rPr>
                <w:rFonts w:cs="Calibri"/>
                <w:b/>
              </w:rPr>
              <w:t>6 „Horizontální“</w:t>
            </w:r>
          </w:p>
        </w:tc>
      </w:tr>
      <w:tr w:rsidR="00400DD1" w:rsidRPr="00DD47DF" w14:paraId="4F63282C" w14:textId="77777777">
        <w:trPr>
          <w:trHeight w:val="414"/>
        </w:trPr>
        <w:tc>
          <w:tcPr>
            <w:tcW w:w="2395" w:type="pct"/>
            <w:shd w:val="clear" w:color="auto" w:fill="auto"/>
            <w:vAlign w:val="center"/>
          </w:tcPr>
          <w:p w14:paraId="1C1008FB" w14:textId="77777777" w:rsidR="00400DD1" w:rsidRPr="00DD47DF" w:rsidRDefault="00400DD1" w:rsidP="00F23CDB">
            <w:pPr>
              <w:pStyle w:val="Tabulka"/>
              <w:jc w:val="left"/>
              <w:rPr>
                <w:rFonts w:cs="Calibri"/>
              </w:rPr>
            </w:pPr>
            <w:r w:rsidRPr="00DD47DF">
              <w:rPr>
                <w:rFonts w:cs="Calibri"/>
              </w:rPr>
              <w:t>M</w:t>
            </w:r>
            <w:r w:rsidR="000E47D9" w:rsidRPr="00DD47DF">
              <w:rPr>
                <w:rFonts w:cs="Calibri"/>
              </w:rPr>
              <w:t>inisterstvo pro místní rozvoj</w:t>
            </w:r>
          </w:p>
        </w:tc>
        <w:tc>
          <w:tcPr>
            <w:tcW w:w="2605" w:type="pct"/>
            <w:shd w:val="clear" w:color="auto" w:fill="auto"/>
            <w:vAlign w:val="center"/>
          </w:tcPr>
          <w:p w14:paraId="2E35574E" w14:textId="77777777" w:rsidR="00400DD1" w:rsidRPr="00DD47DF" w:rsidRDefault="00580034" w:rsidP="00F23CDB">
            <w:pPr>
              <w:pStyle w:val="Tabulka"/>
              <w:jc w:val="left"/>
              <w:rPr>
                <w:rFonts w:cs="Calibri"/>
              </w:rPr>
            </w:pPr>
            <w:hyperlink r:id="rId268" w:history="1">
              <w:r w:rsidR="00400DD1" w:rsidRPr="00DD47DF">
                <w:rPr>
                  <w:rStyle w:val="Hypertextovodkaz"/>
                  <w:rFonts w:cs="Calibri"/>
                  <w:bCs/>
                </w:rPr>
                <w:t>http://www.mmr.cz/cs/Uvodni-strana</w:t>
              </w:r>
            </w:hyperlink>
          </w:p>
        </w:tc>
      </w:tr>
      <w:tr w:rsidR="00400DD1" w:rsidRPr="00DD47DF" w14:paraId="1C2BA598" w14:textId="77777777">
        <w:trPr>
          <w:trHeight w:val="414"/>
        </w:trPr>
        <w:tc>
          <w:tcPr>
            <w:tcW w:w="2395" w:type="pct"/>
            <w:shd w:val="clear" w:color="auto" w:fill="auto"/>
            <w:vAlign w:val="center"/>
          </w:tcPr>
          <w:p w14:paraId="2A08FBD9" w14:textId="77777777" w:rsidR="00400DD1" w:rsidRPr="00DD47DF" w:rsidRDefault="00400DD1" w:rsidP="00F23CDB">
            <w:pPr>
              <w:pStyle w:val="Tabulka"/>
              <w:jc w:val="left"/>
              <w:rPr>
                <w:rFonts w:cs="Calibri"/>
              </w:rPr>
            </w:pPr>
            <w:r w:rsidRPr="00DD47DF">
              <w:rPr>
                <w:rFonts w:cs="Calibri"/>
              </w:rPr>
              <w:lastRenderedPageBreak/>
              <w:t>Svaz měst a obcí ČR</w:t>
            </w:r>
          </w:p>
        </w:tc>
        <w:tc>
          <w:tcPr>
            <w:tcW w:w="2605" w:type="pct"/>
            <w:shd w:val="clear" w:color="auto" w:fill="auto"/>
            <w:vAlign w:val="center"/>
          </w:tcPr>
          <w:p w14:paraId="35B281D5" w14:textId="77777777" w:rsidR="00400DD1" w:rsidRPr="00DD47DF" w:rsidRDefault="00580034" w:rsidP="00F23CDB">
            <w:pPr>
              <w:pStyle w:val="Tabulka"/>
              <w:jc w:val="left"/>
              <w:rPr>
                <w:rFonts w:cs="Calibri"/>
              </w:rPr>
            </w:pPr>
            <w:hyperlink r:id="rId269"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62553FD1" w14:textId="77777777">
        <w:trPr>
          <w:trHeight w:val="414"/>
        </w:trPr>
        <w:tc>
          <w:tcPr>
            <w:tcW w:w="2395" w:type="pct"/>
            <w:shd w:val="clear" w:color="auto" w:fill="auto"/>
            <w:vAlign w:val="center"/>
          </w:tcPr>
          <w:p w14:paraId="517C6A32" w14:textId="77777777" w:rsidR="00400DD1" w:rsidRPr="00DD47DF" w:rsidRDefault="00400DD1" w:rsidP="00F23CDB">
            <w:pPr>
              <w:pStyle w:val="Tabulka"/>
              <w:jc w:val="left"/>
              <w:rPr>
                <w:rFonts w:cs="Calibri"/>
              </w:rPr>
            </w:pPr>
            <w:r w:rsidRPr="00DD47DF">
              <w:rPr>
                <w:rFonts w:cs="Calibri"/>
              </w:rPr>
              <w:t>Česká bankovní asociace</w:t>
            </w:r>
          </w:p>
        </w:tc>
        <w:tc>
          <w:tcPr>
            <w:tcW w:w="2605" w:type="pct"/>
            <w:shd w:val="clear" w:color="auto" w:fill="auto"/>
            <w:vAlign w:val="center"/>
          </w:tcPr>
          <w:p w14:paraId="2D02DFED" w14:textId="77777777" w:rsidR="00400DD1" w:rsidRPr="00DD47DF" w:rsidRDefault="00580034" w:rsidP="00F23CDB">
            <w:pPr>
              <w:pStyle w:val="Tabulka"/>
              <w:jc w:val="left"/>
              <w:rPr>
                <w:rFonts w:cs="Calibri"/>
              </w:rPr>
            </w:pPr>
            <w:hyperlink r:id="rId270" w:history="1">
              <w:r w:rsidR="00184A61" w:rsidRPr="00DD47DF">
                <w:rPr>
                  <w:rStyle w:val="Hypertextovodkaz"/>
                  <w:rFonts w:cs="Calibri"/>
                  <w:bCs/>
                </w:rPr>
                <w:t>https://www.czech-ba.cz/</w:t>
              </w:r>
            </w:hyperlink>
          </w:p>
        </w:tc>
      </w:tr>
      <w:tr w:rsidR="00184A61" w:rsidRPr="00DD47DF" w14:paraId="69A126BD" w14:textId="77777777">
        <w:trPr>
          <w:trHeight w:val="414"/>
        </w:trPr>
        <w:tc>
          <w:tcPr>
            <w:tcW w:w="2395" w:type="pct"/>
            <w:shd w:val="clear" w:color="auto" w:fill="auto"/>
            <w:vAlign w:val="center"/>
          </w:tcPr>
          <w:p w14:paraId="7B7E2205" w14:textId="77777777" w:rsidR="00184A61" w:rsidRPr="00DD47DF" w:rsidRDefault="00184A61" w:rsidP="00F23CDB">
            <w:pPr>
              <w:pStyle w:val="Tabulka"/>
              <w:jc w:val="left"/>
              <w:rPr>
                <w:rFonts w:cs="Calibri"/>
              </w:rPr>
            </w:pPr>
            <w:r w:rsidRPr="00DD47DF">
              <w:rPr>
                <w:rFonts w:cs="Calibri"/>
              </w:rPr>
              <w:t>Českomoravská záruční a rozvojová banka, a.s.</w:t>
            </w:r>
          </w:p>
        </w:tc>
        <w:tc>
          <w:tcPr>
            <w:tcW w:w="2605" w:type="pct"/>
            <w:shd w:val="clear" w:color="auto" w:fill="auto"/>
            <w:vAlign w:val="center"/>
          </w:tcPr>
          <w:p w14:paraId="30EC05A4" w14:textId="77777777" w:rsidR="00184A61" w:rsidRPr="00DD47DF" w:rsidRDefault="00580034" w:rsidP="00F23CDB">
            <w:pPr>
              <w:pStyle w:val="Tabulka"/>
              <w:jc w:val="left"/>
              <w:rPr>
                <w:rFonts w:cs="Calibri"/>
              </w:rPr>
            </w:pPr>
            <w:hyperlink r:id="rId271" w:history="1">
              <w:r w:rsidR="00184A61" w:rsidRPr="00DD47DF">
                <w:rPr>
                  <w:rStyle w:val="Hypertextovodkaz"/>
                  <w:rFonts w:cs="Calibri"/>
                </w:rPr>
                <w:t>http://cmzrb.cz</w:t>
              </w:r>
            </w:hyperlink>
            <w:r w:rsidR="00184A61" w:rsidRPr="00DD47DF">
              <w:rPr>
                <w:rFonts w:cs="Calibri"/>
              </w:rPr>
              <w:t xml:space="preserve"> </w:t>
            </w:r>
          </w:p>
        </w:tc>
      </w:tr>
      <w:bookmarkEnd w:id="152"/>
    </w:tbl>
    <w:p w14:paraId="66580968" w14:textId="77777777" w:rsidR="009B27F6" w:rsidRPr="00DD47DF" w:rsidRDefault="009B27F6" w:rsidP="009B27F6">
      <w:pPr>
        <w:pStyle w:val="Standardntext"/>
      </w:pPr>
    </w:p>
    <w:p w14:paraId="5A6DD86F" w14:textId="77777777" w:rsidR="009B27F6" w:rsidRPr="00DD47DF" w:rsidRDefault="009B27F6" w:rsidP="009B27F6">
      <w:pPr>
        <w:pStyle w:val="Standardntext"/>
      </w:pPr>
    </w:p>
    <w:p w14:paraId="43150B9E" w14:textId="77777777" w:rsidR="00AA042C" w:rsidRPr="00DD47DF" w:rsidRDefault="0084765A" w:rsidP="00E134D0">
      <w:pPr>
        <w:pStyle w:val="Nadpis2"/>
        <w:numPr>
          <w:ilvl w:val="0"/>
          <w:numId w:val="0"/>
        </w:numPr>
        <w:ind w:left="576" w:hanging="576"/>
        <w:rPr>
          <w:rFonts w:cs="Calibri"/>
        </w:rPr>
      </w:pPr>
      <w:bookmarkStart w:id="153" w:name="_Toc506885085"/>
      <w:r w:rsidRPr="00DD47DF">
        <w:rPr>
          <w:rFonts w:cs="Calibri"/>
        </w:rPr>
        <w:t>P</w:t>
      </w:r>
      <w:r w:rsidR="00E134D0" w:rsidRPr="00DD47DF">
        <w:rPr>
          <w:rFonts w:cs="Calibri"/>
        </w:rPr>
        <w:t>ŘÍLOHY</w:t>
      </w:r>
      <w:r w:rsidRPr="00DD47DF">
        <w:rPr>
          <w:rFonts w:cs="Calibri"/>
        </w:rPr>
        <w:t xml:space="preserve"> </w:t>
      </w:r>
      <w:r w:rsidR="00E134D0" w:rsidRPr="00DD47DF">
        <w:rPr>
          <w:rFonts w:cs="Calibri"/>
        </w:rPr>
        <w:t>(nahrány do systému pro elektronickou výměnu dat jako samostatné soubory)</w:t>
      </w:r>
      <w:bookmarkEnd w:id="153"/>
    </w:p>
    <w:p w14:paraId="196B7874" w14:textId="77777777" w:rsidR="007F55D2" w:rsidRPr="00DD47DF" w:rsidRDefault="004D0D1E" w:rsidP="00DA3512">
      <w:pPr>
        <w:pStyle w:val="Standardntext"/>
        <w:numPr>
          <w:ilvl w:val="0"/>
          <w:numId w:val="75"/>
        </w:numPr>
        <w:ind w:left="426"/>
      </w:pPr>
      <w:r w:rsidRPr="00DD47DF">
        <w:t>N</w:t>
      </w:r>
      <w:r w:rsidR="00E134D0" w:rsidRPr="00DD47DF">
        <w:t>ávrh zprávy o hodnocení ex ante a shrnutí (povinné)</w:t>
      </w:r>
    </w:p>
    <w:p w14:paraId="4AF8BBA1" w14:textId="77777777" w:rsidR="003D1B35" w:rsidRPr="00DD47DF" w:rsidRDefault="004D0D1E" w:rsidP="00DA3512">
      <w:pPr>
        <w:pStyle w:val="Standardntext"/>
        <w:numPr>
          <w:ilvl w:val="0"/>
          <w:numId w:val="75"/>
        </w:numPr>
        <w:ind w:left="426"/>
      </w:pPr>
      <w:r w:rsidRPr="00DD47DF">
        <w:t>D</w:t>
      </w:r>
      <w:r w:rsidR="00E134D0" w:rsidRPr="00DD47DF">
        <w:t>okumentace o posouzení použitelnosti a plnění předběžných podmínek (je-li žádoucí)</w:t>
      </w:r>
    </w:p>
    <w:p w14:paraId="4342DFE3" w14:textId="77777777" w:rsidR="003D1B35" w:rsidRPr="00DD47DF" w:rsidRDefault="004D0D1E" w:rsidP="00DA3512">
      <w:pPr>
        <w:pStyle w:val="Standardntext"/>
        <w:numPr>
          <w:ilvl w:val="0"/>
          <w:numId w:val="75"/>
        </w:numPr>
        <w:ind w:left="426"/>
      </w:pPr>
      <w:r w:rsidRPr="00DD47DF">
        <w:t>S</w:t>
      </w:r>
      <w:r w:rsidR="00E134D0" w:rsidRPr="00DD47DF">
        <w:t>hrnutí operačního programu pro veřejnost (je-li žádoucí)</w:t>
      </w:r>
    </w:p>
    <w:p w14:paraId="7793DD7B" w14:textId="77777777" w:rsidR="00681577" w:rsidRPr="00DD47DF" w:rsidRDefault="00681577" w:rsidP="00DA3512">
      <w:pPr>
        <w:pStyle w:val="Standardntext"/>
        <w:numPr>
          <w:ilvl w:val="0"/>
          <w:numId w:val="75"/>
        </w:numPr>
        <w:ind w:left="426"/>
      </w:pPr>
      <w:r w:rsidRPr="00DD47DF">
        <w:t>Stanovisko Ministerstva životního prostředí podle zákona č. 100/2001 Sb., o posuzování vlivů na životní prostředí a o změně některých souvisejících zákonů, k návrhu koncepce „Operační program Podnikání a inovace pro konkurenceschopnost 2014 - 2020“</w:t>
      </w:r>
    </w:p>
    <w:p w14:paraId="7EA4A59A" w14:textId="77777777" w:rsidR="004D0D1E" w:rsidRPr="00DD47DF" w:rsidRDefault="004D0D1E" w:rsidP="004D0D1E">
      <w:pPr>
        <w:pStyle w:val="Standardntext"/>
        <w:ind w:left="66"/>
        <w:rPr>
          <w:b/>
        </w:rPr>
      </w:pPr>
    </w:p>
    <w:p w14:paraId="0D71F0C5" w14:textId="77777777" w:rsidR="004D0D1E" w:rsidRPr="00DD47DF" w:rsidRDefault="004D0D1E" w:rsidP="004D0D1E">
      <w:pPr>
        <w:pStyle w:val="Standardntext"/>
        <w:ind w:left="66"/>
        <w:rPr>
          <w:b/>
        </w:rPr>
      </w:pPr>
      <w:r w:rsidRPr="00DD47DF">
        <w:rPr>
          <w:b/>
        </w:rPr>
        <w:t>Nepovinné přílohy Operačního programu:</w:t>
      </w:r>
    </w:p>
    <w:p w14:paraId="672E77BA" w14:textId="77777777" w:rsidR="00811581" w:rsidRPr="00DD47DF" w:rsidRDefault="00811581" w:rsidP="00DA3512">
      <w:pPr>
        <w:pStyle w:val="Standardntext"/>
        <w:numPr>
          <w:ilvl w:val="0"/>
          <w:numId w:val="74"/>
        </w:numPr>
        <w:ind w:left="426"/>
      </w:pPr>
      <w:r w:rsidRPr="00DD47DF">
        <w:t>Zhodnocení zkušeností z programovacího období 2007-2013</w:t>
      </w:r>
    </w:p>
    <w:p w14:paraId="7CB40351" w14:textId="77777777" w:rsidR="00D3716C" w:rsidRPr="00DD47DF" w:rsidRDefault="00CB48D4" w:rsidP="00DA3512">
      <w:pPr>
        <w:pStyle w:val="Standardntext"/>
        <w:numPr>
          <w:ilvl w:val="0"/>
          <w:numId w:val="74"/>
        </w:numPr>
        <w:ind w:left="426"/>
      </w:pPr>
      <w:r w:rsidRPr="00DD47DF">
        <w:t>Vazba Operačního programu na klíčové strategické dokumenty</w:t>
      </w:r>
    </w:p>
    <w:p w14:paraId="20F03815" w14:textId="77777777" w:rsidR="004D0D1E" w:rsidRPr="00DD47DF" w:rsidRDefault="00436868" w:rsidP="00DA3512">
      <w:pPr>
        <w:pStyle w:val="Standardntext"/>
        <w:numPr>
          <w:ilvl w:val="0"/>
          <w:numId w:val="74"/>
        </w:numPr>
        <w:ind w:left="426"/>
      </w:pPr>
      <w:r w:rsidRPr="00DD47DF">
        <w:t>Základní principy monitorování a vyhodnocování OP PIK</w:t>
      </w:r>
    </w:p>
    <w:p w14:paraId="3AA448A2" w14:textId="77777777" w:rsidR="00941AC0" w:rsidRPr="00DD47DF" w:rsidRDefault="004D0D1E" w:rsidP="00DA3512">
      <w:pPr>
        <w:pStyle w:val="Standardntext"/>
        <w:numPr>
          <w:ilvl w:val="0"/>
          <w:numId w:val="74"/>
        </w:numPr>
        <w:ind w:left="426"/>
      </w:pPr>
      <w:r w:rsidRPr="00DD47DF">
        <w:t>Synergie a komplementarity</w:t>
      </w:r>
    </w:p>
    <w:p w14:paraId="4B8341DF" w14:textId="77777777" w:rsidR="00A92A82" w:rsidRDefault="00A92A82" w:rsidP="00DA3512">
      <w:pPr>
        <w:pStyle w:val="Standardntext"/>
        <w:numPr>
          <w:ilvl w:val="0"/>
          <w:numId w:val="74"/>
        </w:numPr>
        <w:ind w:left="426"/>
      </w:pPr>
      <w:r w:rsidRPr="00DD47DF">
        <w:t>Typové projekty specifického cíle 3.6</w:t>
      </w:r>
    </w:p>
    <w:p w14:paraId="38AC1D5A" w14:textId="40D4873B" w:rsidR="009E0DDE" w:rsidRPr="00DD47DF" w:rsidRDefault="00EC5F4F" w:rsidP="00223029">
      <w:pPr>
        <w:pStyle w:val="Standardntext"/>
        <w:numPr>
          <w:ilvl w:val="0"/>
          <w:numId w:val="74"/>
        </w:numPr>
        <w:ind w:left="426"/>
      </w:pPr>
      <w:r w:rsidRPr="00EC5F4F">
        <w:t>Seznam obcí – podporovaných specifických oblastí, a teritoriální vymezení režimu regionální podpory zaměřeného na cestovní ruch ve specifickém cíli 2.3</w:t>
      </w:r>
    </w:p>
    <w:sectPr w:rsidR="009E0DDE" w:rsidRPr="00DD47DF" w:rsidSect="00A870BF">
      <w:headerReference w:type="default" r:id="rId272"/>
      <w:footerReference w:type="default" r:id="rId273"/>
      <w:pgSz w:w="11906" w:h="16838"/>
      <w:pgMar w:top="1418" w:right="1276" w:bottom="1276" w:left="1418"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BA269" w14:textId="77777777" w:rsidR="00E46245" w:rsidRDefault="00E46245" w:rsidP="00F03E3C">
      <w:r>
        <w:separator/>
      </w:r>
    </w:p>
  </w:endnote>
  <w:endnote w:type="continuationSeparator" w:id="0">
    <w:p w14:paraId="0795A6DF" w14:textId="77777777" w:rsidR="00E46245" w:rsidRDefault="00E46245" w:rsidP="00F03E3C">
      <w:r>
        <w:continuationSeparator/>
      </w:r>
    </w:p>
  </w:endnote>
  <w:endnote w:type="continuationNotice" w:id="1">
    <w:p w14:paraId="1FF40B78" w14:textId="77777777" w:rsidR="00E46245" w:rsidRDefault="00E46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488DA" w14:textId="77777777" w:rsidR="00E46245" w:rsidRDefault="00E46245" w:rsidP="00297A5A">
    <w:pPr>
      <w:pStyle w:val="Zpat"/>
      <w:tabs>
        <w:tab w:val="clear" w:pos="9072"/>
        <w:tab w:val="left" w:pos="6549"/>
        <w:tab w:val="left" w:pos="7137"/>
        <w:tab w:val="right" w:pos="9212"/>
      </w:tabs>
      <w:jc w:val="left"/>
    </w:pPr>
    <w:r>
      <w:rPr>
        <w:noProof/>
      </w:rPr>
      <w:drawing>
        <wp:anchor distT="0" distB="0" distL="114300" distR="114300" simplePos="0" relativeHeight="251629056" behindDoc="1" locked="0" layoutInCell="1" allowOverlap="0" wp14:anchorId="5032F749" wp14:editId="5EB25391">
          <wp:simplePos x="0" y="0"/>
          <wp:positionH relativeFrom="column">
            <wp:posOffset>4018280</wp:posOffset>
          </wp:positionH>
          <wp:positionV relativeFrom="page">
            <wp:posOffset>9901555</wp:posOffset>
          </wp:positionV>
          <wp:extent cx="1846580" cy="359410"/>
          <wp:effectExtent l="0" t="0" r="1270" b="2540"/>
          <wp:wrapTight wrapText="bothSides">
            <wp:wrapPolygon edited="0">
              <wp:start x="0" y="0"/>
              <wp:lineTo x="0" y="20608"/>
              <wp:lineTo x="21392" y="20608"/>
              <wp:lineTo x="21392" y="0"/>
              <wp:lineTo x="0" y="0"/>
            </wp:wrapPolygon>
          </wp:wrapTight>
          <wp:docPr id="6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tab/>
    </w:r>
    <w:r>
      <w:tab/>
    </w:r>
    <w:r>
      <w:tab/>
    </w:r>
    <w:r>
      <w:tab/>
    </w:r>
    <w:r>
      <w:fldChar w:fldCharType="begin"/>
    </w:r>
    <w:r>
      <w:instrText>PAGE   \* MERGEFORMAT</w:instrText>
    </w:r>
    <w:r>
      <w:fldChar w:fldCharType="separate"/>
    </w:r>
    <w:r>
      <w:rPr>
        <w:noProof/>
      </w:rPr>
      <w:t>3</w:t>
    </w:r>
    <w:r>
      <w:rPr>
        <w:noProof/>
      </w:rPr>
      <w:fldChar w:fldCharType="end"/>
    </w:r>
  </w:p>
  <w:p w14:paraId="58B31292" w14:textId="77777777" w:rsidR="00E46245" w:rsidRDefault="00E46245" w:rsidP="0056085D">
    <w:pPr>
      <w:pStyle w:val="Zpat"/>
      <w:tabs>
        <w:tab w:val="left" w:pos="6274"/>
        <w:tab w:val="left" w:pos="6585"/>
        <w:tab w:val="left" w:pos="7515"/>
        <w:tab w:val="left" w:pos="8370"/>
      </w:tabs>
      <w:jc w:val="left"/>
    </w:pPr>
    <w:r>
      <w:tab/>
    </w:r>
    <w:r>
      <w:tab/>
      <w:t xml:space="preserve"> </w:t>
    </w:r>
    <w:r>
      <w:tab/>
    </w:r>
    <w:r>
      <w:tab/>
    </w:r>
    <w:r>
      <w:tab/>
    </w:r>
    <w:r>
      <w:tab/>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5F460" w14:textId="77777777" w:rsidR="00E46245" w:rsidRDefault="00E46245" w:rsidP="00FA5EE8">
    <w:pPr>
      <w:pStyle w:val="Zpat"/>
      <w:tabs>
        <w:tab w:val="clear" w:pos="9072"/>
      </w:tabs>
      <w:jc w:val="right"/>
    </w:pPr>
    <w:r>
      <w:rPr>
        <w:noProof/>
      </w:rPr>
      <w:drawing>
        <wp:anchor distT="0" distB="0" distL="114300" distR="114300" simplePos="0" relativeHeight="251674112" behindDoc="1" locked="0" layoutInCell="1" allowOverlap="0" wp14:anchorId="3FDB0E12" wp14:editId="3633DA37">
          <wp:simplePos x="0" y="0"/>
          <wp:positionH relativeFrom="column">
            <wp:posOffset>7170420</wp:posOffset>
          </wp:positionH>
          <wp:positionV relativeFrom="page">
            <wp:posOffset>6741160</wp:posOffset>
          </wp:positionV>
          <wp:extent cx="1846580" cy="359410"/>
          <wp:effectExtent l="0" t="0" r="1270" b="2540"/>
          <wp:wrapTight wrapText="bothSides">
            <wp:wrapPolygon edited="0">
              <wp:start x="0" y="0"/>
              <wp:lineTo x="0" y="20608"/>
              <wp:lineTo x="21392" y="20608"/>
              <wp:lineTo x="21392" y="0"/>
              <wp:lineTo x="0" y="0"/>
            </wp:wrapPolygon>
          </wp:wrapTight>
          <wp:docPr id="31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92</w:t>
    </w:r>
    <w:r>
      <w:rPr>
        <w:noProof/>
      </w:rPr>
      <w:fldChar w:fldCharType="end"/>
    </w:r>
  </w:p>
  <w:p w14:paraId="3FDD0B20"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13E02" w14:textId="77777777" w:rsidR="00E46245" w:rsidRDefault="00E46245" w:rsidP="00FA5EE8">
    <w:pPr>
      <w:pStyle w:val="Zpat"/>
      <w:tabs>
        <w:tab w:val="clear" w:pos="9072"/>
      </w:tabs>
      <w:jc w:val="right"/>
    </w:pPr>
    <w:r>
      <w:rPr>
        <w:noProof/>
      </w:rPr>
      <w:drawing>
        <wp:anchor distT="0" distB="0" distL="114300" distR="114300" simplePos="0" relativeHeight="251671040" behindDoc="1" locked="0" layoutInCell="1" allowOverlap="0" wp14:anchorId="5D12D6A3" wp14:editId="3DAB5076">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1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127</w:t>
    </w:r>
    <w:r>
      <w:rPr>
        <w:noProof/>
      </w:rPr>
      <w:fldChar w:fldCharType="end"/>
    </w:r>
  </w:p>
  <w:p w14:paraId="52D4B0E9"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C62A2" w14:textId="77777777" w:rsidR="00E46245" w:rsidRDefault="00E46245" w:rsidP="00FA5EE8">
    <w:pPr>
      <w:pStyle w:val="Zpat"/>
      <w:tabs>
        <w:tab w:val="clear" w:pos="9072"/>
      </w:tabs>
      <w:jc w:val="right"/>
    </w:pPr>
    <w:r>
      <w:rPr>
        <w:noProof/>
      </w:rPr>
      <w:drawing>
        <wp:anchor distT="0" distB="0" distL="114300" distR="114300" simplePos="0" relativeHeight="251680256" behindDoc="1" locked="0" layoutInCell="1" allowOverlap="0" wp14:anchorId="62789F48" wp14:editId="603C4879">
          <wp:simplePos x="0" y="0"/>
          <wp:positionH relativeFrom="column">
            <wp:posOffset>7127875</wp:posOffset>
          </wp:positionH>
          <wp:positionV relativeFrom="page">
            <wp:posOffset>6762115</wp:posOffset>
          </wp:positionV>
          <wp:extent cx="1846580" cy="359410"/>
          <wp:effectExtent l="0" t="0" r="1270" b="2540"/>
          <wp:wrapTight wrapText="bothSides">
            <wp:wrapPolygon edited="0">
              <wp:start x="0" y="0"/>
              <wp:lineTo x="0" y="20608"/>
              <wp:lineTo x="21392" y="20608"/>
              <wp:lineTo x="21392" y="0"/>
              <wp:lineTo x="0" y="0"/>
            </wp:wrapPolygon>
          </wp:wrapTight>
          <wp:docPr id="1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130</w:t>
    </w:r>
    <w:r>
      <w:rPr>
        <w:noProof/>
      </w:rPr>
      <w:fldChar w:fldCharType="end"/>
    </w:r>
  </w:p>
  <w:p w14:paraId="37009454"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2ED41" w14:textId="77777777" w:rsidR="00E46245" w:rsidRDefault="00E46245" w:rsidP="00FA5EE8">
    <w:pPr>
      <w:pStyle w:val="Zpat"/>
      <w:tabs>
        <w:tab w:val="clear" w:pos="9072"/>
      </w:tabs>
      <w:jc w:val="right"/>
    </w:pPr>
    <w:r>
      <w:rPr>
        <w:noProof/>
      </w:rPr>
      <w:drawing>
        <wp:anchor distT="0" distB="0" distL="114300" distR="114300" simplePos="0" relativeHeight="251679232" behindDoc="1" locked="0" layoutInCell="1" allowOverlap="0" wp14:anchorId="3A0659FA" wp14:editId="152EFCF5">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2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140</w:t>
    </w:r>
    <w:r>
      <w:rPr>
        <w:noProof/>
      </w:rPr>
      <w:fldChar w:fldCharType="end"/>
    </w:r>
  </w:p>
  <w:p w14:paraId="3414B8B2"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E5B25" w14:textId="77777777" w:rsidR="00E46245" w:rsidRDefault="00E46245" w:rsidP="00FA5EE8">
    <w:pPr>
      <w:pStyle w:val="Zpat"/>
      <w:tabs>
        <w:tab w:val="clear" w:pos="9072"/>
      </w:tabs>
      <w:jc w:val="right"/>
    </w:pPr>
    <w:r>
      <w:rPr>
        <w:noProof/>
      </w:rPr>
      <w:drawing>
        <wp:anchor distT="0" distB="0" distL="114300" distR="114300" simplePos="0" relativeHeight="251686400" behindDoc="1" locked="0" layoutInCell="1" allowOverlap="0" wp14:anchorId="700DA306" wp14:editId="6E5B41DA">
          <wp:simplePos x="0" y="0"/>
          <wp:positionH relativeFrom="column">
            <wp:posOffset>7127875</wp:posOffset>
          </wp:positionH>
          <wp:positionV relativeFrom="page">
            <wp:posOffset>6741160</wp:posOffset>
          </wp:positionV>
          <wp:extent cx="1846580" cy="359410"/>
          <wp:effectExtent l="0" t="0" r="1270" b="2540"/>
          <wp:wrapTight wrapText="bothSides">
            <wp:wrapPolygon edited="0">
              <wp:start x="0" y="0"/>
              <wp:lineTo x="0" y="20608"/>
              <wp:lineTo x="21392" y="20608"/>
              <wp:lineTo x="21392" y="0"/>
              <wp:lineTo x="0" y="0"/>
            </wp:wrapPolygon>
          </wp:wrapTight>
          <wp:docPr id="32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143</w:t>
    </w:r>
    <w:r>
      <w:rPr>
        <w:noProof/>
      </w:rPr>
      <w:fldChar w:fldCharType="end"/>
    </w:r>
  </w:p>
  <w:p w14:paraId="0D6B399D"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54880" w14:textId="77777777" w:rsidR="00E46245" w:rsidRDefault="00E46245" w:rsidP="00FA5EE8">
    <w:pPr>
      <w:pStyle w:val="Zpat"/>
      <w:tabs>
        <w:tab w:val="clear" w:pos="9072"/>
      </w:tabs>
      <w:jc w:val="right"/>
    </w:pPr>
    <w:r>
      <w:rPr>
        <w:noProof/>
      </w:rPr>
      <w:drawing>
        <wp:anchor distT="0" distB="0" distL="114300" distR="114300" simplePos="0" relativeHeight="251685376" behindDoc="1" locked="0" layoutInCell="1" allowOverlap="0" wp14:anchorId="6DA0D538" wp14:editId="7A0B32AF">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2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151</w:t>
    </w:r>
    <w:r>
      <w:rPr>
        <w:noProof/>
      </w:rPr>
      <w:fldChar w:fldCharType="end"/>
    </w:r>
  </w:p>
  <w:p w14:paraId="103B2973"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9FDBE" w14:textId="77777777" w:rsidR="00E46245" w:rsidRDefault="00E46245" w:rsidP="00FA5EE8">
    <w:pPr>
      <w:pStyle w:val="Zpat"/>
      <w:tabs>
        <w:tab w:val="clear" w:pos="9072"/>
      </w:tabs>
      <w:jc w:val="right"/>
    </w:pPr>
    <w:r>
      <w:rPr>
        <w:noProof/>
      </w:rPr>
      <w:drawing>
        <wp:anchor distT="0" distB="0" distL="114300" distR="114300" simplePos="0" relativeHeight="251649536" behindDoc="1" locked="0" layoutInCell="1" allowOverlap="0" wp14:anchorId="65917073" wp14:editId="41CCD1E6">
          <wp:simplePos x="0" y="0"/>
          <wp:positionH relativeFrom="column">
            <wp:posOffset>7132955</wp:posOffset>
          </wp:positionH>
          <wp:positionV relativeFrom="page">
            <wp:posOffset>6753860</wp:posOffset>
          </wp:positionV>
          <wp:extent cx="1846580" cy="359410"/>
          <wp:effectExtent l="0" t="0" r="1270" b="2540"/>
          <wp:wrapTight wrapText="bothSides">
            <wp:wrapPolygon edited="0">
              <wp:start x="0" y="0"/>
              <wp:lineTo x="0" y="20608"/>
              <wp:lineTo x="21392" y="20608"/>
              <wp:lineTo x="21392" y="0"/>
              <wp:lineTo x="0" y="0"/>
            </wp:wrapPolygon>
          </wp:wrapTight>
          <wp:docPr id="33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154</w:t>
    </w:r>
    <w:r>
      <w:rPr>
        <w:noProof/>
      </w:rPr>
      <w:fldChar w:fldCharType="end"/>
    </w:r>
  </w:p>
  <w:p w14:paraId="10B81B6C" w14:textId="77777777" w:rsidR="00E46245" w:rsidRDefault="00E46245"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45A1B" w14:textId="77777777" w:rsidR="00E46245" w:rsidRDefault="00E46245" w:rsidP="00926525">
    <w:pPr>
      <w:pStyle w:val="Zpat"/>
      <w:tabs>
        <w:tab w:val="clear" w:pos="9072"/>
      </w:tabs>
      <w:jc w:val="right"/>
    </w:pPr>
    <w:r>
      <w:rPr>
        <w:noProof/>
      </w:rPr>
      <w:drawing>
        <wp:anchor distT="0" distB="0" distL="114300" distR="114300" simplePos="0" relativeHeight="251655680" behindDoc="1" locked="0" layoutInCell="1" allowOverlap="1" wp14:anchorId="5D1B4F6E" wp14:editId="73B3ECAA">
          <wp:simplePos x="0" y="0"/>
          <wp:positionH relativeFrom="column">
            <wp:posOffset>7133590</wp:posOffset>
          </wp:positionH>
          <wp:positionV relativeFrom="paragraph">
            <wp:posOffset>36195</wp:posOffset>
          </wp:positionV>
          <wp:extent cx="1847850" cy="358775"/>
          <wp:effectExtent l="0" t="0" r="0" b="3175"/>
          <wp:wrapTight wrapText="bothSides">
            <wp:wrapPolygon edited="0">
              <wp:start x="0" y="0"/>
              <wp:lineTo x="0" y="20644"/>
              <wp:lineTo x="21377" y="20644"/>
              <wp:lineTo x="21377" y="0"/>
              <wp:lineTo x="0" y="0"/>
            </wp:wrapPolygon>
          </wp:wrapTight>
          <wp:docPr id="33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58775"/>
                  </a:xfrm>
                  <a:prstGeom prst="rect">
                    <a:avLst/>
                  </a:prstGeom>
                  <a:noFill/>
                  <a:ln>
                    <a:noFill/>
                  </a:ln>
                </pic:spPr>
              </pic:pic>
            </a:graphicData>
          </a:graphic>
        </wp:anchor>
      </w:drawing>
    </w:r>
    <w:r>
      <w:tab/>
    </w:r>
    <w:r>
      <w:tab/>
    </w:r>
    <w:r>
      <w:tab/>
      <w:t xml:space="preserve">   </w:t>
    </w:r>
    <w:r>
      <w:fldChar w:fldCharType="begin"/>
    </w:r>
    <w:r>
      <w:instrText>PAGE   \* MERGEFORMAT</w:instrText>
    </w:r>
    <w:r>
      <w:fldChar w:fldCharType="separate"/>
    </w:r>
    <w:r w:rsidR="00580034">
      <w:rPr>
        <w:noProof/>
      </w:rPr>
      <w:t>152</w:t>
    </w:r>
    <w:r>
      <w:rPr>
        <w:noProof/>
      </w:rPr>
      <w:fldChar w:fldCharType="end"/>
    </w:r>
  </w:p>
  <w:p w14:paraId="030193E8" w14:textId="77777777" w:rsidR="00E46245" w:rsidRDefault="00E46245" w:rsidP="0022503D">
    <w:pPr>
      <w:pStyle w:val="Zpat"/>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28E36" w14:textId="77777777" w:rsidR="00E46245" w:rsidRDefault="00E46245" w:rsidP="00FA5EE8">
    <w:pPr>
      <w:pStyle w:val="Zpat"/>
      <w:tabs>
        <w:tab w:val="clear" w:pos="9072"/>
      </w:tabs>
      <w:jc w:val="right"/>
    </w:pPr>
    <w:r>
      <w:rPr>
        <w:noProof/>
      </w:rPr>
      <w:drawing>
        <wp:anchor distT="0" distB="0" distL="114300" distR="114300" simplePos="0" relativeHeight="251650560" behindDoc="1" locked="0" layoutInCell="1" allowOverlap="0" wp14:anchorId="3A67A1AC" wp14:editId="6B7D137A">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3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155</w:t>
    </w:r>
    <w:r>
      <w:rPr>
        <w:noProof/>
      </w:rPr>
      <w:fldChar w:fldCharType="end"/>
    </w:r>
  </w:p>
  <w:p w14:paraId="67867060" w14:textId="77777777" w:rsidR="00E46245" w:rsidRDefault="00E46245"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6070E" w14:textId="77777777" w:rsidR="00E46245" w:rsidRDefault="00E46245" w:rsidP="00FA5EE8">
    <w:pPr>
      <w:pStyle w:val="Zpat"/>
      <w:tabs>
        <w:tab w:val="clear" w:pos="9072"/>
      </w:tabs>
      <w:jc w:val="right"/>
    </w:pPr>
    <w:r>
      <w:rPr>
        <w:noProof/>
      </w:rPr>
      <w:drawing>
        <wp:anchor distT="0" distB="0" distL="114300" distR="114300" simplePos="0" relativeHeight="251648512" behindDoc="1" locked="0" layoutInCell="1" allowOverlap="0" wp14:anchorId="33EDDD07" wp14:editId="15314DF2">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40"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176</w:t>
    </w:r>
    <w:r>
      <w:rPr>
        <w:noProof/>
      </w:rPr>
      <w:fldChar w:fldCharType="end"/>
    </w:r>
  </w:p>
  <w:p w14:paraId="74298EC8" w14:textId="77777777" w:rsidR="00E46245" w:rsidRDefault="00E46245"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3B091" w14:textId="77777777" w:rsidR="00E46245" w:rsidRPr="00EA68D5" w:rsidRDefault="00E46245" w:rsidP="00EA68D5">
    <w:pPr>
      <w:pStyle w:val="Zpat"/>
      <w:jc w:val="center"/>
      <w:rPr>
        <w:b/>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8EA0D" w14:textId="77777777" w:rsidR="00E46245" w:rsidRDefault="00E46245" w:rsidP="00FA5EE8">
    <w:pPr>
      <w:pStyle w:val="Zpat"/>
      <w:tabs>
        <w:tab w:val="clear" w:pos="9072"/>
      </w:tabs>
      <w:jc w:val="right"/>
    </w:pPr>
    <w:r>
      <w:rPr>
        <w:noProof/>
      </w:rPr>
      <w:drawing>
        <wp:anchor distT="0" distB="0" distL="114300" distR="114300" simplePos="0" relativeHeight="251645440" behindDoc="1" locked="0" layoutInCell="1" allowOverlap="0" wp14:anchorId="244010B9" wp14:editId="24A96527">
          <wp:simplePos x="0" y="0"/>
          <wp:positionH relativeFrom="column">
            <wp:posOffset>7141845</wp:posOffset>
          </wp:positionH>
          <wp:positionV relativeFrom="page">
            <wp:posOffset>6759575</wp:posOffset>
          </wp:positionV>
          <wp:extent cx="1846580" cy="359410"/>
          <wp:effectExtent l="0" t="0" r="1270" b="2540"/>
          <wp:wrapTight wrapText="bothSides">
            <wp:wrapPolygon edited="0">
              <wp:start x="0" y="0"/>
              <wp:lineTo x="0" y="20608"/>
              <wp:lineTo x="21392" y="20608"/>
              <wp:lineTo x="21392" y="0"/>
              <wp:lineTo x="0" y="0"/>
            </wp:wrapPolygon>
          </wp:wrapTight>
          <wp:docPr id="343"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234</w:t>
    </w:r>
    <w:r>
      <w:rPr>
        <w:noProof/>
      </w:rPr>
      <w:fldChar w:fldCharType="end"/>
    </w:r>
  </w:p>
  <w:p w14:paraId="7367AD71" w14:textId="77777777" w:rsidR="00E46245" w:rsidRDefault="00E46245"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74DA9" w14:textId="77777777" w:rsidR="00E46245" w:rsidRDefault="00E46245" w:rsidP="00A870BF">
    <w:pPr>
      <w:pStyle w:val="Zpat"/>
      <w:tabs>
        <w:tab w:val="clear" w:pos="9072"/>
      </w:tabs>
      <w:jc w:val="right"/>
    </w:pPr>
    <w:r>
      <w:rPr>
        <w:noProof/>
      </w:rPr>
      <w:drawing>
        <wp:anchor distT="0" distB="0" distL="114300" distR="114300" simplePos="0" relativeHeight="251661824" behindDoc="1" locked="0" layoutInCell="1" allowOverlap="0" wp14:anchorId="62C87E48" wp14:editId="0A95AB22">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5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247</w:t>
    </w:r>
    <w:r>
      <w:rPr>
        <w:noProof/>
      </w:rPr>
      <w:fldChar w:fldCharType="end"/>
    </w:r>
  </w:p>
  <w:p w14:paraId="257B15C0" w14:textId="77777777" w:rsidR="00E46245" w:rsidRPr="00A870BF" w:rsidRDefault="00E46245" w:rsidP="00A870BF">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FDF20" w14:textId="77777777" w:rsidR="00E46245" w:rsidRDefault="00E46245" w:rsidP="00FA5EE8">
    <w:pPr>
      <w:pStyle w:val="Zpat"/>
      <w:tabs>
        <w:tab w:val="clear" w:pos="9072"/>
      </w:tabs>
      <w:jc w:val="right"/>
    </w:pPr>
    <w:r>
      <w:rPr>
        <w:noProof/>
      </w:rPr>
      <w:drawing>
        <wp:anchor distT="0" distB="0" distL="114300" distR="114300" simplePos="0" relativeHeight="251637248" behindDoc="1" locked="0" layoutInCell="1" allowOverlap="0" wp14:anchorId="68CB07D0" wp14:editId="5E6ED05F">
          <wp:simplePos x="0" y="0"/>
          <wp:positionH relativeFrom="column">
            <wp:posOffset>4017645</wp:posOffset>
          </wp:positionH>
          <wp:positionV relativeFrom="page">
            <wp:posOffset>9885680</wp:posOffset>
          </wp:positionV>
          <wp:extent cx="1846580" cy="359410"/>
          <wp:effectExtent l="0" t="0" r="1270" b="2540"/>
          <wp:wrapTight wrapText="bothSides">
            <wp:wrapPolygon edited="0">
              <wp:start x="0" y="0"/>
              <wp:lineTo x="0" y="20608"/>
              <wp:lineTo x="21392" y="20608"/>
              <wp:lineTo x="21392" y="0"/>
              <wp:lineTo x="0" y="0"/>
            </wp:wrapPolygon>
          </wp:wrapTight>
          <wp:docPr id="292"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41</w:t>
    </w:r>
    <w:r>
      <w:rPr>
        <w:noProof/>
      </w:rPr>
      <w:fldChar w:fldCharType="end"/>
    </w:r>
  </w:p>
  <w:p w14:paraId="4C2F8ED7" w14:textId="77777777" w:rsidR="00E46245" w:rsidRDefault="00E46245"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C2067" w14:textId="77777777" w:rsidR="00E46245" w:rsidRDefault="00E46245" w:rsidP="00FA5EE8">
    <w:pPr>
      <w:pStyle w:val="Zpat"/>
      <w:tabs>
        <w:tab w:val="clear" w:pos="9072"/>
      </w:tabs>
      <w:jc w:val="right"/>
    </w:pPr>
    <w:r>
      <w:rPr>
        <w:noProof/>
      </w:rPr>
      <w:drawing>
        <wp:anchor distT="0" distB="0" distL="114300" distR="114300" simplePos="0" relativeHeight="251642368" behindDoc="1" locked="0" layoutInCell="1" allowOverlap="0" wp14:anchorId="0D0519B8" wp14:editId="7EF6FAF1">
          <wp:simplePos x="0" y="0"/>
          <wp:positionH relativeFrom="column">
            <wp:posOffset>7149465</wp:posOffset>
          </wp:positionH>
          <wp:positionV relativeFrom="page">
            <wp:posOffset>6761480</wp:posOffset>
          </wp:positionV>
          <wp:extent cx="1846580" cy="359410"/>
          <wp:effectExtent l="0" t="0" r="1270" b="2540"/>
          <wp:wrapTight wrapText="bothSides">
            <wp:wrapPolygon edited="0">
              <wp:start x="0" y="0"/>
              <wp:lineTo x="0" y="20608"/>
              <wp:lineTo x="21392" y="20608"/>
              <wp:lineTo x="21392" y="0"/>
              <wp:lineTo x="0" y="0"/>
            </wp:wrapPolygon>
          </wp:wrapTight>
          <wp:docPr id="295"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48</w:t>
    </w:r>
    <w:r>
      <w:rPr>
        <w:noProof/>
      </w:rPr>
      <w:fldChar w:fldCharType="end"/>
    </w:r>
  </w:p>
  <w:p w14:paraId="5B241431" w14:textId="77777777" w:rsidR="00E46245" w:rsidRDefault="00E46245"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640D5" w14:textId="77777777" w:rsidR="00E46245" w:rsidRDefault="00E46245" w:rsidP="00FA5EE8">
    <w:pPr>
      <w:pStyle w:val="Zpat"/>
      <w:tabs>
        <w:tab w:val="clear" w:pos="9072"/>
      </w:tabs>
      <w:jc w:val="right"/>
    </w:pPr>
    <w:r>
      <w:rPr>
        <w:noProof/>
      </w:rPr>
      <w:drawing>
        <wp:anchor distT="0" distB="0" distL="114300" distR="114300" simplePos="0" relativeHeight="251639296" behindDoc="1" locked="0" layoutInCell="1" allowOverlap="0" wp14:anchorId="2AE9000E" wp14:editId="17A4C824">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29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51</w:t>
    </w:r>
    <w:r>
      <w:rPr>
        <w:noProof/>
      </w:rPr>
      <w:fldChar w:fldCharType="end"/>
    </w:r>
  </w:p>
  <w:p w14:paraId="4A01EA18" w14:textId="77777777" w:rsidR="00E46245" w:rsidRDefault="00E46245"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0DC59" w14:textId="77777777" w:rsidR="00E46245" w:rsidRDefault="00E46245" w:rsidP="00FA5EE8">
    <w:pPr>
      <w:pStyle w:val="Zpat"/>
      <w:tabs>
        <w:tab w:val="clear" w:pos="9072"/>
      </w:tabs>
      <w:jc w:val="right"/>
    </w:pPr>
    <w:r>
      <w:rPr>
        <w:noProof/>
      </w:rPr>
      <w:drawing>
        <wp:anchor distT="0" distB="0" distL="114300" distR="114300" simplePos="0" relativeHeight="251638272" behindDoc="1" locked="0" layoutInCell="1" allowOverlap="0" wp14:anchorId="263791F4" wp14:editId="6454B545">
          <wp:simplePos x="0" y="0"/>
          <wp:positionH relativeFrom="column">
            <wp:posOffset>7149465</wp:posOffset>
          </wp:positionH>
          <wp:positionV relativeFrom="page">
            <wp:posOffset>6761480</wp:posOffset>
          </wp:positionV>
          <wp:extent cx="1846580" cy="359410"/>
          <wp:effectExtent l="0" t="0" r="1270" b="2540"/>
          <wp:wrapTight wrapText="bothSides">
            <wp:wrapPolygon edited="0">
              <wp:start x="0" y="0"/>
              <wp:lineTo x="0" y="20608"/>
              <wp:lineTo x="21392" y="20608"/>
              <wp:lineTo x="21392" y="0"/>
              <wp:lineTo x="0" y="0"/>
            </wp:wrapPolygon>
          </wp:wrapTight>
          <wp:docPr id="30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55</w:t>
    </w:r>
    <w:r>
      <w:rPr>
        <w:noProof/>
      </w:rPr>
      <w:fldChar w:fldCharType="end"/>
    </w:r>
  </w:p>
  <w:p w14:paraId="02322325" w14:textId="77777777" w:rsidR="00E46245" w:rsidRDefault="00E46245"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1F837" w14:textId="77777777" w:rsidR="00E46245" w:rsidRDefault="00E46245" w:rsidP="00FA5EE8">
    <w:pPr>
      <w:pStyle w:val="Zpat"/>
      <w:tabs>
        <w:tab w:val="clear" w:pos="9072"/>
      </w:tabs>
      <w:jc w:val="right"/>
    </w:pPr>
    <w:r>
      <w:rPr>
        <w:noProof/>
      </w:rPr>
      <w:drawing>
        <wp:anchor distT="0" distB="0" distL="114300" distR="114300" simplePos="0" relativeHeight="251663872" behindDoc="1" locked="0" layoutInCell="1" allowOverlap="0" wp14:anchorId="3B25B758" wp14:editId="633F1D87">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0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68</w:t>
    </w:r>
    <w:r>
      <w:rPr>
        <w:noProof/>
      </w:rPr>
      <w:fldChar w:fldCharType="end"/>
    </w:r>
  </w:p>
  <w:p w14:paraId="72AC404D"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F0353" w14:textId="77777777" w:rsidR="00E46245" w:rsidRDefault="00E46245" w:rsidP="00FA5EE8">
    <w:pPr>
      <w:pStyle w:val="Zpat"/>
      <w:tabs>
        <w:tab w:val="clear" w:pos="9072"/>
      </w:tabs>
      <w:jc w:val="right"/>
    </w:pPr>
    <w:r>
      <w:rPr>
        <w:noProof/>
      </w:rPr>
      <w:drawing>
        <wp:anchor distT="0" distB="0" distL="114300" distR="114300" simplePos="0" relativeHeight="251664896" behindDoc="1" locked="0" layoutInCell="1" allowOverlap="0" wp14:anchorId="0759D28C" wp14:editId="6258A7B5">
          <wp:simplePos x="0" y="0"/>
          <wp:positionH relativeFrom="column">
            <wp:posOffset>7159625</wp:posOffset>
          </wp:positionH>
          <wp:positionV relativeFrom="page">
            <wp:posOffset>6741160</wp:posOffset>
          </wp:positionV>
          <wp:extent cx="1846580" cy="359410"/>
          <wp:effectExtent l="0" t="0" r="1270" b="2540"/>
          <wp:wrapTight wrapText="bothSides">
            <wp:wrapPolygon edited="0">
              <wp:start x="0" y="0"/>
              <wp:lineTo x="0" y="20608"/>
              <wp:lineTo x="21392" y="20608"/>
              <wp:lineTo x="21392" y="0"/>
              <wp:lineTo x="0" y="0"/>
            </wp:wrapPolygon>
          </wp:wrapTight>
          <wp:docPr id="30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71</w:t>
    </w:r>
    <w:r>
      <w:rPr>
        <w:noProof/>
      </w:rPr>
      <w:fldChar w:fldCharType="end"/>
    </w:r>
  </w:p>
  <w:p w14:paraId="7D1F70A6"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88F9D" w14:textId="77777777" w:rsidR="00E46245" w:rsidRDefault="00E46245" w:rsidP="00FA5EE8">
    <w:pPr>
      <w:pStyle w:val="Zpat"/>
      <w:tabs>
        <w:tab w:val="clear" w:pos="9072"/>
      </w:tabs>
      <w:jc w:val="right"/>
    </w:pPr>
    <w:r>
      <w:rPr>
        <w:noProof/>
      </w:rPr>
      <w:drawing>
        <wp:anchor distT="0" distB="0" distL="114300" distR="114300" simplePos="0" relativeHeight="251665920" behindDoc="1" locked="0" layoutInCell="1" allowOverlap="0" wp14:anchorId="0CE8D970" wp14:editId="2D11FF20">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1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580034">
      <w:rPr>
        <w:noProof/>
      </w:rPr>
      <w:t>89</w:t>
    </w:r>
    <w:r>
      <w:rPr>
        <w:noProof/>
      </w:rPr>
      <w:fldChar w:fldCharType="end"/>
    </w:r>
  </w:p>
  <w:p w14:paraId="736A5DE9"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01E59" w14:textId="77777777" w:rsidR="00E46245" w:rsidRDefault="00E46245" w:rsidP="00F03E3C">
      <w:r>
        <w:separator/>
      </w:r>
    </w:p>
  </w:footnote>
  <w:footnote w:type="continuationSeparator" w:id="0">
    <w:p w14:paraId="1CEB4597" w14:textId="77777777" w:rsidR="00E46245" w:rsidRDefault="00E46245" w:rsidP="00F03E3C">
      <w:r>
        <w:continuationSeparator/>
      </w:r>
    </w:p>
  </w:footnote>
  <w:footnote w:type="continuationNotice" w:id="1">
    <w:p w14:paraId="1BBA29E2" w14:textId="77777777" w:rsidR="00E46245" w:rsidRDefault="00E46245"/>
  </w:footnote>
  <w:footnote w:id="2">
    <w:p w14:paraId="1031D659" w14:textId="77777777" w:rsidR="00E46245" w:rsidRPr="00DD47DF" w:rsidRDefault="00E46245" w:rsidP="0040363A">
      <w:pPr>
        <w:pStyle w:val="Poznmkapodarou"/>
      </w:pPr>
      <w:r w:rsidRPr="00DD47DF">
        <w:rPr>
          <w:rStyle w:val="Znakapoznpodarou"/>
        </w:rPr>
        <w:footnoteRef/>
      </w:r>
      <w:r w:rsidRPr="00DD47DF">
        <w:t xml:space="preserve">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footnote>
  <w:footnote w:id="3">
    <w:p w14:paraId="62F8D49E" w14:textId="77777777" w:rsidR="00E46245" w:rsidRPr="00DD47DF" w:rsidRDefault="00E46245" w:rsidP="0040363A">
      <w:pPr>
        <w:pStyle w:val="Poznmkapodarou"/>
      </w:pPr>
      <w:r w:rsidRPr="00DD47DF">
        <w:rPr>
          <w:rStyle w:val="Znakapoznpodarou"/>
        </w:rPr>
        <w:footnoteRef/>
      </w:r>
      <w:r w:rsidRPr="00DD47DF">
        <w:t xml:space="preserve"> Prováděcí nařízení Komise (EU) č. 288/2014 ze dne 25. února 2014.</w:t>
      </w:r>
    </w:p>
  </w:footnote>
  <w:footnote w:id="4">
    <w:p w14:paraId="7F01ABC1" w14:textId="77777777" w:rsidR="00E46245" w:rsidRPr="00DD47DF" w:rsidRDefault="00E46245" w:rsidP="0040363A">
      <w:pPr>
        <w:pStyle w:val="Poznmkapodarou"/>
      </w:pPr>
      <w:r w:rsidRPr="00DD47DF">
        <w:rPr>
          <w:rStyle w:val="Znakapoznpodarou"/>
        </w:rPr>
        <w:footnoteRef/>
      </w:r>
      <w:r w:rsidRPr="00DD47DF">
        <w:t xml:space="preserve"> KOM (2010) 2020 ze dne 3. března 2010.</w:t>
      </w:r>
    </w:p>
  </w:footnote>
  <w:footnote w:id="5">
    <w:p w14:paraId="7E26FCB3" w14:textId="77777777" w:rsidR="00E46245" w:rsidRPr="00DD47DF" w:rsidRDefault="00E46245" w:rsidP="0040363A">
      <w:pPr>
        <w:pStyle w:val="Poznmkapodarou"/>
      </w:pPr>
      <w:r w:rsidRPr="00DD47DF">
        <w:rPr>
          <w:rStyle w:val="Znakapoznpodarou"/>
        </w:rPr>
        <w:footnoteRef/>
      </w:r>
      <w:r w:rsidRPr="00DD47DF">
        <w:t xml:space="preserve"> Nařízení Evropského parlamentu a Rady (EU) č. 1301/2013 ze dne 17. prosince 2013 o Evropském fondu pro regionální rozvoj, o zvláštních ustanoveních týkajících se cíle Investice pro růst a zaměstnanost a o zrušení nařízení (ES) č. 1080/2006.</w:t>
      </w:r>
    </w:p>
  </w:footnote>
  <w:footnote w:id="6">
    <w:p w14:paraId="38B96D51" w14:textId="77777777" w:rsidR="00E46245" w:rsidRPr="00DD47DF" w:rsidRDefault="00E46245" w:rsidP="0040363A">
      <w:pPr>
        <w:pStyle w:val="Poznmkapodarou"/>
      </w:pPr>
      <w:r w:rsidRPr="00DD47DF">
        <w:rPr>
          <w:rStyle w:val="Znakapoznpodarou"/>
        </w:rPr>
        <w:footnoteRef/>
      </w:r>
      <w:r w:rsidRPr="00DD47DF">
        <w:t xml:space="preserve"> Zhodnocení zkušeností z programovacího období 2007-2013 a jejich návaznosti v programovacím období 2014-2020 z hlediska věcného zaměření intervencí je obsaženo v Nepovinné příloze č. 1.</w:t>
      </w:r>
    </w:p>
  </w:footnote>
  <w:footnote w:id="7">
    <w:p w14:paraId="3CA393DE" w14:textId="77777777" w:rsidR="00E46245" w:rsidRPr="00DD47DF" w:rsidRDefault="00E46245" w:rsidP="0040363A">
      <w:pPr>
        <w:pStyle w:val="Poznmkapodarou"/>
      </w:pPr>
      <w:r w:rsidRPr="00DD47DF">
        <w:rPr>
          <w:rStyle w:val="Znakapoznpodarou"/>
        </w:rPr>
        <w:footnoteRef/>
      </w:r>
      <w:r w:rsidRPr="00DD47DF">
        <w:t xml:space="preserve"> Tato verze programového dokumentu OP PIK obsahuje v Příloze č. I Závěrečnou zprávu, včetně shrnutí, ex-ante hodnocení programu v souladu s čl. 55 bodem 2 obecného nařízení.   </w:t>
      </w:r>
    </w:p>
  </w:footnote>
  <w:footnote w:id="8">
    <w:p w14:paraId="6A6C8483" w14:textId="77777777" w:rsidR="00E46245" w:rsidRPr="00DD47DF" w:rsidRDefault="00E46245" w:rsidP="0040363A">
      <w:pPr>
        <w:pStyle w:val="Poznmkapodarou"/>
        <w:rPr>
          <w:rStyle w:val="Znakapoznpodarou"/>
          <w:vertAlign w:val="baseline"/>
        </w:rPr>
      </w:pPr>
      <w:r w:rsidRPr="00DD47DF">
        <w:rPr>
          <w:rStyle w:val="Znakapoznpodarou"/>
        </w:rPr>
        <w:footnoteRef/>
      </w:r>
      <w:r w:rsidRPr="00DD47DF">
        <w:rPr>
          <w:rStyle w:val="Znakapoznpodarou"/>
          <w:vertAlign w:val="baseline"/>
        </w:rPr>
        <w:t xml:space="preserve"> Nařízení o EFRR, čl. 3.</w:t>
      </w:r>
    </w:p>
  </w:footnote>
  <w:footnote w:id="9">
    <w:p w14:paraId="60247FC3" w14:textId="77777777" w:rsidR="00E46245" w:rsidRPr="00DD47DF" w:rsidRDefault="00E46245" w:rsidP="00120476">
      <w:pPr>
        <w:pStyle w:val="Poznmkapodarou"/>
      </w:pPr>
      <w:r w:rsidRPr="00DD47DF">
        <w:rPr>
          <w:rStyle w:val="Znakapoznpodarou"/>
        </w:rPr>
        <w:footnoteRef/>
      </w:r>
      <w:r w:rsidRPr="00DD47DF">
        <w:t xml:space="preserve"> V úrovních 1 až cca 4 podle Klasifikace řádů inovací z hlediska přínosu užitných hodnot.</w:t>
      </w:r>
    </w:p>
  </w:footnote>
  <w:footnote w:id="10">
    <w:p w14:paraId="73464470" w14:textId="77777777" w:rsidR="00E46245" w:rsidRPr="00DD47DF" w:rsidRDefault="00E46245" w:rsidP="0040363A">
      <w:pPr>
        <w:pStyle w:val="Poznmkapodarou"/>
      </w:pPr>
      <w:r w:rsidRPr="00DD47DF">
        <w:rPr>
          <w:rStyle w:val="Znakapoznpodarou"/>
        </w:rPr>
        <w:footnoteRef/>
      </w:r>
      <w:r w:rsidRPr="00DD47DF">
        <w:t xml:space="preserve"> Evropský fond pro regionální rozvoj (EFRR), Evropský sociální fond (ESF), Fond soudržnosti (FS), Evropský zemědělský fondu pro rozvoj venkova (EZFRV) a Evropský námořní a rybářské fond (EMFF).</w:t>
      </w:r>
    </w:p>
  </w:footnote>
  <w:footnote w:id="11">
    <w:p w14:paraId="69BC6C67" w14:textId="77777777" w:rsidR="00E46245" w:rsidRPr="00DD47DF" w:rsidRDefault="00E46245" w:rsidP="000B0FE7">
      <w:pPr>
        <w:pStyle w:val="Poznmkapodarou"/>
      </w:pPr>
      <w:r w:rsidRPr="00DD47DF">
        <w:rPr>
          <w:rStyle w:val="Znakapoznpodarou"/>
        </w:rPr>
        <w:footnoteRef/>
      </w:r>
      <w:r w:rsidRPr="00DD47DF">
        <w:t xml:space="preserve"> Jedná se o odvětví aplikací, která se odlišují od priorit definovaných z národní úrovně a současně jsou alespoň jedním krajem identifikovány jako oblast jeho inteligentní specializace (viz oddíl 4.2.1.).</w:t>
      </w:r>
    </w:p>
  </w:footnote>
  <w:footnote w:id="12">
    <w:p w14:paraId="7C97A506" w14:textId="77777777" w:rsidR="00E46245" w:rsidRPr="00DD47DF" w:rsidRDefault="00E46245" w:rsidP="000B0FE7">
      <w:pPr>
        <w:pStyle w:val="Poznmkapodarou"/>
      </w:pPr>
      <w:r w:rsidRPr="00DD47DF">
        <w:rPr>
          <w:rStyle w:val="Znakapoznpodarou"/>
        </w:rPr>
        <w:footnoteRef/>
      </w:r>
      <w:r w:rsidRPr="00DD47DF">
        <w:t xml:space="preserve"> Jedná se o znalosti v oblasti IT pro nová média, nakladatelství a média, zpracování a práci s digitálním obsahem, a pro audiovizuální tvorbu.</w:t>
      </w:r>
    </w:p>
  </w:footnote>
  <w:footnote w:id="13">
    <w:p w14:paraId="60A2CFD0" w14:textId="77777777" w:rsidR="00E46245" w:rsidRPr="00DD47DF" w:rsidRDefault="00E46245" w:rsidP="000B0FE7">
      <w:pPr>
        <w:pStyle w:val="Poznmkapodarou"/>
      </w:pPr>
      <w:r w:rsidRPr="00DD47DF">
        <w:rPr>
          <w:rStyle w:val="Znakapoznpodarou"/>
        </w:rPr>
        <w:footnoteRef/>
      </w:r>
      <w:r w:rsidRPr="00DD47DF">
        <w:t xml:space="preserve"> Jedná se o znalosti v oblasti užitého a průmyslového designu, vizuálních a múzických umění a znalosti a dovednosti v oblasti tradiční i moderní živé kultury s využitím v kulturních průmyslech. </w:t>
      </w:r>
    </w:p>
  </w:footnote>
  <w:footnote w:id="14">
    <w:p w14:paraId="610B497C" w14:textId="77777777" w:rsidR="00E46245" w:rsidRPr="00DD47DF" w:rsidRDefault="00E46245" w:rsidP="00782BE3">
      <w:pPr>
        <w:pStyle w:val="Poznmkapodarou"/>
      </w:pPr>
      <w:r w:rsidRPr="00DD47DF">
        <w:rPr>
          <w:rStyle w:val="Znakapoznpodarou"/>
        </w:rPr>
        <w:footnoteRef/>
      </w:r>
      <w:r w:rsidRPr="00DD47DF">
        <w:t xml:space="preserve"> Možnosti využití tepla / vzdálené kogenerace na zemědělských BPS v České republice, zpracovatel NovaEnergo s.r.o., květen 2013</w:t>
      </w:r>
    </w:p>
  </w:footnote>
  <w:footnote w:id="15">
    <w:p w14:paraId="090EFB9B" w14:textId="77777777" w:rsidR="00E46245" w:rsidRPr="00DD47DF" w:rsidRDefault="00E46245" w:rsidP="00F260AA">
      <w:pPr>
        <w:pStyle w:val="Poznmkapodarou"/>
      </w:pPr>
      <w:r w:rsidRPr="00DD47DF">
        <w:rPr>
          <w:rStyle w:val="Znakapoznpodarou"/>
        </w:rPr>
        <w:footnoteRef/>
      </w:r>
      <w:r w:rsidRPr="00DD47DF">
        <w:t xml:space="preserve"> Pro každou bioplynovou stanici byly prozkoumány možnosti využití tepla/ vzdálené kogenerace v okruhu 4 km od instalace. Pokud se v takto blízkém okolí stanice vyskytovalo větší sídlo s centrálním zásobováním teplem, větší průmyslový nebo zemědělský podnik/ areál, nebo jiné stavby, ve kterých by bylo možné teplo využívat, pak je do tabulky doplněno „ano“ (existuje možnost využití tepla/ vzdálené kogenerace). V případě, že se v blízkosti BPS vyskytují větší sídla či areály, ale není zcela jisté, zda jsou centrálně zásobeny teplem či zda jsou v provozu (není přístup k podrobnějším datům), pak je do tabulky doplněno „možná“ (není jisté, zda existuje možnost využití tepla/ vzdálené kogenerace, je třeba získat podrobnější data o okolí).</w:t>
      </w:r>
    </w:p>
  </w:footnote>
  <w:footnote w:id="16">
    <w:p w14:paraId="1ED72FD2" w14:textId="77777777" w:rsidR="00E46245" w:rsidRPr="00DD47DF" w:rsidRDefault="00E46245" w:rsidP="00F260AA">
      <w:pPr>
        <w:pStyle w:val="Poznmkapodarou"/>
      </w:pPr>
      <w:r w:rsidRPr="00DD47DF">
        <w:rPr>
          <w:rStyle w:val="Znakapoznpodarou"/>
        </w:rPr>
        <w:footnoteRef/>
      </w:r>
      <w:r w:rsidRPr="00DD47DF">
        <w:t xml:space="preserve"> Hodnoty v grafech obsahují data za ČEZ Distribuce a. s.</w:t>
      </w:r>
    </w:p>
  </w:footnote>
  <w:footnote w:id="17">
    <w:p w14:paraId="40523BD8" w14:textId="77777777" w:rsidR="00E46245" w:rsidRPr="00DD47DF" w:rsidRDefault="00E46245" w:rsidP="00056DBD">
      <w:pPr>
        <w:pStyle w:val="Textpoznpodarou"/>
      </w:pPr>
      <w:r w:rsidRPr="00DD47DF">
        <w:rPr>
          <w:rStyle w:val="Znakapoznpodarou"/>
        </w:rPr>
        <w:footnoteRef/>
      </w:r>
      <w:r w:rsidRPr="00DD47DF">
        <w:t xml:space="preserve"> Analytická studie na zavádění nízkouhlíkových technologií v rámci ČR pro aktivity zahrnuté v rámci specifického cíle 3.4 OP PIK, ČVUT a spol., říjen 2014.</w:t>
      </w:r>
    </w:p>
  </w:footnote>
  <w:footnote w:id="18">
    <w:p w14:paraId="2DCE9BEC" w14:textId="77777777" w:rsidR="00E46245" w:rsidRPr="00DD47DF" w:rsidRDefault="00E46245" w:rsidP="00F260AA">
      <w:pPr>
        <w:pStyle w:val="Poznmkapodarou"/>
      </w:pPr>
      <w:r w:rsidRPr="00DD47DF">
        <w:rPr>
          <w:rStyle w:val="Znakapoznpodarou"/>
        </w:rPr>
        <w:footnoteRef/>
      </w:r>
      <w:r w:rsidRPr="00DD47DF">
        <w:t xml:space="preserve"> Podle Politiky druhotných surovin ČR lze za druhotnou surovinu považovat látky či předměty, které přestaly být odpadem nebo se odpadem nikdy nestaly (tzn. vedlejší produkty) a vstupují do dalšího procesu výroby či využití, s látkou či předmětem se běžně obchoduje a existují její technické charakteristiky jako např. technické a oborové normy, obchodní zvyklosti apod., které umožňují látku či předmět jednoznačně popsat pro potřeby obchodu či technologického procesu. </w:t>
      </w:r>
    </w:p>
  </w:footnote>
  <w:footnote w:id="19">
    <w:p w14:paraId="6A406707" w14:textId="77777777" w:rsidR="00E46245" w:rsidRPr="00DD47DF" w:rsidRDefault="00E46245" w:rsidP="00F260AA">
      <w:pPr>
        <w:pStyle w:val="Poznmkapodarou"/>
        <w:rPr>
          <w:rFonts w:ascii="Calibri" w:hAnsi="Calibri"/>
        </w:rPr>
      </w:pPr>
      <w:r w:rsidRPr="00DD47DF">
        <w:rPr>
          <w:rStyle w:val="Znakapoznpodarou"/>
        </w:rPr>
        <w:footnoteRef/>
      </w:r>
      <w:r w:rsidRPr="00DD47DF">
        <w:t xml:space="preserve"> ERÚ, 2010: Cenové rozhodnutí Energetického regulačního úřadu č. 1/2010 ze dne 11. října 2010, k cenám tepelné energie</w:t>
      </w:r>
    </w:p>
  </w:footnote>
  <w:footnote w:id="20">
    <w:p w14:paraId="43BD5D85" w14:textId="77777777" w:rsidR="00E46245" w:rsidRPr="00DD47DF" w:rsidRDefault="00E46245" w:rsidP="00F260AA">
      <w:pPr>
        <w:pStyle w:val="Poznmkapodarou"/>
      </w:pPr>
      <w:r w:rsidRPr="00DD47DF">
        <w:rPr>
          <w:rStyle w:val="Znakapoznpodarou"/>
        </w:rPr>
        <w:footnoteRef/>
      </w:r>
      <w:r w:rsidRPr="00DD47DF">
        <w:t xml:space="preserve"> FinTherm Praha - KWH Pipe, a.s., 2013</w:t>
      </w:r>
    </w:p>
  </w:footnote>
  <w:footnote w:id="21">
    <w:p w14:paraId="52B99952" w14:textId="77777777" w:rsidR="00E46245" w:rsidRPr="00DD47DF" w:rsidRDefault="00E46245" w:rsidP="00F260AA">
      <w:pPr>
        <w:pStyle w:val="Poznmkapodarou"/>
      </w:pPr>
      <w:r w:rsidRPr="00DD47DF">
        <w:rPr>
          <w:rStyle w:val="Znakapoznpodarou"/>
        </w:rPr>
        <w:footnoteRef/>
      </w:r>
      <w:r w:rsidRPr="00DD47DF">
        <w:t xml:space="preserve"> V rámci ČR je v současnosti provozováno dle ERÚ 1 531,139 km parních rozvodů, přičemž dle odhadů členů Teplárenského sdružení ČR je možné rekonstruovat 2/3 délky existujících parních rozvodů.</w:t>
      </w:r>
    </w:p>
  </w:footnote>
  <w:footnote w:id="22">
    <w:p w14:paraId="353BCF1C" w14:textId="77777777" w:rsidR="00E46245" w:rsidRPr="00DD47DF" w:rsidRDefault="00E46245" w:rsidP="00F260AA">
      <w:pPr>
        <w:pStyle w:val="Poznmkapodarou"/>
      </w:pPr>
      <w:r w:rsidRPr="00DD47DF">
        <w:rPr>
          <w:rStyle w:val="Znakapoznpodarou"/>
        </w:rPr>
        <w:footnoteRef/>
      </w:r>
      <w:r w:rsidRPr="00DD47DF">
        <w:t xml:space="preserve"> Průměrná hodnota EU-27 nezahrnuje Chorvatsko.</w:t>
      </w:r>
    </w:p>
  </w:footnote>
  <w:footnote w:id="23">
    <w:p w14:paraId="5285235D" w14:textId="77777777" w:rsidR="00E46245" w:rsidRPr="00DD47DF" w:rsidRDefault="00E46245" w:rsidP="00F260AA">
      <w:pPr>
        <w:pStyle w:val="Poznmkapodarou"/>
      </w:pPr>
      <w:r w:rsidRPr="00DD47DF">
        <w:rPr>
          <w:rStyle w:val="Znakapoznpodarou"/>
        </w:rPr>
        <w:footnoteRef/>
      </w:r>
      <w:r w:rsidRPr="00DD47DF">
        <w:t xml:space="preserve"> MPO, 2006: Zpráva o výsledcích analýzy vnitrostátního potenciálu kombinované výroby elektřiny a tepla v České republice podle směrnice 2004/8/ES </w:t>
      </w:r>
    </w:p>
  </w:footnote>
  <w:footnote w:id="24">
    <w:p w14:paraId="58AA777B" w14:textId="77777777" w:rsidR="00E46245" w:rsidRPr="00DD47DF" w:rsidRDefault="00E46245" w:rsidP="00F260AA">
      <w:pPr>
        <w:pStyle w:val="Poznmkapodarou"/>
      </w:pPr>
      <w:r w:rsidRPr="00DD47DF">
        <w:rPr>
          <w:rStyle w:val="Znakapoznpodarou"/>
        </w:rPr>
        <w:footnoteRef/>
      </w:r>
      <w:r w:rsidRPr="00DD47DF">
        <w:t xml:space="preserve"> Data Teplárenského sdružení ČR, ORTEP k 1. 1. 2013</w:t>
      </w:r>
    </w:p>
  </w:footnote>
  <w:footnote w:id="25">
    <w:p w14:paraId="1EB69B94" w14:textId="77777777" w:rsidR="00E46245" w:rsidRPr="00DD47DF" w:rsidRDefault="00E46245" w:rsidP="00570220">
      <w:pPr>
        <w:pStyle w:val="Poznmkapodarou"/>
      </w:pPr>
      <w:r w:rsidRPr="00DD47DF">
        <w:rPr>
          <w:rStyle w:val="Znakapoznpodarou"/>
        </w:rPr>
        <w:footnoteRef/>
      </w:r>
      <w:r w:rsidRPr="00DD47DF">
        <w:t xml:space="preserve"> ICT sektor je definován jako kombinace ekonomických činností produkujících výrobky a poskytujících služby, jež jsou primárně určeny ke zpracování, komunikaci a distribuci informací elektronickou cestou, včetně jejich zachycení, ukládání, přenosu a zobrazení (OECD, 2007).</w:t>
      </w:r>
    </w:p>
  </w:footnote>
  <w:footnote w:id="26">
    <w:p w14:paraId="5E7B33D6" w14:textId="77777777" w:rsidR="00E46245" w:rsidRPr="00DD47DF" w:rsidRDefault="00E46245" w:rsidP="00570220">
      <w:pPr>
        <w:pStyle w:val="Poznmkapodarou"/>
      </w:pPr>
      <w:r w:rsidRPr="00DD47DF">
        <w:rPr>
          <w:rStyle w:val="Znakapoznpodarou"/>
        </w:rPr>
        <w:footnoteRef/>
      </w:r>
      <w:r w:rsidRPr="00DD47DF">
        <w:t xml:space="preserve"> Data převzata převážně z analýzy </w:t>
      </w:r>
      <w:r w:rsidRPr="00DD47DF">
        <w:rPr>
          <w:i/>
        </w:rPr>
        <w:t>Využívání IT v podnicích - výsledky za leden 201</w:t>
      </w:r>
      <w:r w:rsidRPr="00DD47DF">
        <w:t>3, ČSÚ.</w:t>
      </w:r>
    </w:p>
  </w:footnote>
  <w:footnote w:id="27">
    <w:p w14:paraId="378085FD" w14:textId="77777777" w:rsidR="00E46245" w:rsidRPr="00DD47DF" w:rsidRDefault="00E46245" w:rsidP="00782BE3">
      <w:pPr>
        <w:pStyle w:val="Poznmkapodarou"/>
      </w:pPr>
      <w:r w:rsidRPr="00DD47DF">
        <w:rPr>
          <w:rStyle w:val="Znakapoznpodarou"/>
        </w:rPr>
        <w:footnoteRef/>
      </w:r>
      <w:r w:rsidRPr="00DD47DF">
        <w:t xml:space="preserve"> Podle definice Národního institutu pro standardy a technologie Ministerstva obchodu Spojených států Amerických je cloud computing model umožňující na vyžádání všudypřítomný pohodlný síťový přístup ke sdíleným zdrojům konfigurovatelného výpočetního výkonu (např. sítě, servery, datová úložiště, aplikace a služby), který může být velmi rychle připraven a dodán s minimálním úsilím a interakcí poskytovatele.</w:t>
      </w:r>
    </w:p>
  </w:footnote>
  <w:footnote w:id="28">
    <w:p w14:paraId="58A10E4E" w14:textId="77777777" w:rsidR="00E46245" w:rsidRPr="00DD47DF" w:rsidRDefault="00E46245" w:rsidP="00782BE3">
      <w:pPr>
        <w:pStyle w:val="Poznmkapodarou"/>
      </w:pPr>
      <w:r w:rsidRPr="00DD47DF">
        <w:rPr>
          <w:rStyle w:val="Znakapoznpodarou"/>
        </w:rPr>
        <w:footnoteRef/>
      </w:r>
      <w:r w:rsidRPr="00DD47DF">
        <w:t xml:space="preserve"> Feuerlicht, George, Burkon, Lukáš a Šebesta, Michal. Cloud Computing Adoption: What are the Issues, 2010. http://www.cssi.cz/cssi/system/files/all/si-2011-02p-16-Feuerlicht-Burkon-Sebesta.pdf.</w:t>
      </w:r>
    </w:p>
  </w:footnote>
  <w:footnote w:id="29">
    <w:p w14:paraId="35AEA68B" w14:textId="77777777" w:rsidR="00E46245" w:rsidRPr="00DD47DF" w:rsidRDefault="00E46245" w:rsidP="00782BE3">
      <w:pPr>
        <w:pStyle w:val="Poznmkapodarou"/>
      </w:pPr>
      <w:r w:rsidRPr="00DD47DF">
        <w:rPr>
          <w:rStyle w:val="Znakapoznpodarou"/>
        </w:rPr>
        <w:footnoteRef/>
      </w:r>
      <w:r w:rsidRPr="00DD47DF">
        <w:t xml:space="preserve"> </w:t>
      </w:r>
      <w:r w:rsidRPr="00DD47DF">
        <w:rPr>
          <w:bCs/>
          <w:szCs w:val="22"/>
        </w:rPr>
        <w:t>CIO Business World. Google: čeští podnikatelé nevědí, co je cloud. CIO Business World, 2011. http://businessworld.cz/temata?id=2&amp;article=on&amp;article_id=8309&amp;cat=&amp;q=Cloud%20computing&amp;sid=google-cesti-podnikatele-nevedi-co-je-cloud.</w:t>
      </w:r>
    </w:p>
  </w:footnote>
  <w:footnote w:id="30">
    <w:p w14:paraId="08380508" w14:textId="77777777" w:rsidR="00E46245" w:rsidRPr="00DD47DF" w:rsidRDefault="00E46245" w:rsidP="00BE7303">
      <w:pPr>
        <w:pStyle w:val="Textpoznpodarou"/>
        <w:spacing w:after="120"/>
      </w:pPr>
      <w:r w:rsidRPr="00DD47DF">
        <w:rPr>
          <w:rStyle w:val="Znakapoznpodarou"/>
        </w:rPr>
        <w:footnoteRef/>
      </w:r>
      <w:r w:rsidRPr="00DD47DF">
        <w:t xml:space="preserve"> Např. „Analýza absorpční kapacity a návrh cílových hodnot indikátorů OP PIK 2014 – 2020“, HaskoningDHV Czech Republic, spol. s r.o. (únor 2014).</w:t>
      </w:r>
    </w:p>
  </w:footnote>
  <w:footnote w:id="31">
    <w:p w14:paraId="6825B1E9" w14:textId="77777777" w:rsidR="00E46245" w:rsidRPr="00DD47DF" w:rsidRDefault="00E46245" w:rsidP="00BE7303">
      <w:pPr>
        <w:pStyle w:val="Textpoznpodarou"/>
        <w:spacing w:after="120"/>
      </w:pPr>
      <w:r w:rsidRPr="00DD47DF">
        <w:rPr>
          <w:rStyle w:val="Znakapoznpodarou"/>
        </w:rPr>
        <w:footnoteRef/>
      </w:r>
      <w:r w:rsidRPr="00DD47DF">
        <w:t xml:space="preserve"> Dle čl. 120 bodu 2 písm. a) obecného nařízení.</w:t>
      </w:r>
    </w:p>
  </w:footnote>
  <w:footnote w:id="32">
    <w:p w14:paraId="092725B8" w14:textId="77777777" w:rsidR="00E46245" w:rsidRPr="00DD47DF" w:rsidRDefault="00E46245" w:rsidP="00BE7303">
      <w:pPr>
        <w:pStyle w:val="Textpoznpodarou"/>
        <w:spacing w:after="120"/>
      </w:pPr>
      <w:r w:rsidRPr="00DD47DF">
        <w:rPr>
          <w:rStyle w:val="Znakapoznpodarou"/>
        </w:rPr>
        <w:footnoteRef/>
      </w:r>
      <w:r w:rsidRPr="00DD47DF">
        <w:t xml:space="preserve"> Materiál „Pravidla spolufinancování Evropských strukturálních a investičních fondů v programovém období 2014-2020 (MF, červen 2014, kapitola 5.1.6), schválen vládou ČR usnesením č, 583/2014.</w:t>
      </w:r>
    </w:p>
  </w:footnote>
  <w:footnote w:id="33">
    <w:p w14:paraId="3DDEB0CD" w14:textId="77777777" w:rsidR="00E46245" w:rsidRPr="00DD47DF" w:rsidRDefault="00E46245">
      <w:pPr>
        <w:pStyle w:val="Textpoznpodarou"/>
      </w:pPr>
      <w:r w:rsidRPr="00DD47DF">
        <w:rPr>
          <w:rStyle w:val="Znakapoznpodarou"/>
        </w:rPr>
        <w:footnoteRef/>
      </w:r>
      <w:r w:rsidRPr="00DD47DF">
        <w:t xml:space="preserve"> Přístup Řídícího orgánu OP PIK k monitoringu je popsán v Nepovinné příloze č. 3. </w:t>
      </w:r>
    </w:p>
  </w:footnote>
  <w:footnote w:id="34">
    <w:p w14:paraId="233181B7" w14:textId="77777777" w:rsidR="00E46245" w:rsidRPr="00DD47DF" w:rsidRDefault="00E46245" w:rsidP="00C26C42">
      <w:pPr>
        <w:pStyle w:val="Poznmkapodarou"/>
      </w:pPr>
      <w:r w:rsidRPr="00DD47DF">
        <w:rPr>
          <w:rStyle w:val="Znakapoznpodarou"/>
        </w:rPr>
        <w:footnoteRef/>
      </w:r>
      <w:r w:rsidRPr="00DD47DF">
        <w:t xml:space="preserve"> Jedná se o inovace 5. – 9. řádu dle Klasifikace řádů inovací (dle publikace Inovační podnikání, 2007, dostupné na http://www.aipcr.cz/pdf/publikace_inovacni_podnikani.pdf).</w:t>
      </w:r>
    </w:p>
  </w:footnote>
  <w:footnote w:id="35">
    <w:p w14:paraId="3D4A09C5" w14:textId="77777777" w:rsidR="00E46245" w:rsidRPr="00DD47DF" w:rsidRDefault="00E46245">
      <w:pPr>
        <w:pStyle w:val="Textpoznpodarou"/>
      </w:pPr>
      <w:r w:rsidRPr="00DD47DF">
        <w:rPr>
          <w:rStyle w:val="Znakapoznpodarou"/>
        </w:rPr>
        <w:footnoteRef/>
      </w:r>
      <w:r w:rsidRPr="00DD47DF">
        <w:t xml:space="preserve"> V elektronickém systému SFC2014 je uvedena střední hodnota intervalu, tj. 0,71.</w:t>
      </w:r>
    </w:p>
  </w:footnote>
  <w:footnote w:id="36">
    <w:p w14:paraId="5C659E8F" w14:textId="77777777" w:rsidR="00E46245" w:rsidRPr="00DD47DF" w:rsidRDefault="00E46245" w:rsidP="007E6815">
      <w:pPr>
        <w:pStyle w:val="Poznmkapodarou"/>
      </w:pPr>
      <w:r w:rsidRPr="00DD47DF">
        <w:rPr>
          <w:rStyle w:val="Znakapoznpodarou"/>
        </w:rPr>
        <w:footnoteRef/>
      </w:r>
      <w:r w:rsidRPr="00DD47DF">
        <w:t xml:space="preserve"> V elektronickém systému SFC2014 je uvedena střední hodnota intervalu, tj. 30,4.</w:t>
      </w:r>
    </w:p>
  </w:footnote>
  <w:footnote w:id="37">
    <w:p w14:paraId="4180C58A" w14:textId="77777777" w:rsidR="00E46245" w:rsidRPr="00DD47DF" w:rsidRDefault="00E46245" w:rsidP="00A25CBC">
      <w:pPr>
        <w:pStyle w:val="Poznmkapodarou"/>
      </w:pPr>
      <w:r w:rsidRPr="00DD47DF">
        <w:rPr>
          <w:rStyle w:val="Znakapoznpodarou"/>
        </w:rPr>
        <w:footnoteRef/>
      </w:r>
      <w:r w:rsidRPr="00DD47DF">
        <w:t xml:space="preserve"> Inovací se rozumí implementace nového nebo signifikantně zlepšeného produktu/služby, procesu nebo nové organizační či marketingové metody, přičemž se musí jednat o produkty, procesy a metody, které jsou minimálně nové (či podstatně zlepšené) pro danou firmu. Inovace může vycházet z vlastních vývojových aktivit firmy, nebo může být převzata z jiné organizace (dle Oslo Manual OECD, dostupný na </w:t>
      </w:r>
      <w:hyperlink r:id="rId1" w:history="1">
        <w:r w:rsidRPr="00DD47DF">
          <w:rPr>
            <w:rStyle w:val="Hypertextovodkaz"/>
            <w:color w:val="auto"/>
            <w:u w:val="none"/>
          </w:rPr>
          <w:t>http://www.oecd.org/science/inno/2367580.pdf</w:t>
        </w:r>
      </w:hyperlink>
      <w:r w:rsidRPr="00DD47DF">
        <w:t>).</w:t>
      </w:r>
    </w:p>
  </w:footnote>
  <w:footnote w:id="38">
    <w:p w14:paraId="04272710" w14:textId="77777777" w:rsidR="00E46245" w:rsidRPr="00DD47DF" w:rsidRDefault="00E46245" w:rsidP="00A25CBC">
      <w:pPr>
        <w:pStyle w:val="Poznmkapodarou"/>
      </w:pPr>
      <w:r w:rsidRPr="00DD47DF">
        <w:rPr>
          <w:rStyle w:val="Znakapoznpodarou"/>
        </w:rPr>
        <w:footnoteRef/>
      </w:r>
      <w:r w:rsidRPr="00DD47DF">
        <w:t xml:space="preserve"> Ekoinovace je jakákoliv inovace, která generuje efekty žádoucí z hlediska ochrany životního prostředí. Ekoinovace lze vyvíjet a uplatňovat ve službách, technologiích, produktech a systémech řízení.</w:t>
      </w:r>
    </w:p>
  </w:footnote>
  <w:footnote w:id="39">
    <w:p w14:paraId="6D1241D0" w14:textId="77777777" w:rsidR="00E46245" w:rsidRPr="00DD47DF" w:rsidRDefault="00E46245" w:rsidP="00A25CBC">
      <w:pPr>
        <w:pStyle w:val="Textpoznpodarou"/>
      </w:pPr>
      <w:r w:rsidRPr="00DD47DF">
        <w:rPr>
          <w:rStyle w:val="Znakapoznpodarou"/>
        </w:rPr>
        <w:footnoteRef/>
      </w:r>
      <w:r w:rsidRPr="00DD47DF">
        <w:t xml:space="preserve"> „Příprava na budoucnost: vývoj společné strategie pro klíčové technologie v EU“ </w:t>
      </w:r>
      <w:r w:rsidRPr="00DD47DF">
        <w:cr/>
        <w:t>http://eur-lex.europa.eu/legal-content/CS/TXT/PDF/?uri=CELEX:52009DC0512&amp;from=EN</w:t>
      </w:r>
    </w:p>
  </w:footnote>
  <w:footnote w:id="40">
    <w:p w14:paraId="7073C0D2" w14:textId="77777777" w:rsidR="00E46245" w:rsidRPr="00DD47DF" w:rsidRDefault="00E46245" w:rsidP="00A25CBC">
      <w:pPr>
        <w:pStyle w:val="Poznmkapodarou"/>
      </w:pPr>
      <w:r w:rsidRPr="00DD47DF">
        <w:rPr>
          <w:rStyle w:val="Znakapoznpodarou"/>
        </w:rPr>
        <w:footnoteRef/>
      </w:r>
      <w:r w:rsidRPr="00DD47DF">
        <w:t xml:space="preserve"> Přeshraniční síť Ira-SMEnapř. umožňuje koordinovanou podporu VaV projektů MSP z dvou či více partnerských zemí, přičemž každý řídicí orgán poskytuje podporu subjektu z příslušné programové oblasti za předpokladu, že jsou prokázány pozitivní dopady pro oba regiony. </w:t>
      </w:r>
    </w:p>
  </w:footnote>
  <w:footnote w:id="41">
    <w:p w14:paraId="110CEA4E" w14:textId="77777777" w:rsidR="00E46245" w:rsidRPr="00DD47DF" w:rsidRDefault="00E46245" w:rsidP="00A25CBC">
      <w:pPr>
        <w:pStyle w:val="Textpoznpodarou"/>
        <w:spacing w:after="120"/>
      </w:pPr>
      <w:r w:rsidRPr="00DD47DF">
        <w:rPr>
          <w:rStyle w:val="Znakapoznpodarou"/>
        </w:rPr>
        <w:footnoteRef/>
      </w:r>
      <w:r w:rsidRPr="00DD47DF">
        <w:t xml:space="preserve"> Zemědělský podnikatel definovaný zákonem č. 252/1997 Sb., o zemědělství.</w:t>
      </w:r>
    </w:p>
  </w:footnote>
  <w:footnote w:id="42">
    <w:p w14:paraId="37855BB2" w14:textId="77777777" w:rsidR="00E46245" w:rsidRPr="00DD47DF" w:rsidRDefault="00E46245" w:rsidP="007E6815">
      <w:pPr>
        <w:pStyle w:val="Poznmkapodarou"/>
      </w:pPr>
      <w:r w:rsidRPr="00DD47DF">
        <w:rPr>
          <w:rStyle w:val="Znakapoznpodarou"/>
        </w:rPr>
        <w:footnoteRef/>
      </w:r>
      <w:r w:rsidRPr="00DD47DF">
        <w:t xml:space="preserve"> V elektronickém systému SFC2014 je uvedena střední hodnota intervalu, tj. 7,0.</w:t>
      </w:r>
    </w:p>
  </w:footnote>
  <w:footnote w:id="43">
    <w:p w14:paraId="121B9FB2" w14:textId="77777777" w:rsidR="00E46245" w:rsidRPr="00DD47DF" w:rsidRDefault="00E46245" w:rsidP="00497C7C">
      <w:pPr>
        <w:pStyle w:val="Poznmkapodarou"/>
      </w:pPr>
      <w:r w:rsidRPr="00DD47DF">
        <w:rPr>
          <w:rStyle w:val="Znakapoznpodarou"/>
        </w:rPr>
        <w:footnoteRef/>
      </w:r>
      <w:r w:rsidRPr="00DD47DF">
        <w:t xml:space="preserve"> Pojem sdílená infrastruktura zahrnuje vědeckotechnické parky, včetně podnikatelských inkubátorů a infrastrukturu provozovanou klastry (zejména zařízení a nástroje pro výzkum a vývoj).</w:t>
      </w:r>
    </w:p>
  </w:footnote>
  <w:footnote w:id="44">
    <w:p w14:paraId="48CA35F2" w14:textId="77777777" w:rsidR="00E46245" w:rsidRPr="00DD47DF" w:rsidRDefault="00E46245" w:rsidP="00497C7C">
      <w:pPr>
        <w:pStyle w:val="Poznmkapodarou"/>
      </w:pPr>
      <w:r w:rsidRPr="00DD47DF">
        <w:rPr>
          <w:rStyle w:val="Znakapoznpodarou"/>
        </w:rPr>
        <w:footnoteRef/>
      </w:r>
      <w:r w:rsidRPr="00DD47DF">
        <w:t xml:space="preserve"> Motivací MSP bude tedy zejména přístup ke kapacitám a znalostem, které jim chybějí ve vyjmenovaných oblastech a významně ztěžují úspěšnou realizaci inovačních aktivit.  Stěžejním prvkem pro širší využívání služeb bude dostatek kvalitních lidských zdrojů působících v inovační infrastruktuře, které navíc budou disponovat kontakty na další odborníky a výzkumné týmy ve znalostních institucích v ČR i v zahraničí. Motivačním prvkem budou i příklady dobré praxe podniků, které implementovaly nové postupy či aktivity s pomocí již existující a úspěšně fungující inovační infrastruktury.</w:t>
      </w:r>
    </w:p>
  </w:footnote>
  <w:footnote w:id="45">
    <w:p w14:paraId="10846D4B" w14:textId="77777777" w:rsidR="00E46245" w:rsidRPr="00DD47DF" w:rsidRDefault="00E46245" w:rsidP="00497C7C">
      <w:pPr>
        <w:pStyle w:val="Poznmkapodarou"/>
      </w:pPr>
      <w:r w:rsidRPr="00DD47DF">
        <w:rPr>
          <w:rStyle w:val="Znakapoznpodarou"/>
        </w:rPr>
        <w:footnoteRef/>
      </w:r>
      <w:r w:rsidRPr="00DD47DF">
        <w:t xml:space="preserve"> Před výstavbou nové sdílené infrastruktury bude vždy prioritizováno její rozšiřování. </w:t>
      </w:r>
      <w:r w:rsidRPr="00DD47DF">
        <w:tab/>
      </w:r>
    </w:p>
  </w:footnote>
  <w:footnote w:id="46">
    <w:p w14:paraId="43618AB2" w14:textId="77777777" w:rsidR="00E46245" w:rsidRPr="00DD47DF" w:rsidRDefault="00E46245" w:rsidP="00497C7C">
      <w:pPr>
        <w:pStyle w:val="Poznmkapodarou"/>
      </w:pPr>
      <w:r w:rsidRPr="00DD47DF">
        <w:rPr>
          <w:rStyle w:val="Znakapoznpodarou"/>
        </w:rPr>
        <w:footnoteRef/>
      </w:r>
      <w:r w:rsidRPr="00DD47DF">
        <w:t xml:space="preserve"> Např. zapojením do přeshraniční sítě kolektivního výzkumu CORNET.</w:t>
      </w:r>
    </w:p>
  </w:footnote>
  <w:footnote w:id="47">
    <w:p w14:paraId="1012AE33" w14:textId="77777777" w:rsidR="00E46245" w:rsidRPr="00DD47DF" w:rsidRDefault="00E46245" w:rsidP="00497C7C">
      <w:pPr>
        <w:pStyle w:val="Poznmkapodarou"/>
      </w:pPr>
      <w:r w:rsidRPr="00DD47DF">
        <w:rPr>
          <w:rStyle w:val="Znakapoznpodarou"/>
        </w:rPr>
        <w:footnoteRef/>
      </w:r>
      <w:r w:rsidRPr="00DD47DF">
        <w:t xml:space="preserve"> Dle zákona č. 89/2012 Sb., občanský zákoník.</w:t>
      </w:r>
    </w:p>
  </w:footnote>
  <w:footnote w:id="48">
    <w:p w14:paraId="37B1A4B5" w14:textId="15BC6AA5" w:rsidR="00E46245" w:rsidRPr="00DD47DF" w:rsidRDefault="00E46245" w:rsidP="00FE0B02">
      <w:pPr>
        <w:pStyle w:val="Poznmkapodarou"/>
        <w:rPr>
          <w:strike/>
        </w:rPr>
      </w:pPr>
      <w:r w:rsidRPr="00DD47DF">
        <w:rPr>
          <w:rStyle w:val="Znakapoznpodarou"/>
        </w:rPr>
        <w:footnoteRef/>
      </w:r>
      <w:r w:rsidRPr="00DD47DF">
        <w:t xml:space="preserve"> </w:t>
      </w:r>
      <w:r w:rsidRPr="008247A4">
        <w:t>Relevantní aktivity velkých podniků budou načítány do odpovídajících kódů intervencí (002, 057). Tyto kódy spadají do podmínky účasti velkých podniků v OP PIK uvedené v kapitole 1.1. Projekty přímé spolupráce velkých podniků s malými a středními podniky v rámci SC1.1 (s kódem intervence 063), projekty velkých podniků, které jsou stoprocentně zaměřeny na životní prostředí (tj. s kódem intervence 065) v rámci SC1.1, a projekty velkých podniků v rámci SC 1.2 (s kódem intervence 063, 059) nespadají do výpočtu velkých podniků v OP PIK.</w:t>
      </w:r>
    </w:p>
  </w:footnote>
  <w:footnote w:id="49">
    <w:p w14:paraId="350886DA" w14:textId="77777777" w:rsidR="00E129EE" w:rsidRPr="00DD47DF" w:rsidRDefault="00E129EE">
      <w:pPr>
        <w:pStyle w:val="Textpoznpodarou"/>
      </w:pPr>
      <w:r w:rsidRPr="00DD47DF">
        <w:rPr>
          <w:rStyle w:val="Znakapoznpodarou"/>
        </w:rPr>
        <w:footnoteRef/>
      </w:r>
      <w:r w:rsidRPr="00DD47DF">
        <w:t xml:space="preserve"> Tato hodnota je pouze indikativní, případné odchylky stanoví předběžné posouzení finančních nástrojů OP PIK. </w:t>
      </w:r>
    </w:p>
  </w:footnote>
  <w:footnote w:id="50">
    <w:p w14:paraId="232A1D88" w14:textId="77777777" w:rsidR="00E46245" w:rsidRPr="00DD47DF" w:rsidRDefault="00E46245">
      <w:pPr>
        <w:pStyle w:val="Textpoznpodarou"/>
      </w:pPr>
      <w:r w:rsidRPr="00DD47DF">
        <w:rPr>
          <w:rStyle w:val="Znakapoznpodarou"/>
        </w:rPr>
        <w:footnoteRef/>
      </w:r>
      <w:r w:rsidRPr="00DD47DF">
        <w:t xml:space="preserve"> V elektronickém systému SFC2014 je uvedena střední hodnota intervalu, tj. 56.</w:t>
      </w:r>
    </w:p>
  </w:footnote>
  <w:footnote w:id="51">
    <w:p w14:paraId="21BBB70F" w14:textId="77777777" w:rsidR="00E46245" w:rsidRPr="00DD47DF" w:rsidRDefault="00E46245">
      <w:pPr>
        <w:pStyle w:val="Textpoznpodarou"/>
      </w:pPr>
      <w:r w:rsidRPr="00DD47DF">
        <w:rPr>
          <w:rStyle w:val="Znakapoznpodarou"/>
        </w:rPr>
        <w:footnoteRef/>
      </w:r>
      <w:r w:rsidRPr="00DD47DF">
        <w:t xml:space="preserve"> V elektronickém systému SFC2014 je uvedena střední hodnota intervalu, tj. 68,5.</w:t>
      </w:r>
    </w:p>
  </w:footnote>
  <w:footnote w:id="52">
    <w:p w14:paraId="396A8D52" w14:textId="77777777" w:rsidR="00E46245" w:rsidRPr="00DD47DF" w:rsidRDefault="00E46245" w:rsidP="001F0C50">
      <w:pPr>
        <w:pStyle w:val="Poznmkapodarou"/>
      </w:pPr>
      <w:r w:rsidRPr="00DD47DF">
        <w:rPr>
          <w:rStyle w:val="Znakapoznpodarou"/>
        </w:rPr>
        <w:footnoteRef/>
      </w:r>
      <w:r w:rsidRPr="00DD47DF">
        <w:t xml:space="preserve"> Jedná se o inovace 1. – 4. řádu dle Klasifikace řádů inovací (dle publikace Inovační podnikání, 2007, dostupné na http://www.aipcr.cz/pdf/publikace_inovacni_podnikani.pdf).</w:t>
      </w:r>
    </w:p>
  </w:footnote>
  <w:footnote w:id="53">
    <w:p w14:paraId="3760CE30" w14:textId="20C4E7AB" w:rsidR="00E46245" w:rsidRPr="00DD47DF" w:rsidRDefault="00E46245">
      <w:pPr>
        <w:pStyle w:val="Textpoznpodarou"/>
      </w:pPr>
      <w:r w:rsidRPr="00DD47DF">
        <w:rPr>
          <w:rStyle w:val="Znakapoznpodarou"/>
        </w:rPr>
        <w:footnoteRef/>
      </w:r>
      <w:r w:rsidRPr="00DD47DF">
        <w:t xml:space="preserve"> V elektronickém systému SFC2014 je uvedena střední hodnota intervalu, tj. </w:t>
      </w:r>
      <w:r>
        <w:t>23,05</w:t>
      </w:r>
      <w:r w:rsidRPr="00DD47DF">
        <w:t>.</w:t>
      </w:r>
    </w:p>
  </w:footnote>
  <w:footnote w:id="54">
    <w:p w14:paraId="17D2E7CC" w14:textId="77777777" w:rsidR="00E46245" w:rsidRPr="00DD47DF" w:rsidRDefault="00E46245">
      <w:pPr>
        <w:pStyle w:val="Textpoznpodarou"/>
      </w:pPr>
      <w:r w:rsidRPr="00DD47DF">
        <w:rPr>
          <w:rStyle w:val="Znakapoznpodarou"/>
        </w:rPr>
        <w:footnoteRef/>
      </w:r>
      <w:r w:rsidRPr="00DD47DF">
        <w:t xml:space="preserve"> V elektronickém systému SFC2014 je uvedena střední hodnota intervalu, tj. 259 750 000.</w:t>
      </w:r>
    </w:p>
  </w:footnote>
  <w:footnote w:id="55">
    <w:p w14:paraId="2DBF5BA1" w14:textId="77777777" w:rsidR="00E46245" w:rsidRPr="00DD47DF" w:rsidRDefault="00E46245">
      <w:pPr>
        <w:pStyle w:val="Textpoznpodarou"/>
      </w:pPr>
      <w:r w:rsidRPr="00DD47DF">
        <w:rPr>
          <w:rStyle w:val="Znakapoznpodarou"/>
        </w:rPr>
        <w:footnoteRef/>
      </w:r>
      <w:r w:rsidRPr="00DD47DF">
        <w:t xml:space="preserve">  Financování i takových nákladů, které jsou obvykle způsobilými náklady pouze v rámci pravidel Evropského sociálního fondu, a to až do výše 10 % prostředků na prioritní osu. Podmínkou pro možnost financování aktivit v rámci křížového financování je nezbytnost těchto aktivit pro dosažení cílů podpořených projektů v tomto specifickém cíli OP PIK a jejich přímá vazba na tyto projekty. </w:t>
      </w:r>
    </w:p>
  </w:footnote>
  <w:footnote w:id="56">
    <w:p w14:paraId="09FF727E" w14:textId="77777777" w:rsidR="00E46245" w:rsidRPr="00DD47DF" w:rsidRDefault="00E46245" w:rsidP="00157906">
      <w:pPr>
        <w:pStyle w:val="Poznmkapodarou"/>
      </w:pPr>
      <w:r w:rsidRPr="00DD47DF">
        <w:rPr>
          <w:rStyle w:val="Znakapoznpodarou"/>
        </w:rPr>
        <w:footnoteRef/>
      </w:r>
      <w:r w:rsidRPr="00DD47DF">
        <w:t xml:space="preserve"> Snížení celkových ročních emisí suspendovaných částic PM10 a emisí oxidů dusíků, oxidu siřičitého a amoniaku jako výchozích látek pro vznik sekundárních prachových částic v tunách za rok. Hodnota indikátoru se získá součtem celkových ročních emisí PM10 a prekurzorů sekundárních částic v tunách násobených jejich faktorem potenciálu tvorby částic.</w:t>
      </w:r>
    </w:p>
  </w:footnote>
  <w:footnote w:id="57">
    <w:p w14:paraId="27D7F9B5" w14:textId="77777777" w:rsidR="00E46245" w:rsidRPr="00DD47DF" w:rsidRDefault="00E46245" w:rsidP="0038435E">
      <w:pPr>
        <w:pStyle w:val="Textpoznpodarou"/>
      </w:pPr>
      <w:r w:rsidRPr="00DD47DF">
        <w:rPr>
          <w:rStyle w:val="Znakapoznpodarou"/>
        </w:rPr>
        <w:footnoteRef/>
      </w:r>
      <w:r w:rsidRPr="00DD47DF">
        <w:t xml:space="preserve"> Dle zákona č. 76/2002 Sb., o integrované prevenci a omezování znečištění, jsou nejlepší dostupné techniky (BAT – Best Available Techniques) definované jako nejúčinnější a nejpokročilejší stadium vývoje technologií a činností a způsobů jejich provozování, které ukazují praktickou vhodnost určitých technik navržených k předcházení, a pokud to není možné, tak k omezování emisí a jejich dopadů na životní prostředí.</w:t>
      </w:r>
    </w:p>
    <w:p w14:paraId="2393557E" w14:textId="77777777" w:rsidR="00E46245" w:rsidRPr="00DD47DF" w:rsidRDefault="00E46245" w:rsidP="0038435E">
      <w:pPr>
        <w:pStyle w:val="Textpoznpodarou"/>
      </w:pPr>
      <w:r w:rsidRPr="00DD47DF">
        <w:t>Jedná se o takové techniky, které zajišťují nejvyšší možnou ochranu životního prostředí a jsou přitom reálně dostupné, tzn. umožňují jejich zavedení v aktuálních technicko - ekonomických podmínkách.</w:t>
      </w:r>
    </w:p>
  </w:footnote>
  <w:footnote w:id="58">
    <w:p w14:paraId="66439A36" w14:textId="77777777" w:rsidR="00E46245" w:rsidRPr="00DD47DF" w:rsidRDefault="00E46245" w:rsidP="008A674D">
      <w:pPr>
        <w:pStyle w:val="Poznmkapodarou"/>
      </w:pPr>
      <w:r w:rsidRPr="00DD47DF">
        <w:rPr>
          <w:rStyle w:val="Znakapoznpodarou"/>
        </w:rPr>
        <w:footnoteRef/>
      </w:r>
      <w:r w:rsidRPr="00DD47DF">
        <w:t xml:space="preserve"> Využití této metody je ovšem zásadně ovlivňováno finančním trhem a tudíž jeho stimulace musí být založena na podrobné analýze finančního sektoru i s ohledem na připravovanou ex ante analýzu FN dle čl. 37 obecného nařízení.</w:t>
      </w:r>
    </w:p>
  </w:footnote>
  <w:footnote w:id="59">
    <w:p w14:paraId="4A8008D8" w14:textId="77777777" w:rsidR="00E46245" w:rsidRPr="00DD47DF" w:rsidRDefault="00E46245" w:rsidP="00C61714">
      <w:pPr>
        <w:pStyle w:val="Poznmkapodarou"/>
      </w:pPr>
      <w:r w:rsidRPr="00DD47DF">
        <w:rPr>
          <w:rStyle w:val="Znakapoznpodarou"/>
        </w:rPr>
        <w:footnoteRef/>
      </w:r>
      <w:r w:rsidRPr="00DD47DF">
        <w:t xml:space="preserve"> Cílová hodnota reflektuje predikci hospodářského růstu a s tím spojený růst spotřeby energie.</w:t>
      </w:r>
    </w:p>
  </w:footnote>
  <w:footnote w:id="60">
    <w:p w14:paraId="2CE030A5" w14:textId="77777777" w:rsidR="00E46245" w:rsidRPr="00DD47DF" w:rsidRDefault="00E46245" w:rsidP="00C61714">
      <w:pPr>
        <w:pStyle w:val="Poznmkapodarou"/>
      </w:pPr>
      <w:r w:rsidRPr="00DD47DF">
        <w:rPr>
          <w:rStyle w:val="Znakapoznpodarou"/>
        </w:rPr>
        <w:footnoteRef/>
      </w:r>
      <w:r w:rsidRPr="00DD47DF">
        <w:t xml:space="preserve"> Cílová hodnota reflektuje predikci hospodářského růstu a s tím spojený růst spotřeby energie.</w:t>
      </w:r>
    </w:p>
  </w:footnote>
  <w:footnote w:id="61">
    <w:p w14:paraId="2FB6EC2E" w14:textId="77777777" w:rsidR="00E46245" w:rsidRPr="00DD47DF" w:rsidRDefault="00E46245" w:rsidP="00157906">
      <w:pPr>
        <w:pStyle w:val="Poznmkapodarou"/>
      </w:pPr>
      <w:r w:rsidRPr="00DD47DF">
        <w:rPr>
          <w:rStyle w:val="Znakapoznpodarou"/>
        </w:rPr>
        <w:footnoteRef/>
      </w:r>
      <w:r w:rsidRPr="00DD47DF">
        <w:t xml:space="preserve"> Snížení celkových ročních emisí suspendovaných částic PM10 a emisí oxidů dusíků, oxidu siřičitého a amoniaku jako výchozích látek pro vznik sekundárních prachových částic v tunách za rok. Hodnota indikátoru se získá součtem celkových ročních emisí PM10 a prekurzorů sekundárních částic v tunách násobených jejich faktorem potenciálu tvorby částic.</w:t>
      </w:r>
    </w:p>
  </w:footnote>
  <w:footnote w:id="62">
    <w:p w14:paraId="178F6A12" w14:textId="77777777" w:rsidR="00E46245" w:rsidRPr="00DD47DF" w:rsidRDefault="00E46245" w:rsidP="0038435E">
      <w:pPr>
        <w:pStyle w:val="Textpoznpodarou"/>
      </w:pPr>
      <w:r w:rsidRPr="00DD47DF">
        <w:rPr>
          <w:rStyle w:val="Znakapoznpodarou"/>
        </w:rPr>
        <w:footnoteRef/>
      </w:r>
      <w:r w:rsidRPr="00DD47DF">
        <w:t xml:space="preserve"> Dle zákona č. 76/2002 Sb., o integrované prevenci a omezování znečištění, jsou nejlepší dostupné techniky (BAT – Best Available Techniques) definované jako nejúčinnější a nejpokročilejší stadium vývoje technologií a činností a způsobů jejich provozování, které ukazují praktickou vhodnost určitých technik navržených k předcházení, a pokud to není možné, tak k omezování emisí a jejich dopadů na životní prostředí.</w:t>
      </w:r>
    </w:p>
    <w:p w14:paraId="73E4E158" w14:textId="77777777" w:rsidR="00E46245" w:rsidRPr="00DD47DF" w:rsidRDefault="00E46245" w:rsidP="0038435E">
      <w:pPr>
        <w:pStyle w:val="Textpoznpodarou"/>
      </w:pPr>
      <w:r w:rsidRPr="00DD47DF">
        <w:t>Jedná se o takové techniky, které zajišťují nejvyšší možnou ochranu životního prostředí a jsou přitom reálně dostupné, tzn. umožňují jejich zavedení v aktuálních technicko - ekonomických podmínkách.</w:t>
      </w:r>
    </w:p>
  </w:footnote>
  <w:footnote w:id="63">
    <w:p w14:paraId="34AFE181" w14:textId="77777777" w:rsidR="00E46245" w:rsidRPr="00DD47DF" w:rsidRDefault="00E46245" w:rsidP="0068667C">
      <w:pPr>
        <w:pStyle w:val="Poznmkapodarou"/>
      </w:pPr>
      <w:r w:rsidRPr="00DD47DF">
        <w:rPr>
          <w:rStyle w:val="Znakapoznpodarou"/>
        </w:rPr>
        <w:footnoteRef/>
      </w:r>
      <w:r w:rsidRPr="00DD47DF">
        <w:t xml:space="preserve"> Průměrná systémová četnost přerušení dodávky elektrické energie.</w:t>
      </w:r>
    </w:p>
  </w:footnote>
  <w:footnote w:id="64">
    <w:p w14:paraId="5A6AE003" w14:textId="77777777" w:rsidR="00E46245" w:rsidRPr="00DD47DF" w:rsidRDefault="00E46245" w:rsidP="00DC16B0">
      <w:pPr>
        <w:pStyle w:val="Poznmkapodarou"/>
      </w:pPr>
      <w:r w:rsidRPr="00DD47DF">
        <w:rPr>
          <w:rStyle w:val="Znakapoznpodarou"/>
        </w:rPr>
        <w:footnoteRef/>
      </w:r>
      <w:r w:rsidRPr="00DD47DF">
        <w:t xml:space="preserve"> V elektronickém systému SFC2014 je uvedena zaokrouhlená hodnota 2,76.</w:t>
      </w:r>
    </w:p>
  </w:footnote>
  <w:footnote w:id="65">
    <w:p w14:paraId="5120BE3D" w14:textId="77777777" w:rsidR="00E46245" w:rsidRPr="00DD47DF" w:rsidRDefault="00E46245" w:rsidP="00DC16B0">
      <w:pPr>
        <w:pStyle w:val="Poznmkapodarou"/>
      </w:pPr>
      <w:r w:rsidRPr="00DD47DF">
        <w:rPr>
          <w:rStyle w:val="Znakapoznpodarou"/>
        </w:rPr>
        <w:footnoteRef/>
      </w:r>
      <w:r w:rsidRPr="00DD47DF">
        <w:t xml:space="preserve"> V elektronickém systému SFC2014 je uvedena zaokrouhlená hodnota 1,93.</w:t>
      </w:r>
    </w:p>
  </w:footnote>
  <w:footnote w:id="66">
    <w:p w14:paraId="702EFA42" w14:textId="77777777" w:rsidR="00E46245" w:rsidRPr="00DD47DF" w:rsidRDefault="00E46245" w:rsidP="0068667C">
      <w:pPr>
        <w:pStyle w:val="Poznmkapodarou"/>
      </w:pPr>
      <w:r w:rsidRPr="00DD47DF">
        <w:rPr>
          <w:rStyle w:val="Znakapoznpodarou"/>
        </w:rPr>
        <w:footnoteRef/>
      </w:r>
      <w:r w:rsidRPr="00DD47DF">
        <w:t xml:space="preserve"> Průměrná systémová doba trvání přerušení dodávky elektrické energie.</w:t>
      </w:r>
    </w:p>
  </w:footnote>
  <w:footnote w:id="67">
    <w:p w14:paraId="5543967C" w14:textId="77777777" w:rsidR="00E46245" w:rsidRPr="00DD47DF" w:rsidRDefault="00E46245" w:rsidP="00157906">
      <w:pPr>
        <w:pStyle w:val="Poznmkapodarou"/>
      </w:pPr>
      <w:r w:rsidRPr="00DD47DF">
        <w:rPr>
          <w:rStyle w:val="Znakapoznpodarou"/>
        </w:rPr>
        <w:footnoteRef/>
      </w:r>
      <w:r w:rsidRPr="00DD47DF">
        <w:t xml:space="preserve"> Snížení celkových ročních emisí suspendovaných částic PM10 a emisí oxidů dusíků, oxidu siřičitého a amoniaku jako výchozích látek pro vznik sekundárních prachových částic v tunách za rok. Hodnota indikátoru se získá součtem celkových ročních emisí PM10 a prekurzorů sekundárních částic v tunách násobených jejich faktorem potenciálu tvorby částic.</w:t>
      </w:r>
    </w:p>
  </w:footnote>
  <w:footnote w:id="68">
    <w:p w14:paraId="1CF0EB17" w14:textId="77777777" w:rsidR="00E46245" w:rsidRPr="00DD47DF" w:rsidRDefault="00E46245" w:rsidP="0038435E">
      <w:pPr>
        <w:pStyle w:val="Textpoznpodarou"/>
      </w:pPr>
      <w:r w:rsidRPr="00DD47DF">
        <w:rPr>
          <w:rStyle w:val="Znakapoznpodarou"/>
        </w:rPr>
        <w:footnoteRef/>
      </w:r>
      <w:r w:rsidRPr="00DD47DF">
        <w:t xml:space="preserve"> Dle zákona č. 76/2002 Sb., o integrované prevenci a omezování znečištění, jsou nejlepší dostupné techniky (BAT – Best Available Techniques) definované jako nejúčinnější a nejpokročilejší stadium vývoje technologií a činností a způsobů jejich provozování, které ukazují praktickou vhodnost určitých technik navržených k předcházení, a pokud to není možné, tak k omezování emisí a jejich dopadů na životní prostředí.</w:t>
      </w:r>
    </w:p>
    <w:p w14:paraId="6177953D" w14:textId="77777777" w:rsidR="00E46245" w:rsidRPr="00DD47DF" w:rsidRDefault="00E46245" w:rsidP="0038435E">
      <w:pPr>
        <w:pStyle w:val="Textpoznpodarou"/>
      </w:pPr>
      <w:r w:rsidRPr="00DD47DF">
        <w:t>Jedná se o takové techniky, které zajišťují nejvyšší možnou ochranu životního prostředí a jsou přitom reálně dostupné, tzn. umožňují jejich zavedení v aktuálních technicko - ekonomických podmínkách.</w:t>
      </w:r>
    </w:p>
  </w:footnote>
  <w:footnote w:id="69">
    <w:p w14:paraId="6720D82A" w14:textId="46EA3E25" w:rsidR="00E46245" w:rsidRPr="00DD47DF" w:rsidRDefault="00E46245" w:rsidP="00DE2376">
      <w:pPr>
        <w:pStyle w:val="Poznmkapodarou"/>
      </w:pPr>
      <w:r w:rsidRPr="00DD47DF">
        <w:rPr>
          <w:rStyle w:val="Znakapoznpodarou"/>
        </w:rPr>
        <w:footnoteRef/>
      </w:r>
      <w:r w:rsidRPr="00DD47DF">
        <w:t xml:space="preserve"> </w:t>
      </w:r>
      <w:r w:rsidRPr="00B3389F">
        <w:rPr>
          <w:lang w:eastAsia="cs-CZ"/>
        </w:rPr>
        <w:t>Relevantní aktivity velkých podniků budou načítány do odpovídajících kódů intervencí, kde je to aplikovatelné (SC3.2: kód 070, SC3.4: kód 003). Pro velké podniky v rámci SC3.1 (kódy 011 a 012) připadá pouze 10 703 835 EUR, zbylá alokace je jen pro MSP. Tyto hodnoty spadají do podmínky účasti velkých podniků v OP PIK uvedené v kapitole 1.1.</w:t>
      </w:r>
    </w:p>
  </w:footnote>
  <w:footnote w:id="70">
    <w:p w14:paraId="55D572F2" w14:textId="77777777" w:rsidR="00E46245" w:rsidRPr="00DD47DF" w:rsidRDefault="00E46245" w:rsidP="00843336">
      <w:pPr>
        <w:pStyle w:val="Textpoznpodarou"/>
        <w:spacing w:after="60"/>
      </w:pPr>
      <w:r w:rsidRPr="00DD47DF">
        <w:rPr>
          <w:rStyle w:val="Znakapoznpodarou"/>
        </w:rPr>
        <w:footnoteRef/>
      </w:r>
      <w:r w:rsidRPr="00DD47DF">
        <w:t xml:space="preserve"> V některých specifických případech lze zvážit řešení založené na družicové telekomunikaci.</w:t>
      </w:r>
    </w:p>
  </w:footnote>
  <w:footnote w:id="71">
    <w:p w14:paraId="78A79BE8" w14:textId="77777777" w:rsidR="00E46245" w:rsidRPr="00DD47DF" w:rsidRDefault="00E46245" w:rsidP="00DC56C8">
      <w:pPr>
        <w:pStyle w:val="Poznmkapodarou"/>
      </w:pPr>
      <w:r w:rsidRPr="00DD47DF">
        <w:rPr>
          <w:rStyle w:val="Znakapoznpodarou"/>
        </w:rPr>
        <w:footnoteRef/>
      </w:r>
      <w:r w:rsidRPr="00DD47DF">
        <w:t xml:space="preserve"> Každým rozšířením vysokorychlostního připojení o dalších 10 % dojde k ročnímu nárůstu HDP per capita o 0,9 až 1,5 % (Czernich et al.: Cesifo Working Paper No. 2861, Ifo Institute for Economic Research, 2009).</w:t>
      </w:r>
    </w:p>
  </w:footnote>
  <w:footnote w:id="72">
    <w:p w14:paraId="511505FF" w14:textId="77777777" w:rsidR="00E46245" w:rsidRPr="00DD47DF" w:rsidRDefault="00E46245" w:rsidP="00DC56C8">
      <w:pPr>
        <w:pStyle w:val="Poznmkapodarou"/>
      </w:pPr>
      <w:r w:rsidRPr="00DD47DF">
        <w:rPr>
          <w:rStyle w:val="Znakapoznpodarou"/>
        </w:rPr>
        <w:footnoteRef/>
      </w:r>
      <w:r w:rsidRPr="00DD47DF">
        <w:t xml:space="preserve"> Na každé 1 ztracené pracovní místo vznikne díky vysokorychlostnímu připojení 2,6 nových pracovních míst (McKinsey, 2011, SME survey).</w:t>
      </w:r>
    </w:p>
  </w:footnote>
  <w:footnote w:id="73">
    <w:p w14:paraId="2E93E513" w14:textId="77777777" w:rsidR="00E46245" w:rsidRPr="00DD47DF" w:rsidRDefault="00E46245" w:rsidP="004F2EB2">
      <w:pPr>
        <w:pStyle w:val="Poznmkapodarou"/>
      </w:pPr>
      <w:r w:rsidRPr="00DD47DF">
        <w:rPr>
          <w:rStyle w:val="Znakapoznpodarou"/>
        </w:rPr>
        <w:footnoteRef/>
      </w:r>
      <w:r w:rsidRPr="00DD47DF">
        <w:t xml:space="preserve"> Rozumí se, že případná podpora do tzv. šedých míst by podléhala notifikačnímu procesu u Evropské komise podle čl. 107 Smlouvy o fungování EU. ČR však hodlá primárně postupovat podle nařízení Komise (EU) č. 651/2014 ze dne 17. června 2014, kterým se v souladu s články 107 a 108 Smlouvy prohlašují určité kategorie podpory za slučitelné s vnitřním trhem. ČR plně vychází při zpracování této oblasti podpory z dokumentů EK např. „Guide to broadband investment“ nebo „The broadband State aid rules explained“.</w:t>
      </w:r>
    </w:p>
  </w:footnote>
  <w:footnote w:id="74">
    <w:p w14:paraId="7AC7D0C8" w14:textId="77777777" w:rsidR="00E46245" w:rsidRPr="00DD47DF" w:rsidRDefault="00E46245">
      <w:pPr>
        <w:pStyle w:val="Textpoznpodarou"/>
      </w:pPr>
      <w:r w:rsidRPr="00DD47DF">
        <w:rPr>
          <w:rStyle w:val="Znakapoznpodarou"/>
        </w:rPr>
        <w:footnoteRef/>
      </w:r>
      <w:r w:rsidRPr="00DD47DF">
        <w:t xml:space="preserve"> V elektronickém systému SFC2014 je uvedena střední hodnota intervalu, tj. 2,4.</w:t>
      </w:r>
    </w:p>
  </w:footnote>
  <w:footnote w:id="75">
    <w:p w14:paraId="5EA1826A" w14:textId="77777777" w:rsidR="00E46245" w:rsidRPr="00DD47DF" w:rsidRDefault="00E46245" w:rsidP="00DF1013">
      <w:pPr>
        <w:pStyle w:val="Textpoznpodarou"/>
      </w:pPr>
      <w:r w:rsidRPr="00DD47DF">
        <w:rPr>
          <w:rStyle w:val="Znakapoznpodarou"/>
        </w:rPr>
        <w:footnoteRef/>
      </w:r>
      <w:r w:rsidRPr="00DD47DF">
        <w:t xml:space="preserve"> Tato hodnota může být dále upravena na základě vyhodnocení veřejné konzultace k výsledkům průzkumu penetrace infrastruktury pro poskytování služeb vysokorychlostního přístupu k internetu, který v těchto dnech provádí ČTÚ.</w:t>
      </w:r>
    </w:p>
  </w:footnote>
  <w:footnote w:id="76">
    <w:p w14:paraId="7514FCCA" w14:textId="77777777" w:rsidR="00E46245" w:rsidRPr="00DD47DF" w:rsidRDefault="00E46245" w:rsidP="00DE2376">
      <w:pPr>
        <w:pStyle w:val="Poznmkapodarou"/>
        <w:rPr>
          <w:strike/>
        </w:rPr>
      </w:pPr>
      <w:r w:rsidRPr="00DD47DF">
        <w:rPr>
          <w:rStyle w:val="Znakapoznpodarou"/>
        </w:rPr>
        <w:footnoteRef/>
      </w:r>
      <w:r w:rsidRPr="00DD47DF">
        <w:t xml:space="preserve"> Relevantní aktivity velkých podniků budou načítány do odpovídajícího kódu intervencí (004). Tento kód spadá do podmínky účasti velkých podniků v OP PIK uvedené v kapitole 1.1.</w:t>
      </w:r>
    </w:p>
  </w:footnote>
  <w:footnote w:id="77">
    <w:p w14:paraId="4132BAE2" w14:textId="77777777" w:rsidR="00E46245" w:rsidRPr="00DD47DF" w:rsidRDefault="00E46245" w:rsidP="00BA7741">
      <w:pPr>
        <w:pStyle w:val="Textpoznpodarou"/>
      </w:pPr>
      <w:r w:rsidRPr="00DD47DF">
        <w:rPr>
          <w:rStyle w:val="Znakapoznpodarou"/>
        </w:rPr>
        <w:footnoteRef/>
      </w:r>
      <w:r w:rsidRPr="00DD47DF">
        <w:t xml:space="preserve"> Dostupné na http://www.strukturalni-fondy.cz/cs/Fondy-EU/2014-2020/Metodicke-pokyny/Metodika-rozvoje-lidskych-zdroju.</w:t>
      </w:r>
    </w:p>
  </w:footnote>
  <w:footnote w:id="78">
    <w:p w14:paraId="52384059" w14:textId="77777777" w:rsidR="00E46245" w:rsidRPr="00DD47DF" w:rsidRDefault="00E46245" w:rsidP="00157906">
      <w:pPr>
        <w:pStyle w:val="Poznmkapodarou"/>
      </w:pPr>
      <w:r w:rsidRPr="00DD47DF">
        <w:rPr>
          <w:rStyle w:val="Znakapoznpodarou"/>
        </w:rPr>
        <w:footnoteRef/>
      </w:r>
      <w:r w:rsidRPr="00DD47DF">
        <w:t xml:space="preserve"> Údaje vychází z Analýzy administrativní kapacity zpracované Řídícím orgánem OP PIK pro MMR NOK k datu 31. října 2014. Analýza byla vypracována na základě požadavků vyplývajících z usnesení vlády ČR č. 444/2014.</w:t>
      </w:r>
    </w:p>
  </w:footnote>
  <w:footnote w:id="79">
    <w:p w14:paraId="530984C7" w14:textId="77777777" w:rsidR="00E46245" w:rsidRPr="00DD47DF" w:rsidRDefault="00E46245" w:rsidP="002C1372">
      <w:pPr>
        <w:pStyle w:val="Poznmkapodarou"/>
      </w:pPr>
      <w:r w:rsidRPr="00DD47DF">
        <w:rPr>
          <w:rStyle w:val="Znakapoznpodarou"/>
        </w:rPr>
        <w:footnoteRef/>
      </w:r>
      <w:r w:rsidRPr="00DD47DF">
        <w:t xml:space="preserve"> Etický kodex členů MV OP PIK je v souladu s Nařízením Komise v přenesené pravomoci (EU) č. 240/2014 o evropském kodexu chování pro partnerskou spolupráci v rámci evropských strukturálních a investičních fondů.</w:t>
      </w:r>
    </w:p>
  </w:footnote>
  <w:footnote w:id="80">
    <w:p w14:paraId="2F379618" w14:textId="77777777" w:rsidR="00E46245" w:rsidRPr="00DD47DF" w:rsidRDefault="00E46245" w:rsidP="00CE6DD0">
      <w:pPr>
        <w:pStyle w:val="Poznmkapodarou"/>
      </w:pPr>
      <w:r w:rsidRPr="00DD47DF">
        <w:rPr>
          <w:rStyle w:val="Znakapoznpodarou"/>
        </w:rPr>
        <w:footnoteRef/>
      </w:r>
      <w:r w:rsidRPr="00DD47DF">
        <w:rPr>
          <w:vertAlign w:val="superscript"/>
        </w:rPr>
        <w:t xml:space="preserve"> </w:t>
      </w:r>
      <w:r w:rsidRPr="00DD47DF">
        <w:t>Celková alokace (podpora Unie) ponížená o výkonnostní rezervu.</w:t>
      </w:r>
    </w:p>
  </w:footnote>
  <w:footnote w:id="81">
    <w:p w14:paraId="0285DB5B" w14:textId="77777777" w:rsidR="00E46245" w:rsidRPr="00DD47DF" w:rsidRDefault="00E46245" w:rsidP="00720FC6">
      <w:pPr>
        <w:pStyle w:val="Poznmkapodarou"/>
      </w:pPr>
      <w:r w:rsidRPr="00DD47DF">
        <w:rPr>
          <w:rStyle w:val="Znakapoznpodarou"/>
        </w:rPr>
        <w:footnoteRef/>
      </w:r>
      <w:r w:rsidRPr="00DD47DF">
        <w:t xml:space="preserve"> Identifikovaná územní dimenze automaticky neznamená, že všechny projekty realizované v rámci daného specifického cíle budou moci být podpořeny výhradně pouze v daném typu území (s výjimkou specifického cíle 4.1).</w:t>
      </w:r>
    </w:p>
  </w:footnote>
  <w:footnote w:id="82">
    <w:p w14:paraId="643CF438" w14:textId="77777777" w:rsidR="00E46245" w:rsidRDefault="00E46245" w:rsidP="002C6857">
      <w:pPr>
        <w:pStyle w:val="Poznmkapodarou"/>
      </w:pPr>
      <w:r w:rsidRPr="009A2220">
        <w:rPr>
          <w:rStyle w:val="Znakapoznpodarou"/>
        </w:rPr>
        <w:footnoteRef/>
      </w:r>
      <w:r w:rsidRPr="009A2220">
        <w:t xml:space="preserve"> OP PIK předpokládá využití ITI pouze v metropolitních oblastech. </w:t>
      </w:r>
      <w:r w:rsidRPr="00DA313F">
        <w:t>Jádry metropolitních oblastí (území s koncentrací nad 300 tis. obyvatel) jsou největší města v České republice (Praha, Brno, Ostrava, Plzeň), včetně jejich funkčního zázemí. Z hlediska koncentrace obyvatelstva jsou určitou částí společných problémů k těmto centrům přiřazeny i oblasti Ústecko – Chomutovské, Olomoucké a Hradecko – Pardubické aglomerace.</w:t>
      </w:r>
    </w:p>
    <w:p w14:paraId="1171F119" w14:textId="77777777" w:rsidR="00E46245" w:rsidRPr="00B12F9F" w:rsidRDefault="00E46245" w:rsidP="002C6857">
      <w:pPr>
        <w:pStyle w:val="Poznmkapodarou"/>
      </w:pPr>
      <w:r w:rsidRPr="009A2220">
        <w:t>S využitím ITI nad rámec udržitelného rozvoje měst dle oddílu 4.2 (tabulky č. 20) se v OP PIK nepočítá. Z tohoto důvodu je tabulka č. 21 pro OP PIK nerelevantní.</w:t>
      </w:r>
    </w:p>
  </w:footnote>
  <w:footnote w:id="83">
    <w:p w14:paraId="5B3B1403" w14:textId="77777777" w:rsidR="00E46245" w:rsidRPr="009A2220" w:rsidRDefault="00E46245" w:rsidP="002C6857">
      <w:pPr>
        <w:pStyle w:val="Poznmkapodarou"/>
      </w:pPr>
      <w:r w:rsidRPr="009A2220">
        <w:rPr>
          <w:rStyle w:val="Znakapoznpodarou"/>
        </w:rPr>
        <w:footnoteRef/>
      </w:r>
      <w:r w:rsidRPr="009A2220">
        <w:t xml:space="preserve"> Nositelem integrovaného nástroje je odpovědný subjekt, zajišťující ve vymezeném území činnosti za účelem přípravy, schválení, realizace a vyhodnocování integrované strategie. Nositelem ITI bude u monocentrických aglomerací jádrové město, u polycentrických aglomerací bude nositel zvolen na základě dohody mezi partnery.</w:t>
      </w:r>
    </w:p>
  </w:footnote>
  <w:footnote w:id="84">
    <w:p w14:paraId="047B9F52" w14:textId="77777777" w:rsidR="00E46245" w:rsidRPr="00DD47DF" w:rsidRDefault="00E46245" w:rsidP="00EA28B0">
      <w:pPr>
        <w:pStyle w:val="Poznmkapodarou"/>
      </w:pPr>
      <w:r w:rsidRPr="00DD47DF">
        <w:rPr>
          <w:rStyle w:val="Znakapoznpodarou"/>
        </w:rPr>
        <w:footnoteRef/>
      </w:r>
      <w:r w:rsidRPr="00DD47DF">
        <w:t xml:space="preserve"> Hodnota průměrné míry nezaměstnanosti ČR je výrazně překročena také v Olomouckém a Karlovarském kraji.</w:t>
      </w:r>
    </w:p>
  </w:footnote>
  <w:footnote w:id="85">
    <w:p w14:paraId="159BB34E" w14:textId="77777777" w:rsidR="00E46245" w:rsidRPr="00DD47DF" w:rsidRDefault="00E46245" w:rsidP="00F05C0C">
      <w:pPr>
        <w:pStyle w:val="Poznmkapodarou"/>
      </w:pPr>
      <w:r w:rsidRPr="00DD47DF">
        <w:rPr>
          <w:rStyle w:val="Znakapoznpodarou"/>
        </w:rPr>
        <w:footnoteRef/>
      </w:r>
      <w:r w:rsidRPr="00DD47DF">
        <w:t xml:space="preserve"> Usnesením vlády ČR ze dne 28. listopadu 2012 č. 867 k přípravě programů spolufinancovaných z fondů Společného strategického rámce pro programové období let 2014 až 2020 v podmínkách ČR bylo Ministerstvo průmyslu a obchodu pověřeno řízením OP PIK.</w:t>
      </w:r>
    </w:p>
  </w:footnote>
  <w:footnote w:id="86">
    <w:p w14:paraId="113A78C0" w14:textId="77777777" w:rsidR="00E46245" w:rsidRDefault="00E46245">
      <w:pPr>
        <w:pStyle w:val="Textpoznpodarou"/>
      </w:pPr>
      <w:r>
        <w:rPr>
          <w:rStyle w:val="Znakapoznpodarou"/>
        </w:rPr>
        <w:footnoteRef/>
      </w:r>
      <w:r>
        <w:t xml:space="preserve"> Nositelé ITI v roli zprostředkujícího subjektu bez jejich financování z OP PIK.</w:t>
      </w:r>
    </w:p>
  </w:footnote>
  <w:footnote w:id="87">
    <w:p w14:paraId="0B37272F" w14:textId="77777777" w:rsidR="00E46245" w:rsidRPr="00DD47DF" w:rsidRDefault="00E46245" w:rsidP="00F05C0C">
      <w:pPr>
        <w:pStyle w:val="Poznmkapodarou"/>
      </w:pPr>
      <w:r w:rsidRPr="00DD47DF">
        <w:rPr>
          <w:rStyle w:val="Znakapoznpodarou"/>
        </w:rPr>
        <w:footnoteRef/>
      </w:r>
      <w:r w:rsidRPr="00DD47DF">
        <w:t xml:space="preserve"> Usnesením vlády ČR ze dne 12. června 2013 č. 448 k Pravidlům řízení a koordinace Dohody o partnerství v programovém období 2014 – 2020 bylo Ministerstvo financí pověřenou výkonem funkce platebního a certifikačního orgánu.</w:t>
      </w:r>
    </w:p>
  </w:footnote>
  <w:footnote w:id="88">
    <w:p w14:paraId="5DE6E9D9" w14:textId="77777777" w:rsidR="00E46245" w:rsidRPr="00DD47DF" w:rsidRDefault="00E46245" w:rsidP="00F05C0C">
      <w:pPr>
        <w:pStyle w:val="Poznmkapodarou"/>
      </w:pPr>
      <w:r w:rsidRPr="00DD47DF">
        <w:rPr>
          <w:rStyle w:val="Znakapoznpodarou"/>
        </w:rPr>
        <w:footnoteRef/>
      </w:r>
      <w:r w:rsidRPr="00DD47DF">
        <w:t xml:space="preserve"> Usnesením vlády ČR ze dne 12. června 2013 č. 448 k Pravidlům řízení a koordinace Dohody o partnerství v programovém období 2014 – 2020 bylo Ministerstvo financí pověřeno výkonem funkce auditního orgánu.</w:t>
      </w:r>
    </w:p>
  </w:footnote>
  <w:footnote w:id="89">
    <w:p w14:paraId="7EA61760" w14:textId="77777777" w:rsidR="00E46245" w:rsidRPr="00DD47DF" w:rsidRDefault="00E46245" w:rsidP="00F05C0C">
      <w:pPr>
        <w:pStyle w:val="Poznmkapodarou"/>
      </w:pPr>
      <w:r w:rsidRPr="00DD47DF">
        <w:rPr>
          <w:rStyle w:val="Znakapoznpodarou"/>
        </w:rPr>
        <w:footnoteRef/>
      </w:r>
      <w:r w:rsidRPr="00DD47DF">
        <w:t xml:space="preserve"> Usnesením vlády ČR ze dne 12. června 2013 č. 448 k Pravidlům řízení a koordinace Dohody o partnerství v programovém období 2014 – 2020 bylo Ministerstvo financí pověřeno výkonem funkce platebního a certifikačního orgánu.</w:t>
      </w:r>
    </w:p>
  </w:footnote>
  <w:footnote w:id="90">
    <w:p w14:paraId="44DBAD25" w14:textId="77777777" w:rsidR="00E46245" w:rsidRPr="00DD47DF" w:rsidRDefault="00E46245" w:rsidP="002D7AD5">
      <w:pPr>
        <w:pStyle w:val="Poznmkapodarou"/>
      </w:pPr>
      <w:r w:rsidRPr="00DD47DF">
        <w:rPr>
          <w:rStyle w:val="Znakapoznpodarou"/>
        </w:rPr>
        <w:footnoteRef/>
      </w:r>
      <w:r w:rsidRPr="00DD47DF">
        <w:t xml:space="preserve"> Enterprise Europe Network působí v téměř padesáti zemích světa. V České republice je zastoupena konsorciem jedenácti partnerů koordinovaném Technologickým centrem AV ČR a je financována Evropskou unií z Rámcového programu EU pro konkurenceschopnost a inovace a Ministerstvem průmyslu a obchodu.</w:t>
      </w:r>
    </w:p>
  </w:footnote>
  <w:footnote w:id="91">
    <w:p w14:paraId="3A8E343E" w14:textId="77777777" w:rsidR="00E46245" w:rsidRPr="00DD47DF" w:rsidRDefault="00E46245" w:rsidP="005021A2">
      <w:pPr>
        <w:pStyle w:val="Poznmkapodarou"/>
      </w:pPr>
      <w:r w:rsidRPr="00DD47DF">
        <w:rPr>
          <w:rStyle w:val="Znakapoznpodarou"/>
        </w:rPr>
        <w:footnoteRef/>
      </w:r>
      <w:r w:rsidRPr="00DD47DF">
        <w:t xml:space="preserve"> Draft Guidance on Ex Ante Conditionalities for the European Structural and Investment Funds (ESI), 13 February 2014.</w:t>
      </w:r>
    </w:p>
  </w:footnote>
  <w:footnote w:id="92">
    <w:p w14:paraId="7C76F328" w14:textId="77777777" w:rsidR="00E46245" w:rsidRPr="00DD47DF" w:rsidRDefault="00E46245" w:rsidP="005021A2">
      <w:pPr>
        <w:pStyle w:val="Poznmkapodarou"/>
      </w:pPr>
      <w:r w:rsidRPr="00DD47DF">
        <w:rPr>
          <w:rStyle w:val="Znakapoznpodarou"/>
        </w:rPr>
        <w:footnoteRef/>
      </w:r>
      <w:r w:rsidRPr="00DD47DF">
        <w:t xml:space="preserve"> Směrnice EP a Rady 2009/28/ES o podpoře využívání energie z obnovitelných zdrojů energie, Směrnice EP  a Rady </w:t>
      </w:r>
      <w:r w:rsidRPr="00DD47DF">
        <w:rPr>
          <w:bCs/>
        </w:rPr>
        <w:t>2010/31/EU</w:t>
      </w:r>
      <w:r w:rsidRPr="00DD47DF">
        <w:t xml:space="preserve"> o energetické náročnosti budov, Směrnice EP a Rady </w:t>
      </w:r>
      <w:r w:rsidRPr="00DD47DF">
        <w:rPr>
          <w:bCs/>
        </w:rPr>
        <w:t>2006/32/ES</w:t>
      </w:r>
      <w:r w:rsidRPr="00DD47DF">
        <w:t xml:space="preserve"> o energetické účinnosti u konečného uživatele a o energetických službách, Směrnice EP a Rady 2012/27/EU o energetické účinnosti. </w:t>
      </w:r>
    </w:p>
  </w:footnote>
  <w:footnote w:id="93">
    <w:p w14:paraId="7A5B2E0E" w14:textId="77777777" w:rsidR="00E46245" w:rsidRPr="00DD47DF" w:rsidRDefault="00E46245" w:rsidP="00790A0D">
      <w:pPr>
        <w:pStyle w:val="Poznmkapodarou"/>
        <w:rPr>
          <w:rFonts w:ascii="Calibri" w:hAnsi="Calibri"/>
          <w:b/>
          <w:sz w:val="24"/>
          <w:szCs w:val="24"/>
        </w:rPr>
      </w:pPr>
      <w:r w:rsidRPr="00DD47DF">
        <w:rPr>
          <w:rStyle w:val="Znakapoznpodarou"/>
        </w:rPr>
        <w:footnoteRef/>
      </w:r>
      <w:r w:rsidRPr="00DD47DF">
        <w:t xml:space="preserve"> S ohledem na limit počtu znaků daný prováděcím nařízením Komise (EU) č. 288/2014 ze dne 25. února 2014 je vysvětlení k vybraným kritériím obsaženo také v Příloze č. II. Na základě požadavku EK dle připomínky k OP PIK (č. 143) je plné znění naplňování obecných předběžných podmínek v rámci Dohody o partnerství na národní úrovni součástí Přílohy II.</w:t>
      </w:r>
    </w:p>
  </w:footnote>
  <w:footnote w:id="94">
    <w:p w14:paraId="1702B7EA" w14:textId="77777777" w:rsidR="00E46245" w:rsidRPr="00DD47DF" w:rsidRDefault="00E46245" w:rsidP="00790A0D">
      <w:pPr>
        <w:pStyle w:val="Poznmkapodarou"/>
      </w:pPr>
      <w:r w:rsidRPr="00DD47DF">
        <w:rPr>
          <w:rStyle w:val="Znakapoznpodarou"/>
        </w:rPr>
        <w:footnoteRef/>
      </w:r>
      <w:r w:rsidRPr="00DD47DF">
        <w:t xml:space="preserve"> Rozhodnutí Rady 2009/26/ES ze dne 26. listopadu 2009 o uzavření Úmluvy Organizace spojených národů o právech osob se zdravotním postižením Evropským společenstvím, Úř. věst. L 23, 27.1.2010, s. 35. </w:t>
      </w:r>
    </w:p>
    <w:p w14:paraId="5E5643FA" w14:textId="77777777" w:rsidR="00E46245" w:rsidRPr="00DD47DF" w:rsidRDefault="00E46245" w:rsidP="00790A0D">
      <w:pPr>
        <w:pStyle w:val="Textpoznpodarou"/>
      </w:pPr>
    </w:p>
  </w:footnote>
  <w:footnote w:id="95">
    <w:p w14:paraId="2E7AC1F6" w14:textId="77777777" w:rsidR="00E46245" w:rsidRPr="00DD47DF" w:rsidRDefault="00E46245" w:rsidP="00790A0D">
      <w:pPr>
        <w:pStyle w:val="Poznmkapodarou"/>
      </w:pPr>
      <w:r w:rsidRPr="00DD47DF">
        <w:rPr>
          <w:rStyle w:val="Znakapoznpodarou"/>
        </w:rPr>
        <w:footnoteRef/>
      </w:r>
      <w:r w:rsidRPr="00DD47DF">
        <w:t xml:space="preserve"> Směrnice Evropského parlamentu a Rady 2011/92/EU ze dne 13. prosince 2011 o posuzování vlivů některých veřejných a soukromých záměrů na životní prostředí (Úř. věst. L 26, 28.1.2012, s. 1).</w:t>
      </w:r>
    </w:p>
  </w:footnote>
  <w:footnote w:id="96">
    <w:p w14:paraId="366FC2AD" w14:textId="77777777" w:rsidR="00E46245" w:rsidRPr="00DD47DF" w:rsidRDefault="00E46245" w:rsidP="00790A0D">
      <w:pPr>
        <w:pStyle w:val="Poznmkapodarou"/>
      </w:pPr>
      <w:r w:rsidRPr="00DD47DF">
        <w:rPr>
          <w:rStyle w:val="Znakapoznpodarou"/>
        </w:rPr>
        <w:footnoteRef/>
      </w:r>
      <w:r w:rsidRPr="00DD47DF">
        <w:t xml:space="preserve"> Směrnice Evropského parlamentu a Rady 2001/42/ES ze dne 27. června 2001 o posuzování vlivů některých plánů a programů na životní prostředí (Úř. věst. L 197, 21.7.2001, s. 30).</w:t>
      </w:r>
    </w:p>
    <w:p w14:paraId="788C252F" w14:textId="77777777" w:rsidR="00E46245" w:rsidRPr="00DD47DF" w:rsidRDefault="00E46245" w:rsidP="00790A0D">
      <w:pPr>
        <w:pStyle w:val="Textpoznpodarou"/>
      </w:pPr>
    </w:p>
  </w:footnote>
  <w:footnote w:id="97">
    <w:p w14:paraId="337B8113" w14:textId="77777777" w:rsidR="00E46245" w:rsidRPr="00DD47DF" w:rsidRDefault="00E46245" w:rsidP="00790A0D">
      <w:pPr>
        <w:pStyle w:val="Poznmkapodarou"/>
      </w:pPr>
      <w:r w:rsidRPr="00DD47DF">
        <w:rPr>
          <w:rStyle w:val="Znakapoznpodarou"/>
        </w:rPr>
        <w:footnoteRef/>
      </w:r>
      <w:r w:rsidRPr="00DD47DF">
        <w:t xml:space="preserve"> Směrnice Evropského parlamentu a Rady 2010/31/EU ze dne 19. května 2010 o energetické náročnosti budov (Úř. věst. L 153, 18.6.2010, s. 13).</w:t>
      </w:r>
    </w:p>
  </w:footnote>
  <w:footnote w:id="98">
    <w:p w14:paraId="24137944" w14:textId="77777777" w:rsidR="00E46245" w:rsidRPr="00DD47DF" w:rsidRDefault="00E46245" w:rsidP="00790A0D">
      <w:pPr>
        <w:pStyle w:val="Poznmkapodarou"/>
      </w:pPr>
      <w:r w:rsidRPr="00DD47DF">
        <w:rPr>
          <w:rStyle w:val="Znakapoznpodarou"/>
        </w:rPr>
        <w:footnoteRef/>
      </w:r>
      <w:r w:rsidRPr="00DD47DF">
        <w:t xml:space="preserve"> Směrnice Evropského parlamentu a Rady 2012/27/EU ze dne 25. října 2012 o energetické účinnosti, o změně směrnic 2009/125/ES a 2010/30/EU a o zrušení směrnic 2004/8/ES a 2006/32/ES (Úř. věst. L 315, 14.11.2012, s. 1). </w:t>
      </w:r>
    </w:p>
  </w:footnote>
  <w:footnote w:id="99">
    <w:p w14:paraId="1A1FE47F" w14:textId="77777777" w:rsidR="00E46245" w:rsidRPr="00DD47DF" w:rsidRDefault="00E46245" w:rsidP="00790A0D">
      <w:pPr>
        <w:pStyle w:val="Poznmkapodarou"/>
      </w:pPr>
      <w:r w:rsidRPr="00DD47DF">
        <w:rPr>
          <w:rStyle w:val="Znakapoznpodarou"/>
        </w:rPr>
        <w:footnoteRef/>
      </w:r>
      <w:r w:rsidRPr="00DD47DF">
        <w:t xml:space="preserve"> Směrnice Evropského parlamentu a Rady 2006/32/ES ze dne 5. dubna 2006 o energetické účinnosti u konečného uživatele a o energetických službách a o zrušení směrnice Rady 93/76/EHS (Úř. věst. L 114, 27.4.2006, s. 64). </w:t>
      </w:r>
    </w:p>
  </w:footnote>
  <w:footnote w:id="100">
    <w:p w14:paraId="548D97DB" w14:textId="77777777" w:rsidR="00E46245" w:rsidRPr="00DD47DF" w:rsidRDefault="00E46245" w:rsidP="00790A0D">
      <w:pPr>
        <w:pStyle w:val="Poznmkapodarou"/>
      </w:pPr>
      <w:r w:rsidRPr="00DD47DF">
        <w:rPr>
          <w:rStyle w:val="Znakapoznpodarou"/>
        </w:rPr>
        <w:footnoteRef/>
      </w:r>
      <w:r w:rsidRPr="00DD47DF">
        <w:t xml:space="preserve"> Směrnice Evropského parlamentu a Rady 2009/28/ES ze dne 23. dubna 2009 o podpoře využívání energie z obnovitelných zdrojů a o změně a následném zrušení směrnic 2001/77/ES a 2003/30/ES (Úř. věst. L 140, 5.6.2009, s. 16).</w:t>
      </w:r>
    </w:p>
  </w:footnote>
  <w:footnote w:id="101">
    <w:p w14:paraId="57077D7B" w14:textId="77777777" w:rsidR="00E46245" w:rsidRPr="00DD47DF" w:rsidRDefault="00E46245" w:rsidP="00790A0D">
      <w:pPr>
        <w:pStyle w:val="Poznmkapodarou"/>
      </w:pPr>
      <w:r w:rsidRPr="00DD47DF">
        <w:rPr>
          <w:rStyle w:val="Znakapoznpodarou"/>
        </w:rPr>
        <w:footnoteRef/>
      </w:r>
      <w:r w:rsidRPr="00DD47DF">
        <w:t xml:space="preserve"> Nařízení Evropského parlamentu a Rady (ES) č. 714/2009 ze dne 13. července 2009 o podmínkách přístupu do sítě pro přeshraniční obchod s elektřinou a o zrušení nařízení (ES) č. 1228/2003 (Úř. věst. L 211, 14.8.2009, s. 15).</w:t>
      </w:r>
    </w:p>
  </w:footnote>
  <w:footnote w:id="102">
    <w:p w14:paraId="5565B81E" w14:textId="77777777" w:rsidR="00E46245" w:rsidRPr="00DD47DF" w:rsidRDefault="00E46245" w:rsidP="00790A0D">
      <w:pPr>
        <w:pStyle w:val="Poznmkapodarou"/>
      </w:pPr>
      <w:r w:rsidRPr="00DD47DF">
        <w:rPr>
          <w:rStyle w:val="Znakapoznpodarou"/>
        </w:rPr>
        <w:footnoteRef/>
      </w:r>
      <w:r w:rsidRPr="00DD47DF">
        <w:t xml:space="preserve"> Nařízení Evropského parlamentu a Rady (ES) Č. 715/2009 ze dne 13. července 2009 o podmínkách přístupu k plynárenským přepravním soustavám a o zrušení nařízení (ES) č. 1775/2005 (Úř. věst. L 211, 14.8.2009, s. 36). </w:t>
      </w:r>
    </w:p>
  </w:footnote>
  <w:footnote w:id="103">
    <w:p w14:paraId="3A5527F9" w14:textId="77777777" w:rsidR="00E46245" w:rsidRPr="00DD47DF" w:rsidRDefault="00E46245" w:rsidP="00790A0D">
      <w:pPr>
        <w:pStyle w:val="Poznmkapodarou"/>
      </w:pPr>
      <w:r w:rsidRPr="00DD47DF">
        <w:rPr>
          <w:rStyle w:val="Znakapoznpodarou"/>
        </w:rPr>
        <w:footnoteRef/>
      </w:r>
      <w:r w:rsidRPr="00DD47DF">
        <w:t xml:space="preserve"> Nařízení Evropského parlamentu a Rady (EU) č. 347/2013 ze dne 17. dubna 2013, kterým se stanoví hlavní směry pro transevropské energetické sítě a kterým se zrušuje rozhodnutí č. 1364/2006/ES a mění nařízení (ES) č. 713/2009, (ES) č. 714/2009 a (ES) č. 715/2009 (Úř. věst. L 115, 25.4.2013, s. 39).</w:t>
      </w:r>
    </w:p>
  </w:footnote>
  <w:footnote w:id="104">
    <w:p w14:paraId="6FEB4376" w14:textId="77777777" w:rsidR="00E46245" w:rsidRPr="00DD47DF" w:rsidRDefault="00E46245" w:rsidP="00790A0D">
      <w:pPr>
        <w:pStyle w:val="Poznmkapodarou"/>
      </w:pPr>
      <w:r w:rsidRPr="00DD47DF">
        <w:rPr>
          <w:rStyle w:val="Znakapoznpodarou"/>
        </w:rPr>
        <w:footnoteRef/>
      </w:r>
      <w:r w:rsidRPr="00DD47DF">
        <w:t xml:space="preserve"> S ohledem na limit počtu znaků daný prováděcím nařízením Komise (EU) č. 288/2014 ze dne 25. února 2014 je vysvětlení k vybraným kritériím obsaženo také v Příloze č. II.</w:t>
      </w:r>
    </w:p>
  </w:footnote>
  <w:footnote w:id="105">
    <w:p w14:paraId="2F87F510" w14:textId="77777777" w:rsidR="00E46245" w:rsidRPr="00DD47DF" w:rsidRDefault="00E46245" w:rsidP="006D2F5F">
      <w:pPr>
        <w:pStyle w:val="Poznmkapodarou"/>
      </w:pPr>
      <w:r w:rsidRPr="00DD47DF">
        <w:rPr>
          <w:rStyle w:val="Znakapoznpodarou"/>
        </w:rPr>
        <w:footnoteRef/>
      </w:r>
      <w:r w:rsidRPr="00DD47DF">
        <w:t xml:space="preserve"> S ohledem na limit počtu znaků daný prováděcím nařízením Komise (EU) č. 288/2014 ze dne 25. února 2014 je vysvětlení k vybraným kritériím obsaženo také v Příloze č. II.</w:t>
      </w:r>
    </w:p>
  </w:footnote>
  <w:footnote w:id="106">
    <w:p w14:paraId="0DD12F92" w14:textId="77777777" w:rsidR="00E46245" w:rsidRPr="00DD47DF" w:rsidRDefault="00E46245" w:rsidP="006D2F5F">
      <w:pPr>
        <w:pStyle w:val="Poznmkapodarou"/>
      </w:pPr>
      <w:r w:rsidRPr="00DD47DF">
        <w:rPr>
          <w:rStyle w:val="Znakapoznpodarou"/>
        </w:rPr>
        <w:footnoteRef/>
      </w:r>
      <w:r w:rsidRPr="00DD47DF">
        <w:t xml:space="preserve"> Směrnice Evropského parlamentu a Rady 2012/27/EU ze dne 25. října 2012 o energetické účinnosti, o změně směrnic 2009/125/ES a 2010/30/EU a o zrušení směrnic 2004/8/ES a 2006/32/ES (Úř. věst. L 315, 14.11.2012, s. 1). </w:t>
      </w:r>
    </w:p>
  </w:footnote>
  <w:footnote w:id="107">
    <w:p w14:paraId="2D1AB5D4" w14:textId="77777777" w:rsidR="00E46245" w:rsidRPr="00DD47DF" w:rsidRDefault="00E46245" w:rsidP="00223D40">
      <w:pPr>
        <w:pStyle w:val="Poznmkapodarou"/>
      </w:pPr>
      <w:r w:rsidRPr="00DD47DF">
        <w:rPr>
          <w:rStyle w:val="Znakapoznpodarou"/>
        </w:rPr>
        <w:footnoteRef/>
      </w:r>
      <w:r w:rsidRPr="00DD47DF">
        <w:t xml:space="preserve"> Vyhodnocení internetové aplikace eAccount pro komunikaci s žadateli a příjemci Operačního programu Podnikání a inovace 2007 – 2013 (zpracovatel Ipsos Tambor, s. r. o., Praha, 2009).</w:t>
      </w:r>
    </w:p>
  </w:footnote>
  <w:footnote w:id="108">
    <w:p w14:paraId="74BE4BEC" w14:textId="77777777" w:rsidR="00E46245" w:rsidRPr="00DD47DF" w:rsidRDefault="00E46245" w:rsidP="00223D40">
      <w:pPr>
        <w:pStyle w:val="Poznmkapodarou"/>
      </w:pPr>
      <w:r w:rsidRPr="00DD47DF">
        <w:rPr>
          <w:rStyle w:val="Znakapoznpodarou"/>
        </w:rPr>
        <w:footnoteRef/>
      </w:r>
      <w:r w:rsidRPr="00DD47DF">
        <w:t xml:space="preserve"> Například evaluační studie Analýza efektivnosti čerpání, kvality řízení a procesních postupů Operačního programu Podnikání a inovace, včetně návrhu souboru opatření (zpracovatel eNovation s.r.o, Praha, 2011).</w:t>
      </w:r>
    </w:p>
  </w:footnote>
  <w:footnote w:id="109">
    <w:p w14:paraId="437388A2" w14:textId="77777777" w:rsidR="00E46245" w:rsidRPr="00DD47DF" w:rsidRDefault="00E46245" w:rsidP="00223D40">
      <w:pPr>
        <w:pStyle w:val="Poznmkapodarou"/>
      </w:pPr>
      <w:r w:rsidRPr="00DD47DF">
        <w:rPr>
          <w:rStyle w:val="Znakapoznpodarou"/>
        </w:rPr>
        <w:footnoteRef/>
      </w:r>
      <w:r w:rsidRPr="00DD47DF">
        <w:t xml:space="preserve"> Evaluace procesů souvisejících s administrací žádostí o platbu včetně návrhu opatření směřujících ke zvyšování jejich efektivnosti (zpracovatel Deloitte, realizace 2013-2014).</w:t>
      </w:r>
    </w:p>
  </w:footnote>
  <w:footnote w:id="110">
    <w:p w14:paraId="424D77E8" w14:textId="77777777" w:rsidR="00E46245" w:rsidRDefault="00E46245" w:rsidP="00223D40">
      <w:pPr>
        <w:pStyle w:val="Textpoznpodarou"/>
      </w:pPr>
      <w:r w:rsidRPr="00DD47DF">
        <w:rPr>
          <w:rStyle w:val="Znakapoznpodarou"/>
        </w:rPr>
        <w:footnoteRef/>
      </w:r>
      <w:r w:rsidRPr="00DD47DF">
        <w:t xml:space="preserve"> Se snižováním administrativní zátěže podnikatelů souvisí rovněž požadavky monitoringu a to zejména v oblasti indikátorů. Více Nepovinná příloha č. 3: Pojetí indikátorů v OP PIK.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6C079" w14:textId="77777777" w:rsidR="00E46245" w:rsidRDefault="00E46245" w:rsidP="0022503D">
    <w:pPr>
      <w:pStyle w:val="Zhlav"/>
    </w:pPr>
  </w:p>
  <w:p w14:paraId="52B2D353" w14:textId="77777777" w:rsidR="00E46245" w:rsidRDefault="00E46245" w:rsidP="0022503D">
    <w:pPr>
      <w:pStyle w:val="Zhlav"/>
    </w:pPr>
    <w:r>
      <w:rPr>
        <w:noProof/>
      </w:rPr>
      <w:drawing>
        <wp:anchor distT="0" distB="0" distL="114300" distR="114300" simplePos="0" relativeHeight="251628032" behindDoc="0" locked="0" layoutInCell="1" allowOverlap="1" wp14:anchorId="4552EE3D" wp14:editId="66932459">
          <wp:simplePos x="0" y="0"/>
          <wp:positionH relativeFrom="column">
            <wp:posOffset>4554855</wp:posOffset>
          </wp:positionH>
          <wp:positionV relativeFrom="paragraph">
            <wp:posOffset>18415</wp:posOffset>
          </wp:positionV>
          <wp:extent cx="1301115" cy="445770"/>
          <wp:effectExtent l="0" t="0" r="0" b="0"/>
          <wp:wrapNone/>
          <wp:docPr id="71"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3161EA40" w14:textId="77777777" w:rsidR="00E46245" w:rsidRDefault="00E46245" w:rsidP="009B666C">
    <w:pPr>
      <w:pStyle w:val="Zhlav"/>
    </w:pPr>
    <w:r>
      <w:rPr>
        <w:noProof/>
      </w:rPr>
      <w:drawing>
        <wp:anchor distT="0" distB="0" distL="114300" distR="114300" simplePos="0" relativeHeight="251630080" behindDoc="1" locked="0" layoutInCell="1" allowOverlap="1" wp14:anchorId="6F9F5506" wp14:editId="35E64A04">
          <wp:simplePos x="0" y="0"/>
          <wp:positionH relativeFrom="column">
            <wp:posOffset>-37465</wp:posOffset>
          </wp:positionH>
          <wp:positionV relativeFrom="paragraph">
            <wp:posOffset>-309880</wp:posOffset>
          </wp:positionV>
          <wp:extent cx="1383030" cy="739775"/>
          <wp:effectExtent l="0" t="0" r="7620" b="0"/>
          <wp:wrapNone/>
          <wp:docPr id="7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14645D96" w14:textId="77777777" w:rsidR="00E46245" w:rsidRDefault="00E46245" w:rsidP="0022503D">
    <w:pPr>
      <w:pStyle w:val="Zhlav"/>
    </w:pPr>
  </w:p>
  <w:p w14:paraId="69671024" w14:textId="77777777" w:rsidR="00E46245" w:rsidRDefault="00580034" w:rsidP="0022503D">
    <w:pPr>
      <w:pStyle w:val="Zhlav"/>
    </w:pPr>
    <w:r>
      <w:rPr>
        <w:noProof/>
      </w:rPr>
      <w:pict w14:anchorId="2CFF1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49.2pt;margin-top:298.85pt;width:541pt;height:98.35pt;rotation:315;z-index:-251627008;mso-position-horizontal-relative:margin;mso-position-vertical-relative:margin" o:allowincell="f" fillcolor="silver" stroked="f">
          <v:fill opacity=".5"/>
          <v:textpath style="font-family:&quot;Times New Roman&quot;;font-size:1pt" string="DRAFT MPO"/>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B150C" w14:textId="77777777" w:rsidR="00E46245" w:rsidRDefault="00E46245" w:rsidP="0022503D">
    <w:pPr>
      <w:pStyle w:val="Zhlav"/>
    </w:pPr>
  </w:p>
  <w:p w14:paraId="72A323E8" w14:textId="77777777" w:rsidR="00E46245" w:rsidRDefault="00E46245" w:rsidP="0022503D">
    <w:pPr>
      <w:pStyle w:val="Zhlav"/>
    </w:pPr>
    <w:r>
      <w:rPr>
        <w:noProof/>
      </w:rPr>
      <w:drawing>
        <wp:anchor distT="0" distB="0" distL="114300" distR="114300" simplePos="0" relativeHeight="251675136" behindDoc="0" locked="0" layoutInCell="1" allowOverlap="1" wp14:anchorId="46D6CE54" wp14:editId="26752852">
          <wp:simplePos x="0" y="0"/>
          <wp:positionH relativeFrom="column">
            <wp:posOffset>7723505</wp:posOffset>
          </wp:positionH>
          <wp:positionV relativeFrom="paragraph">
            <wp:posOffset>18415</wp:posOffset>
          </wp:positionV>
          <wp:extent cx="1301115" cy="445770"/>
          <wp:effectExtent l="0" t="0" r="0" b="0"/>
          <wp:wrapNone/>
          <wp:docPr id="311"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77A55E1C" w14:textId="77777777" w:rsidR="00E46245" w:rsidRDefault="00E46245" w:rsidP="009B666C">
    <w:pPr>
      <w:pStyle w:val="Zhlav"/>
    </w:pPr>
    <w:r>
      <w:rPr>
        <w:noProof/>
      </w:rPr>
      <w:drawing>
        <wp:anchor distT="0" distB="0" distL="114300" distR="114300" simplePos="0" relativeHeight="251676160" behindDoc="1" locked="0" layoutInCell="1" allowOverlap="1" wp14:anchorId="1EA4FA87" wp14:editId="7798A661">
          <wp:simplePos x="0" y="0"/>
          <wp:positionH relativeFrom="column">
            <wp:posOffset>-37465</wp:posOffset>
          </wp:positionH>
          <wp:positionV relativeFrom="paragraph">
            <wp:posOffset>-309880</wp:posOffset>
          </wp:positionV>
          <wp:extent cx="1383030" cy="739775"/>
          <wp:effectExtent l="0" t="0" r="7620" b="0"/>
          <wp:wrapNone/>
          <wp:docPr id="31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1E18487E" w14:textId="77777777" w:rsidR="00E46245" w:rsidRDefault="00E46245" w:rsidP="0022503D">
    <w:pPr>
      <w:pStyle w:val="Zhlav"/>
    </w:pPr>
  </w:p>
  <w:p w14:paraId="24A1C80A" w14:textId="77777777" w:rsidR="00E46245" w:rsidRDefault="00E46245" w:rsidP="0022503D">
    <w:pPr>
      <w:pStyle w:val="Zhlav"/>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2158C" w14:textId="77777777" w:rsidR="00E46245" w:rsidRDefault="00E46245" w:rsidP="0022503D">
    <w:pPr>
      <w:pStyle w:val="Zhlav"/>
    </w:pPr>
  </w:p>
  <w:p w14:paraId="28E153D5" w14:textId="77777777" w:rsidR="00E46245" w:rsidRDefault="00E46245" w:rsidP="0022503D">
    <w:pPr>
      <w:pStyle w:val="Zhlav"/>
    </w:pPr>
    <w:r>
      <w:rPr>
        <w:noProof/>
      </w:rPr>
      <w:drawing>
        <wp:anchor distT="0" distB="0" distL="114300" distR="114300" simplePos="0" relativeHeight="251672064" behindDoc="0" locked="0" layoutInCell="1" allowOverlap="1" wp14:anchorId="0A1FD478" wp14:editId="7E4736EF">
          <wp:simplePos x="0" y="0"/>
          <wp:positionH relativeFrom="column">
            <wp:posOffset>4554855</wp:posOffset>
          </wp:positionH>
          <wp:positionV relativeFrom="paragraph">
            <wp:posOffset>18415</wp:posOffset>
          </wp:positionV>
          <wp:extent cx="1301115" cy="445770"/>
          <wp:effectExtent l="0" t="0" r="0" b="0"/>
          <wp:wrapNone/>
          <wp:docPr id="10"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6759E027" w14:textId="77777777" w:rsidR="00E46245" w:rsidRDefault="00E46245" w:rsidP="009B666C">
    <w:pPr>
      <w:pStyle w:val="Zhlav"/>
    </w:pPr>
    <w:r>
      <w:rPr>
        <w:noProof/>
      </w:rPr>
      <w:drawing>
        <wp:anchor distT="0" distB="0" distL="114300" distR="114300" simplePos="0" relativeHeight="251673088" behindDoc="1" locked="0" layoutInCell="1" allowOverlap="1" wp14:anchorId="22D5BE06" wp14:editId="0D136F8E">
          <wp:simplePos x="0" y="0"/>
          <wp:positionH relativeFrom="column">
            <wp:posOffset>-37465</wp:posOffset>
          </wp:positionH>
          <wp:positionV relativeFrom="paragraph">
            <wp:posOffset>-309880</wp:posOffset>
          </wp:positionV>
          <wp:extent cx="1383030" cy="739775"/>
          <wp:effectExtent l="0" t="0" r="7620" b="0"/>
          <wp:wrapNone/>
          <wp:docPr id="1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7DF926D5" w14:textId="77777777" w:rsidR="00E46245" w:rsidRDefault="00E46245" w:rsidP="0022503D">
    <w:pPr>
      <w:pStyle w:val="Zhlav"/>
    </w:pPr>
  </w:p>
  <w:p w14:paraId="5A53C472" w14:textId="77777777" w:rsidR="00E46245" w:rsidRDefault="00E46245" w:rsidP="0022503D">
    <w:pPr>
      <w:pStyle w:val="Zhlav"/>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A1561" w14:textId="77777777" w:rsidR="00E46245" w:rsidRDefault="00E46245" w:rsidP="0022503D">
    <w:pPr>
      <w:pStyle w:val="Zhlav"/>
    </w:pPr>
  </w:p>
  <w:p w14:paraId="61F30E31" w14:textId="77777777" w:rsidR="00E46245" w:rsidRDefault="00E46245" w:rsidP="0022503D">
    <w:pPr>
      <w:pStyle w:val="Zhlav"/>
    </w:pPr>
    <w:r>
      <w:rPr>
        <w:noProof/>
      </w:rPr>
      <w:drawing>
        <wp:anchor distT="0" distB="0" distL="114300" distR="114300" simplePos="0" relativeHeight="251681280" behindDoc="0" locked="0" layoutInCell="1" allowOverlap="1" wp14:anchorId="261F796F" wp14:editId="703A8958">
          <wp:simplePos x="0" y="0"/>
          <wp:positionH relativeFrom="column">
            <wp:posOffset>7680960</wp:posOffset>
          </wp:positionH>
          <wp:positionV relativeFrom="paragraph">
            <wp:posOffset>20320</wp:posOffset>
          </wp:positionV>
          <wp:extent cx="1301115" cy="445770"/>
          <wp:effectExtent l="0" t="0" r="0" b="0"/>
          <wp:wrapNone/>
          <wp:docPr id="13"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447453A1" w14:textId="77777777" w:rsidR="00E46245" w:rsidRDefault="00E46245" w:rsidP="009B666C">
    <w:pPr>
      <w:pStyle w:val="Zhlav"/>
    </w:pPr>
    <w:r>
      <w:rPr>
        <w:noProof/>
      </w:rPr>
      <w:drawing>
        <wp:anchor distT="0" distB="0" distL="114300" distR="114300" simplePos="0" relativeHeight="251682304" behindDoc="1" locked="0" layoutInCell="1" allowOverlap="1" wp14:anchorId="41CCE886" wp14:editId="10B3E3F1">
          <wp:simplePos x="0" y="0"/>
          <wp:positionH relativeFrom="column">
            <wp:posOffset>-37465</wp:posOffset>
          </wp:positionH>
          <wp:positionV relativeFrom="paragraph">
            <wp:posOffset>-309880</wp:posOffset>
          </wp:positionV>
          <wp:extent cx="1383030" cy="739775"/>
          <wp:effectExtent l="0" t="0" r="7620" b="0"/>
          <wp:wrapNone/>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3DB91B8F" w14:textId="77777777" w:rsidR="00E46245" w:rsidRDefault="00E46245" w:rsidP="0022503D">
    <w:pPr>
      <w:pStyle w:val="Zhlav"/>
    </w:pPr>
  </w:p>
  <w:p w14:paraId="01630F26" w14:textId="77777777" w:rsidR="00E46245" w:rsidRDefault="00E46245" w:rsidP="0022503D">
    <w:pPr>
      <w:pStyle w:val="Zhlav"/>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706D4" w14:textId="77777777" w:rsidR="00E46245" w:rsidRDefault="00E46245" w:rsidP="0022503D">
    <w:pPr>
      <w:pStyle w:val="Zhlav"/>
    </w:pPr>
  </w:p>
  <w:p w14:paraId="0E4DC13E" w14:textId="77777777" w:rsidR="00E46245" w:rsidRDefault="00E46245" w:rsidP="0022503D">
    <w:pPr>
      <w:pStyle w:val="Zhlav"/>
    </w:pPr>
    <w:r>
      <w:rPr>
        <w:noProof/>
      </w:rPr>
      <w:drawing>
        <wp:anchor distT="0" distB="0" distL="114300" distR="114300" simplePos="0" relativeHeight="251677184" behindDoc="0" locked="0" layoutInCell="1" allowOverlap="1" wp14:anchorId="746F122B" wp14:editId="03B54571">
          <wp:simplePos x="0" y="0"/>
          <wp:positionH relativeFrom="column">
            <wp:posOffset>4554855</wp:posOffset>
          </wp:positionH>
          <wp:positionV relativeFrom="paragraph">
            <wp:posOffset>18415</wp:posOffset>
          </wp:positionV>
          <wp:extent cx="1301115" cy="445770"/>
          <wp:effectExtent l="0" t="0" r="0" b="0"/>
          <wp:wrapNone/>
          <wp:docPr id="320"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57FB3346" w14:textId="77777777" w:rsidR="00E46245" w:rsidRDefault="00E46245" w:rsidP="009B666C">
    <w:pPr>
      <w:pStyle w:val="Zhlav"/>
    </w:pPr>
    <w:r>
      <w:rPr>
        <w:noProof/>
      </w:rPr>
      <w:drawing>
        <wp:anchor distT="0" distB="0" distL="114300" distR="114300" simplePos="0" relativeHeight="251678208" behindDoc="1" locked="0" layoutInCell="1" allowOverlap="1" wp14:anchorId="2AEC7D25" wp14:editId="5C35C0B6">
          <wp:simplePos x="0" y="0"/>
          <wp:positionH relativeFrom="column">
            <wp:posOffset>-37465</wp:posOffset>
          </wp:positionH>
          <wp:positionV relativeFrom="paragraph">
            <wp:posOffset>-309880</wp:posOffset>
          </wp:positionV>
          <wp:extent cx="1383030" cy="739775"/>
          <wp:effectExtent l="0" t="0" r="7620" b="0"/>
          <wp:wrapNone/>
          <wp:docPr id="32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5AEAF6C5" w14:textId="77777777" w:rsidR="00E46245" w:rsidRDefault="00E46245" w:rsidP="0022503D">
    <w:pPr>
      <w:pStyle w:val="Zhlav"/>
    </w:pPr>
  </w:p>
  <w:p w14:paraId="0309C474" w14:textId="77777777" w:rsidR="00E46245" w:rsidRDefault="00E46245" w:rsidP="0022503D">
    <w:pPr>
      <w:pStyle w:val="Zhlav"/>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63BED" w14:textId="77777777" w:rsidR="00E46245" w:rsidRDefault="00E46245" w:rsidP="0022503D">
    <w:pPr>
      <w:pStyle w:val="Zhlav"/>
    </w:pPr>
  </w:p>
  <w:p w14:paraId="4ED5C42B" w14:textId="77777777" w:rsidR="00E46245" w:rsidRDefault="00E46245" w:rsidP="0022503D">
    <w:pPr>
      <w:pStyle w:val="Zhlav"/>
    </w:pPr>
    <w:r>
      <w:rPr>
        <w:noProof/>
      </w:rPr>
      <w:drawing>
        <wp:anchor distT="0" distB="0" distL="114300" distR="114300" simplePos="0" relativeHeight="251687424" behindDoc="0" locked="0" layoutInCell="1" allowOverlap="1" wp14:anchorId="1896C63C" wp14:editId="46AAF9A0">
          <wp:simplePos x="0" y="0"/>
          <wp:positionH relativeFrom="column">
            <wp:posOffset>7680960</wp:posOffset>
          </wp:positionH>
          <wp:positionV relativeFrom="paragraph">
            <wp:posOffset>18415</wp:posOffset>
          </wp:positionV>
          <wp:extent cx="1301115" cy="445770"/>
          <wp:effectExtent l="0" t="0" r="0" b="0"/>
          <wp:wrapNone/>
          <wp:docPr id="323"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79D393FD" w14:textId="77777777" w:rsidR="00E46245" w:rsidRDefault="00E46245" w:rsidP="009B666C">
    <w:pPr>
      <w:pStyle w:val="Zhlav"/>
    </w:pPr>
    <w:r>
      <w:rPr>
        <w:noProof/>
      </w:rPr>
      <w:drawing>
        <wp:anchor distT="0" distB="0" distL="114300" distR="114300" simplePos="0" relativeHeight="251688448" behindDoc="1" locked="0" layoutInCell="1" allowOverlap="1" wp14:anchorId="0532568F" wp14:editId="283758ED">
          <wp:simplePos x="0" y="0"/>
          <wp:positionH relativeFrom="column">
            <wp:posOffset>-37465</wp:posOffset>
          </wp:positionH>
          <wp:positionV relativeFrom="paragraph">
            <wp:posOffset>-309880</wp:posOffset>
          </wp:positionV>
          <wp:extent cx="1383030" cy="739775"/>
          <wp:effectExtent l="0" t="0" r="7620" b="0"/>
          <wp:wrapNone/>
          <wp:docPr id="32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44E1401B" w14:textId="77777777" w:rsidR="00E46245" w:rsidRDefault="00E46245" w:rsidP="0022503D">
    <w:pPr>
      <w:pStyle w:val="Zhlav"/>
    </w:pPr>
  </w:p>
  <w:p w14:paraId="10651491" w14:textId="77777777" w:rsidR="00E46245" w:rsidRDefault="00E46245" w:rsidP="0022503D">
    <w:pPr>
      <w:pStyle w:val="Zhlav"/>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62F63" w14:textId="77777777" w:rsidR="00E46245" w:rsidRDefault="00E46245" w:rsidP="0022503D">
    <w:pPr>
      <w:pStyle w:val="Zhlav"/>
    </w:pPr>
  </w:p>
  <w:p w14:paraId="2F34A176" w14:textId="77777777" w:rsidR="00E46245" w:rsidRDefault="00E46245" w:rsidP="0022503D">
    <w:pPr>
      <w:pStyle w:val="Zhlav"/>
    </w:pPr>
    <w:r>
      <w:rPr>
        <w:noProof/>
      </w:rPr>
      <w:drawing>
        <wp:anchor distT="0" distB="0" distL="114300" distR="114300" simplePos="0" relativeHeight="251683328" behindDoc="0" locked="0" layoutInCell="1" allowOverlap="1" wp14:anchorId="28358BE7" wp14:editId="3DFA4C85">
          <wp:simplePos x="0" y="0"/>
          <wp:positionH relativeFrom="column">
            <wp:posOffset>4554855</wp:posOffset>
          </wp:positionH>
          <wp:positionV relativeFrom="paragraph">
            <wp:posOffset>18415</wp:posOffset>
          </wp:positionV>
          <wp:extent cx="1301115" cy="445770"/>
          <wp:effectExtent l="0" t="0" r="0" b="0"/>
          <wp:wrapNone/>
          <wp:docPr id="326"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11230410" w14:textId="77777777" w:rsidR="00E46245" w:rsidRDefault="00E46245" w:rsidP="009B666C">
    <w:pPr>
      <w:pStyle w:val="Zhlav"/>
    </w:pPr>
    <w:r>
      <w:rPr>
        <w:noProof/>
      </w:rPr>
      <w:drawing>
        <wp:anchor distT="0" distB="0" distL="114300" distR="114300" simplePos="0" relativeHeight="251684352" behindDoc="1" locked="0" layoutInCell="1" allowOverlap="1" wp14:anchorId="529F05F9" wp14:editId="46565BC3">
          <wp:simplePos x="0" y="0"/>
          <wp:positionH relativeFrom="column">
            <wp:posOffset>-37465</wp:posOffset>
          </wp:positionH>
          <wp:positionV relativeFrom="paragraph">
            <wp:posOffset>-309880</wp:posOffset>
          </wp:positionV>
          <wp:extent cx="1383030" cy="739775"/>
          <wp:effectExtent l="0" t="0" r="7620" b="0"/>
          <wp:wrapNone/>
          <wp:docPr id="32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075F8546" w14:textId="77777777" w:rsidR="00E46245" w:rsidRDefault="00E46245" w:rsidP="0022503D">
    <w:pPr>
      <w:pStyle w:val="Zhlav"/>
    </w:pPr>
  </w:p>
  <w:p w14:paraId="76888F64" w14:textId="77777777" w:rsidR="00E46245" w:rsidRDefault="00E46245" w:rsidP="0022503D">
    <w:pPr>
      <w:pStyle w:val="Zhlav"/>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8AE3D" w14:textId="77777777" w:rsidR="00E46245" w:rsidRDefault="00E46245" w:rsidP="0022503D">
    <w:pPr>
      <w:pStyle w:val="Zhlav"/>
    </w:pPr>
  </w:p>
  <w:p w14:paraId="216152A6" w14:textId="77777777" w:rsidR="00E46245" w:rsidRDefault="00E46245" w:rsidP="0022503D">
    <w:pPr>
      <w:pStyle w:val="Zhlav"/>
    </w:pPr>
    <w:r>
      <w:rPr>
        <w:noProof/>
      </w:rPr>
      <w:drawing>
        <wp:anchor distT="0" distB="0" distL="114300" distR="114300" simplePos="0" relativeHeight="251653632" behindDoc="0" locked="0" layoutInCell="1" allowOverlap="1" wp14:anchorId="5AA079AC" wp14:editId="1AA46487">
          <wp:simplePos x="0" y="0"/>
          <wp:positionH relativeFrom="column">
            <wp:posOffset>7724775</wp:posOffset>
          </wp:positionH>
          <wp:positionV relativeFrom="paragraph">
            <wp:posOffset>18415</wp:posOffset>
          </wp:positionV>
          <wp:extent cx="1301115" cy="445770"/>
          <wp:effectExtent l="0" t="0" r="0" b="0"/>
          <wp:wrapNone/>
          <wp:docPr id="329"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2DAC60C7" w14:textId="77777777" w:rsidR="00E46245" w:rsidRDefault="00E46245" w:rsidP="009B666C">
    <w:pPr>
      <w:pStyle w:val="Zhlav"/>
    </w:pPr>
    <w:r>
      <w:rPr>
        <w:noProof/>
      </w:rPr>
      <w:drawing>
        <wp:anchor distT="0" distB="0" distL="114300" distR="114300" simplePos="0" relativeHeight="251654656" behindDoc="1" locked="0" layoutInCell="1" allowOverlap="1" wp14:anchorId="1C550167" wp14:editId="2FB159BF">
          <wp:simplePos x="0" y="0"/>
          <wp:positionH relativeFrom="column">
            <wp:posOffset>-37465</wp:posOffset>
          </wp:positionH>
          <wp:positionV relativeFrom="paragraph">
            <wp:posOffset>-309880</wp:posOffset>
          </wp:positionV>
          <wp:extent cx="1383030" cy="739775"/>
          <wp:effectExtent l="0" t="0" r="7620" b="0"/>
          <wp:wrapNone/>
          <wp:docPr id="33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49098E28" w14:textId="77777777" w:rsidR="00E46245" w:rsidRDefault="00E46245" w:rsidP="0022503D">
    <w:pPr>
      <w:pStyle w:val="Zhlav"/>
    </w:pPr>
  </w:p>
  <w:p w14:paraId="0E9F6289" w14:textId="77777777" w:rsidR="00E46245" w:rsidRDefault="00E46245" w:rsidP="0022503D">
    <w:pPr>
      <w:pStyle w:val="Zhlav"/>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79BBC" w14:textId="77777777" w:rsidR="00E46245" w:rsidRDefault="00E46245" w:rsidP="00157951">
    <w:pPr>
      <w:pStyle w:val="Zhlav"/>
    </w:pPr>
  </w:p>
  <w:p w14:paraId="379E671F" w14:textId="77777777" w:rsidR="00E46245" w:rsidRDefault="00E46245" w:rsidP="00157951">
    <w:pPr>
      <w:pStyle w:val="Zhlav"/>
    </w:pPr>
    <w:r>
      <w:rPr>
        <w:noProof/>
      </w:rPr>
      <w:drawing>
        <wp:anchor distT="0" distB="0" distL="114300" distR="114300" simplePos="0" relativeHeight="251657728" behindDoc="0" locked="0" layoutInCell="1" allowOverlap="1" wp14:anchorId="1EA606D1" wp14:editId="699D3267">
          <wp:simplePos x="0" y="0"/>
          <wp:positionH relativeFrom="column">
            <wp:posOffset>7724775</wp:posOffset>
          </wp:positionH>
          <wp:positionV relativeFrom="paragraph">
            <wp:posOffset>18415</wp:posOffset>
          </wp:positionV>
          <wp:extent cx="1301115" cy="445770"/>
          <wp:effectExtent l="0" t="0" r="0" b="0"/>
          <wp:wrapNone/>
          <wp:docPr id="332"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52E6E95A" w14:textId="77777777" w:rsidR="00E46245" w:rsidRDefault="00E46245" w:rsidP="00157951">
    <w:pPr>
      <w:pStyle w:val="Zhlav"/>
    </w:pPr>
    <w:r>
      <w:rPr>
        <w:noProof/>
      </w:rPr>
      <w:drawing>
        <wp:anchor distT="0" distB="0" distL="114300" distR="114300" simplePos="0" relativeHeight="251659776" behindDoc="1" locked="0" layoutInCell="1" allowOverlap="1" wp14:anchorId="23C5785F" wp14:editId="4EA38F0E">
          <wp:simplePos x="0" y="0"/>
          <wp:positionH relativeFrom="column">
            <wp:posOffset>-37465</wp:posOffset>
          </wp:positionH>
          <wp:positionV relativeFrom="paragraph">
            <wp:posOffset>-309880</wp:posOffset>
          </wp:positionV>
          <wp:extent cx="1383030" cy="739775"/>
          <wp:effectExtent l="0" t="0" r="7620" b="0"/>
          <wp:wrapNone/>
          <wp:docPr id="33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7F92FA68" w14:textId="77777777" w:rsidR="00E46245" w:rsidRDefault="00E46245" w:rsidP="00157951">
    <w:pPr>
      <w:pStyle w:val="Zhlav"/>
    </w:pPr>
  </w:p>
  <w:p w14:paraId="449D6A62" w14:textId="77777777" w:rsidR="00E46245" w:rsidRPr="009B666C" w:rsidRDefault="00E46245" w:rsidP="009B666C">
    <w:pPr>
      <w:pStyle w:val="Zhlav"/>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37DAE" w14:textId="77777777" w:rsidR="00E46245" w:rsidRDefault="00E46245" w:rsidP="0022503D">
    <w:pPr>
      <w:pStyle w:val="Zhlav"/>
    </w:pPr>
  </w:p>
  <w:p w14:paraId="44994EB5" w14:textId="77777777" w:rsidR="00E46245" w:rsidRDefault="00E46245" w:rsidP="0022503D">
    <w:pPr>
      <w:pStyle w:val="Zhlav"/>
    </w:pPr>
    <w:r>
      <w:rPr>
        <w:noProof/>
      </w:rPr>
      <w:drawing>
        <wp:anchor distT="0" distB="0" distL="114300" distR="114300" simplePos="0" relativeHeight="251651584" behindDoc="0" locked="0" layoutInCell="1" allowOverlap="1" wp14:anchorId="08939FD7" wp14:editId="588B3B21">
          <wp:simplePos x="0" y="0"/>
          <wp:positionH relativeFrom="column">
            <wp:posOffset>4554855</wp:posOffset>
          </wp:positionH>
          <wp:positionV relativeFrom="paragraph">
            <wp:posOffset>18415</wp:posOffset>
          </wp:positionV>
          <wp:extent cx="1301115" cy="445770"/>
          <wp:effectExtent l="0" t="0" r="0" b="0"/>
          <wp:wrapNone/>
          <wp:docPr id="335"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486D4F11" w14:textId="77777777" w:rsidR="00E46245" w:rsidRDefault="00E46245" w:rsidP="009B666C">
    <w:pPr>
      <w:pStyle w:val="Zhlav"/>
    </w:pPr>
    <w:r>
      <w:rPr>
        <w:noProof/>
      </w:rPr>
      <w:drawing>
        <wp:anchor distT="0" distB="0" distL="114300" distR="114300" simplePos="0" relativeHeight="251652608" behindDoc="1" locked="0" layoutInCell="1" allowOverlap="1" wp14:anchorId="7FCC4E59" wp14:editId="7068471D">
          <wp:simplePos x="0" y="0"/>
          <wp:positionH relativeFrom="column">
            <wp:posOffset>-37465</wp:posOffset>
          </wp:positionH>
          <wp:positionV relativeFrom="paragraph">
            <wp:posOffset>-309880</wp:posOffset>
          </wp:positionV>
          <wp:extent cx="1383030" cy="739775"/>
          <wp:effectExtent l="0" t="0" r="7620" b="0"/>
          <wp:wrapNone/>
          <wp:docPr id="33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247F2CCC" w14:textId="77777777" w:rsidR="00E46245" w:rsidRDefault="00E46245" w:rsidP="0022503D">
    <w:pPr>
      <w:pStyle w:val="Zhlav"/>
    </w:pPr>
  </w:p>
  <w:p w14:paraId="3DE65DFC" w14:textId="77777777" w:rsidR="00E46245" w:rsidRDefault="00E46245" w:rsidP="0022503D">
    <w:pPr>
      <w:pStyle w:val="Zhlav"/>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9E26A" w14:textId="77777777" w:rsidR="00E46245" w:rsidRDefault="00E46245" w:rsidP="0022503D">
    <w:pPr>
      <w:pStyle w:val="Zhlav"/>
    </w:pPr>
  </w:p>
  <w:p w14:paraId="1F3FCA70" w14:textId="77777777" w:rsidR="00E46245" w:rsidRDefault="00E46245" w:rsidP="0022503D">
    <w:pPr>
      <w:pStyle w:val="Zhlav"/>
    </w:pPr>
    <w:r>
      <w:rPr>
        <w:noProof/>
      </w:rPr>
      <w:drawing>
        <wp:anchor distT="0" distB="0" distL="114300" distR="114300" simplePos="0" relativeHeight="251646464" behindDoc="0" locked="0" layoutInCell="1" allowOverlap="1" wp14:anchorId="31A5991C" wp14:editId="3861178C">
          <wp:simplePos x="0" y="0"/>
          <wp:positionH relativeFrom="column">
            <wp:posOffset>4554855</wp:posOffset>
          </wp:positionH>
          <wp:positionV relativeFrom="paragraph">
            <wp:posOffset>18415</wp:posOffset>
          </wp:positionV>
          <wp:extent cx="1301115" cy="445770"/>
          <wp:effectExtent l="0" t="0" r="0" b="0"/>
          <wp:wrapNone/>
          <wp:docPr id="338"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6D45DA90" w14:textId="77777777" w:rsidR="00E46245" w:rsidRDefault="00E46245" w:rsidP="009B666C">
    <w:pPr>
      <w:pStyle w:val="Zhlav"/>
    </w:pPr>
    <w:r>
      <w:rPr>
        <w:noProof/>
      </w:rPr>
      <w:drawing>
        <wp:anchor distT="0" distB="0" distL="114300" distR="114300" simplePos="0" relativeHeight="251647488" behindDoc="1" locked="0" layoutInCell="1" allowOverlap="1" wp14:anchorId="57D09200" wp14:editId="7FD122CF">
          <wp:simplePos x="0" y="0"/>
          <wp:positionH relativeFrom="column">
            <wp:posOffset>-37465</wp:posOffset>
          </wp:positionH>
          <wp:positionV relativeFrom="paragraph">
            <wp:posOffset>-309880</wp:posOffset>
          </wp:positionV>
          <wp:extent cx="1383030" cy="739775"/>
          <wp:effectExtent l="0" t="0" r="7620" b="0"/>
          <wp:wrapNone/>
          <wp:docPr id="33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2BDEC924" w14:textId="77777777" w:rsidR="00E46245" w:rsidRDefault="00E46245" w:rsidP="0022503D">
    <w:pPr>
      <w:pStyle w:val="Zhlav"/>
    </w:pPr>
  </w:p>
  <w:p w14:paraId="1CD72340" w14:textId="77777777" w:rsidR="00E46245" w:rsidRDefault="00E46245" w:rsidP="0022503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48929" w14:textId="77777777" w:rsidR="00E46245" w:rsidRDefault="00E46245" w:rsidP="0022503D">
    <w:pPr>
      <w:pStyle w:val="Zhlav"/>
    </w:pPr>
  </w:p>
  <w:p w14:paraId="199EDA5D" w14:textId="77777777" w:rsidR="00E46245" w:rsidRDefault="00E46245" w:rsidP="0022503D">
    <w:pPr>
      <w:pStyle w:val="Zhlav"/>
    </w:pPr>
    <w:r>
      <w:rPr>
        <w:noProof/>
      </w:rPr>
      <w:drawing>
        <wp:anchor distT="0" distB="0" distL="114300" distR="114300" simplePos="0" relativeHeight="251625984" behindDoc="0" locked="0" layoutInCell="1" allowOverlap="1" wp14:anchorId="5A98BD6C" wp14:editId="7A3CD2E4">
          <wp:simplePos x="0" y="0"/>
          <wp:positionH relativeFrom="column">
            <wp:posOffset>4531995</wp:posOffset>
          </wp:positionH>
          <wp:positionV relativeFrom="paragraph">
            <wp:posOffset>94615</wp:posOffset>
          </wp:positionV>
          <wp:extent cx="1301115" cy="445770"/>
          <wp:effectExtent l="0" t="0" r="0" b="0"/>
          <wp:wrapNone/>
          <wp:docPr id="68" name="Obrázek 9"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7E2BEDE9" w14:textId="77777777" w:rsidR="00E46245" w:rsidRDefault="00E46245" w:rsidP="0022503D">
    <w:pPr>
      <w:pStyle w:val="Zhlav"/>
    </w:pPr>
    <w:r>
      <w:rPr>
        <w:noProof/>
      </w:rPr>
      <w:drawing>
        <wp:anchor distT="0" distB="0" distL="114300" distR="114300" simplePos="0" relativeHeight="251627008" behindDoc="1" locked="0" layoutInCell="1" allowOverlap="1" wp14:anchorId="2E9ABB3A" wp14:editId="0A736047">
          <wp:simplePos x="0" y="0"/>
          <wp:positionH relativeFrom="column">
            <wp:posOffset>-37465</wp:posOffset>
          </wp:positionH>
          <wp:positionV relativeFrom="paragraph">
            <wp:posOffset>-309880</wp:posOffset>
          </wp:positionV>
          <wp:extent cx="1383030" cy="739775"/>
          <wp:effectExtent l="0" t="0" r="7620" b="0"/>
          <wp:wrapNone/>
          <wp:docPr id="6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7652F276" w14:textId="77777777" w:rsidR="00E46245" w:rsidRDefault="00E46245">
    <w:pPr>
      <w:pStyle w:val="Zhlav"/>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6766E" w14:textId="77777777" w:rsidR="00E46245" w:rsidRDefault="00E46245" w:rsidP="0022503D">
    <w:pPr>
      <w:pStyle w:val="Zhlav"/>
    </w:pPr>
  </w:p>
  <w:p w14:paraId="51CA36CC" w14:textId="77777777" w:rsidR="00E46245" w:rsidRDefault="00E46245" w:rsidP="0022503D">
    <w:pPr>
      <w:pStyle w:val="Zhlav"/>
    </w:pPr>
    <w:r>
      <w:rPr>
        <w:noProof/>
      </w:rPr>
      <w:drawing>
        <wp:anchor distT="0" distB="0" distL="114300" distR="114300" simplePos="0" relativeHeight="251643392" behindDoc="0" locked="0" layoutInCell="1" allowOverlap="1" wp14:anchorId="437F9C8D" wp14:editId="1F880260">
          <wp:simplePos x="0" y="0"/>
          <wp:positionH relativeFrom="column">
            <wp:posOffset>7689215</wp:posOffset>
          </wp:positionH>
          <wp:positionV relativeFrom="paragraph">
            <wp:posOffset>18415</wp:posOffset>
          </wp:positionV>
          <wp:extent cx="1301115" cy="445770"/>
          <wp:effectExtent l="0" t="0" r="0" b="0"/>
          <wp:wrapNone/>
          <wp:docPr id="341"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55A50BF8" w14:textId="77777777" w:rsidR="00E46245" w:rsidRDefault="00E46245" w:rsidP="009B666C">
    <w:pPr>
      <w:pStyle w:val="Zhlav"/>
    </w:pPr>
    <w:r>
      <w:rPr>
        <w:noProof/>
      </w:rPr>
      <w:drawing>
        <wp:anchor distT="0" distB="0" distL="114300" distR="114300" simplePos="0" relativeHeight="251644416" behindDoc="1" locked="0" layoutInCell="1" allowOverlap="1" wp14:anchorId="1A3DAB8A" wp14:editId="3FCFDEF6">
          <wp:simplePos x="0" y="0"/>
          <wp:positionH relativeFrom="column">
            <wp:posOffset>-37465</wp:posOffset>
          </wp:positionH>
          <wp:positionV relativeFrom="paragraph">
            <wp:posOffset>-309880</wp:posOffset>
          </wp:positionV>
          <wp:extent cx="1383030" cy="739775"/>
          <wp:effectExtent l="0" t="0" r="7620" b="0"/>
          <wp:wrapNone/>
          <wp:docPr id="34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37C91D75" w14:textId="77777777" w:rsidR="00E46245" w:rsidRDefault="00E46245" w:rsidP="0022503D">
    <w:pPr>
      <w:pStyle w:val="Zhlav"/>
    </w:pPr>
  </w:p>
  <w:p w14:paraId="397BEEB7" w14:textId="77777777" w:rsidR="00E46245" w:rsidRDefault="00E46245" w:rsidP="0022503D">
    <w:pPr>
      <w:pStyle w:val="Zhlav"/>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3844" w14:textId="77777777" w:rsidR="00E46245" w:rsidRDefault="00E46245" w:rsidP="00A870BF">
    <w:pPr>
      <w:pStyle w:val="Zhlav"/>
    </w:pPr>
  </w:p>
  <w:p w14:paraId="7F824ADC" w14:textId="77777777" w:rsidR="00E46245" w:rsidRDefault="00E46245" w:rsidP="00A870BF">
    <w:pPr>
      <w:pStyle w:val="Zhlav"/>
    </w:pPr>
    <w:r>
      <w:rPr>
        <w:noProof/>
      </w:rPr>
      <w:drawing>
        <wp:anchor distT="0" distB="0" distL="114300" distR="114300" simplePos="0" relativeHeight="251658752" behindDoc="0" locked="0" layoutInCell="1" allowOverlap="1" wp14:anchorId="2B51135E" wp14:editId="119A3E38">
          <wp:simplePos x="0" y="0"/>
          <wp:positionH relativeFrom="column">
            <wp:posOffset>4554855</wp:posOffset>
          </wp:positionH>
          <wp:positionV relativeFrom="paragraph">
            <wp:posOffset>18415</wp:posOffset>
          </wp:positionV>
          <wp:extent cx="1301115" cy="445770"/>
          <wp:effectExtent l="0" t="0" r="0" b="0"/>
          <wp:wrapNone/>
          <wp:docPr id="49" name="Obrázek 203"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3"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447EE909" w14:textId="77777777" w:rsidR="00E46245" w:rsidRDefault="00E46245" w:rsidP="00A870BF">
    <w:pPr>
      <w:pStyle w:val="Zhlav"/>
    </w:pPr>
    <w:r>
      <w:rPr>
        <w:noProof/>
      </w:rPr>
      <w:drawing>
        <wp:anchor distT="0" distB="0" distL="114300" distR="114300" simplePos="0" relativeHeight="251660800" behindDoc="1" locked="0" layoutInCell="1" allowOverlap="1" wp14:anchorId="7CCB8919" wp14:editId="6551B4E5">
          <wp:simplePos x="0" y="0"/>
          <wp:positionH relativeFrom="column">
            <wp:posOffset>-37465</wp:posOffset>
          </wp:positionH>
          <wp:positionV relativeFrom="paragraph">
            <wp:posOffset>-309880</wp:posOffset>
          </wp:positionV>
          <wp:extent cx="1383030" cy="739775"/>
          <wp:effectExtent l="0" t="0" r="7620" b="0"/>
          <wp:wrapNone/>
          <wp:docPr id="5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53BED5B6" w14:textId="77777777" w:rsidR="00E46245" w:rsidRDefault="00E46245" w:rsidP="00A870BF">
    <w:pPr>
      <w:pStyle w:val="Zhlav"/>
    </w:pPr>
  </w:p>
  <w:p w14:paraId="5B197FFB" w14:textId="77777777" w:rsidR="00E46245" w:rsidRPr="00A870BF" w:rsidRDefault="00E46245" w:rsidP="00A870BF">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64E58" w14:textId="77777777" w:rsidR="00E46245" w:rsidRDefault="00E46245" w:rsidP="0022503D">
    <w:pPr>
      <w:pStyle w:val="Zhlav"/>
    </w:pPr>
  </w:p>
  <w:p w14:paraId="02C8662E" w14:textId="77777777" w:rsidR="00E46245" w:rsidRDefault="00E46245" w:rsidP="0022503D">
    <w:pPr>
      <w:pStyle w:val="Zhlav"/>
    </w:pPr>
    <w:r>
      <w:rPr>
        <w:noProof/>
      </w:rPr>
      <w:drawing>
        <wp:anchor distT="0" distB="0" distL="114300" distR="114300" simplePos="0" relativeHeight="251631104" behindDoc="0" locked="0" layoutInCell="1" allowOverlap="1" wp14:anchorId="7CA8F5B6" wp14:editId="0741498E">
          <wp:simplePos x="0" y="0"/>
          <wp:positionH relativeFrom="column">
            <wp:posOffset>4554855</wp:posOffset>
          </wp:positionH>
          <wp:positionV relativeFrom="paragraph">
            <wp:posOffset>18415</wp:posOffset>
          </wp:positionV>
          <wp:extent cx="1301115" cy="445770"/>
          <wp:effectExtent l="0" t="0" r="0" b="0"/>
          <wp:wrapNone/>
          <wp:docPr id="290"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5D04AEE0" w14:textId="77777777" w:rsidR="00E46245" w:rsidRDefault="00E46245" w:rsidP="009B666C">
    <w:pPr>
      <w:pStyle w:val="Zhlav"/>
    </w:pPr>
    <w:r>
      <w:rPr>
        <w:noProof/>
      </w:rPr>
      <w:drawing>
        <wp:anchor distT="0" distB="0" distL="114300" distR="114300" simplePos="0" relativeHeight="251632128" behindDoc="1" locked="0" layoutInCell="1" allowOverlap="1" wp14:anchorId="599709DF" wp14:editId="6EAF842E">
          <wp:simplePos x="0" y="0"/>
          <wp:positionH relativeFrom="column">
            <wp:posOffset>-37465</wp:posOffset>
          </wp:positionH>
          <wp:positionV relativeFrom="paragraph">
            <wp:posOffset>-309880</wp:posOffset>
          </wp:positionV>
          <wp:extent cx="1383030" cy="739775"/>
          <wp:effectExtent l="0" t="0" r="7620" b="0"/>
          <wp:wrapNone/>
          <wp:docPr id="29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17B5C21D" w14:textId="77777777" w:rsidR="00E46245" w:rsidRDefault="00E46245" w:rsidP="0022503D">
    <w:pPr>
      <w:pStyle w:val="Zhlav"/>
    </w:pPr>
  </w:p>
  <w:p w14:paraId="32E48AE2" w14:textId="77777777" w:rsidR="00E46245" w:rsidRDefault="00E46245" w:rsidP="0022503D">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736B4" w14:textId="77777777" w:rsidR="00E46245" w:rsidRDefault="00E46245" w:rsidP="0022503D">
    <w:pPr>
      <w:pStyle w:val="Zhlav"/>
    </w:pPr>
  </w:p>
  <w:p w14:paraId="14DA5895" w14:textId="77777777" w:rsidR="00E46245" w:rsidRDefault="00E46245" w:rsidP="0022503D">
    <w:pPr>
      <w:pStyle w:val="Zhlav"/>
    </w:pPr>
    <w:r>
      <w:rPr>
        <w:noProof/>
      </w:rPr>
      <w:drawing>
        <wp:anchor distT="0" distB="0" distL="114300" distR="114300" simplePos="0" relativeHeight="251633152" behindDoc="0" locked="0" layoutInCell="1" allowOverlap="1" wp14:anchorId="6CC3D387" wp14:editId="5C3CA97F">
          <wp:simplePos x="0" y="0"/>
          <wp:positionH relativeFrom="column">
            <wp:posOffset>7755255</wp:posOffset>
          </wp:positionH>
          <wp:positionV relativeFrom="paragraph">
            <wp:posOffset>18415</wp:posOffset>
          </wp:positionV>
          <wp:extent cx="1301115" cy="445770"/>
          <wp:effectExtent l="0" t="0" r="0" b="0"/>
          <wp:wrapNone/>
          <wp:docPr id="293" name="Obrázek 149"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9"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178500A8" w14:textId="77777777" w:rsidR="00E46245" w:rsidRDefault="00E46245" w:rsidP="009B666C">
    <w:pPr>
      <w:pStyle w:val="Zhlav"/>
    </w:pPr>
    <w:r>
      <w:rPr>
        <w:noProof/>
      </w:rPr>
      <w:drawing>
        <wp:anchor distT="0" distB="0" distL="114300" distR="114300" simplePos="0" relativeHeight="251634176" behindDoc="1" locked="0" layoutInCell="1" allowOverlap="1" wp14:anchorId="499DA634" wp14:editId="1E3F56F0">
          <wp:simplePos x="0" y="0"/>
          <wp:positionH relativeFrom="column">
            <wp:posOffset>-37465</wp:posOffset>
          </wp:positionH>
          <wp:positionV relativeFrom="paragraph">
            <wp:posOffset>-309880</wp:posOffset>
          </wp:positionV>
          <wp:extent cx="1383030" cy="739775"/>
          <wp:effectExtent l="0" t="0" r="7620" b="0"/>
          <wp:wrapNone/>
          <wp:docPr id="29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6476ED2B" w14:textId="77777777" w:rsidR="00E46245" w:rsidRDefault="00E46245" w:rsidP="0022503D">
    <w:pPr>
      <w:pStyle w:val="Zhlav"/>
    </w:pPr>
  </w:p>
  <w:p w14:paraId="4175770B" w14:textId="77777777" w:rsidR="00E46245" w:rsidRDefault="00E46245" w:rsidP="0022503D">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56F0C" w14:textId="77777777" w:rsidR="00E46245" w:rsidRDefault="00E46245" w:rsidP="0022503D">
    <w:pPr>
      <w:pStyle w:val="Zhlav"/>
    </w:pPr>
  </w:p>
  <w:p w14:paraId="6751DE13" w14:textId="77777777" w:rsidR="00E46245" w:rsidRDefault="00E46245" w:rsidP="0022503D">
    <w:pPr>
      <w:pStyle w:val="Zhlav"/>
    </w:pPr>
    <w:r>
      <w:rPr>
        <w:noProof/>
      </w:rPr>
      <w:drawing>
        <wp:anchor distT="0" distB="0" distL="114300" distR="114300" simplePos="0" relativeHeight="251635200" behindDoc="0" locked="0" layoutInCell="1" allowOverlap="1" wp14:anchorId="19152DA0" wp14:editId="6405F3DF">
          <wp:simplePos x="0" y="0"/>
          <wp:positionH relativeFrom="column">
            <wp:posOffset>4554855</wp:posOffset>
          </wp:positionH>
          <wp:positionV relativeFrom="paragraph">
            <wp:posOffset>18415</wp:posOffset>
          </wp:positionV>
          <wp:extent cx="1301115" cy="445770"/>
          <wp:effectExtent l="0" t="0" r="0" b="0"/>
          <wp:wrapNone/>
          <wp:docPr id="296"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4AC15A04" w14:textId="77777777" w:rsidR="00E46245" w:rsidRDefault="00E46245" w:rsidP="009B666C">
    <w:pPr>
      <w:pStyle w:val="Zhlav"/>
    </w:pPr>
    <w:r>
      <w:rPr>
        <w:noProof/>
      </w:rPr>
      <w:drawing>
        <wp:anchor distT="0" distB="0" distL="114300" distR="114300" simplePos="0" relativeHeight="251636224" behindDoc="1" locked="0" layoutInCell="1" allowOverlap="1" wp14:anchorId="502EF16B" wp14:editId="5369A9D2">
          <wp:simplePos x="0" y="0"/>
          <wp:positionH relativeFrom="column">
            <wp:posOffset>-37465</wp:posOffset>
          </wp:positionH>
          <wp:positionV relativeFrom="paragraph">
            <wp:posOffset>-309880</wp:posOffset>
          </wp:positionV>
          <wp:extent cx="1383030" cy="739775"/>
          <wp:effectExtent l="0" t="0" r="7620" b="0"/>
          <wp:wrapNone/>
          <wp:docPr id="29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76A7207E" w14:textId="77777777" w:rsidR="00E46245" w:rsidRDefault="00E46245" w:rsidP="0022503D">
    <w:pPr>
      <w:pStyle w:val="Zhlav"/>
    </w:pPr>
  </w:p>
  <w:p w14:paraId="04968833" w14:textId="77777777" w:rsidR="00E46245" w:rsidRDefault="00E46245" w:rsidP="0022503D">
    <w:pPr>
      <w:pStyle w:val="Zhlav"/>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B416B" w14:textId="77777777" w:rsidR="00E46245" w:rsidRDefault="00E46245" w:rsidP="0022503D">
    <w:pPr>
      <w:pStyle w:val="Zhlav"/>
    </w:pPr>
  </w:p>
  <w:p w14:paraId="1F89AC4B" w14:textId="77777777" w:rsidR="00E46245" w:rsidRDefault="00E46245" w:rsidP="0022503D">
    <w:pPr>
      <w:pStyle w:val="Zhlav"/>
    </w:pPr>
    <w:r>
      <w:rPr>
        <w:noProof/>
      </w:rPr>
      <w:drawing>
        <wp:anchor distT="0" distB="0" distL="114300" distR="114300" simplePos="0" relativeHeight="251640320" behindDoc="0" locked="0" layoutInCell="1" allowOverlap="1" wp14:anchorId="5DE59AFC" wp14:editId="279EC14E">
          <wp:simplePos x="0" y="0"/>
          <wp:positionH relativeFrom="column">
            <wp:posOffset>7698105</wp:posOffset>
          </wp:positionH>
          <wp:positionV relativeFrom="paragraph">
            <wp:posOffset>18415</wp:posOffset>
          </wp:positionV>
          <wp:extent cx="1301115" cy="445770"/>
          <wp:effectExtent l="0" t="0" r="0" b="0"/>
          <wp:wrapNone/>
          <wp:docPr id="299"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7FA38DFD" w14:textId="77777777" w:rsidR="00E46245" w:rsidRDefault="00E46245" w:rsidP="009B666C">
    <w:pPr>
      <w:pStyle w:val="Zhlav"/>
    </w:pPr>
    <w:r>
      <w:rPr>
        <w:noProof/>
      </w:rPr>
      <w:drawing>
        <wp:anchor distT="0" distB="0" distL="114300" distR="114300" simplePos="0" relativeHeight="251641344" behindDoc="1" locked="0" layoutInCell="1" allowOverlap="1" wp14:anchorId="21D8B9BC" wp14:editId="106A97F8">
          <wp:simplePos x="0" y="0"/>
          <wp:positionH relativeFrom="column">
            <wp:posOffset>-37465</wp:posOffset>
          </wp:positionH>
          <wp:positionV relativeFrom="paragraph">
            <wp:posOffset>-309880</wp:posOffset>
          </wp:positionV>
          <wp:extent cx="1383030" cy="739775"/>
          <wp:effectExtent l="0" t="0" r="7620" b="0"/>
          <wp:wrapNone/>
          <wp:docPr id="300"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408B0D75" w14:textId="77777777" w:rsidR="00E46245" w:rsidRDefault="00E46245" w:rsidP="0022503D">
    <w:pPr>
      <w:pStyle w:val="Zhlav"/>
    </w:pPr>
  </w:p>
  <w:p w14:paraId="319026BC" w14:textId="77777777" w:rsidR="00E46245" w:rsidRDefault="00E46245" w:rsidP="0022503D">
    <w:pPr>
      <w:pStyle w:val="Zhlav"/>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4178E" w14:textId="77777777" w:rsidR="00E46245" w:rsidRDefault="00E46245" w:rsidP="0022503D">
    <w:pPr>
      <w:pStyle w:val="Zhlav"/>
    </w:pPr>
  </w:p>
  <w:p w14:paraId="40985EC1" w14:textId="77777777" w:rsidR="00E46245" w:rsidRDefault="00E46245" w:rsidP="0022503D">
    <w:pPr>
      <w:pStyle w:val="Zhlav"/>
    </w:pPr>
    <w:r>
      <w:rPr>
        <w:noProof/>
      </w:rPr>
      <w:drawing>
        <wp:anchor distT="0" distB="0" distL="114300" distR="114300" simplePos="0" relativeHeight="251656704" behindDoc="0" locked="0" layoutInCell="1" allowOverlap="1" wp14:anchorId="086E3C01" wp14:editId="20BB1067">
          <wp:simplePos x="0" y="0"/>
          <wp:positionH relativeFrom="column">
            <wp:posOffset>4554855</wp:posOffset>
          </wp:positionH>
          <wp:positionV relativeFrom="paragraph">
            <wp:posOffset>18415</wp:posOffset>
          </wp:positionV>
          <wp:extent cx="1301115" cy="445770"/>
          <wp:effectExtent l="0" t="0" r="0" b="0"/>
          <wp:wrapNone/>
          <wp:docPr id="302"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3077E67C" w14:textId="77777777" w:rsidR="00E46245" w:rsidRDefault="00E46245" w:rsidP="009B666C">
    <w:pPr>
      <w:pStyle w:val="Zhlav"/>
    </w:pPr>
    <w:r>
      <w:rPr>
        <w:noProof/>
      </w:rPr>
      <w:drawing>
        <wp:anchor distT="0" distB="0" distL="114300" distR="114300" simplePos="0" relativeHeight="251662848" behindDoc="1" locked="0" layoutInCell="1" allowOverlap="1" wp14:anchorId="1EEC37FE" wp14:editId="43710E51">
          <wp:simplePos x="0" y="0"/>
          <wp:positionH relativeFrom="column">
            <wp:posOffset>-37465</wp:posOffset>
          </wp:positionH>
          <wp:positionV relativeFrom="paragraph">
            <wp:posOffset>-309880</wp:posOffset>
          </wp:positionV>
          <wp:extent cx="1383030" cy="739775"/>
          <wp:effectExtent l="0" t="0" r="7620" b="0"/>
          <wp:wrapNone/>
          <wp:docPr id="30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02D201C3" w14:textId="77777777" w:rsidR="00E46245" w:rsidRDefault="00E46245" w:rsidP="0022503D">
    <w:pPr>
      <w:pStyle w:val="Zhlav"/>
    </w:pPr>
  </w:p>
  <w:p w14:paraId="4D9A39BB" w14:textId="77777777" w:rsidR="00E46245" w:rsidRDefault="00E46245" w:rsidP="0022503D">
    <w:pPr>
      <w:pStyle w:val="Zhlav"/>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522DB" w14:textId="77777777" w:rsidR="00E46245" w:rsidRDefault="00E46245" w:rsidP="0022503D">
    <w:pPr>
      <w:pStyle w:val="Zhlav"/>
    </w:pPr>
  </w:p>
  <w:p w14:paraId="3096E70E" w14:textId="77777777" w:rsidR="00E46245" w:rsidRDefault="00E46245" w:rsidP="0022503D">
    <w:pPr>
      <w:pStyle w:val="Zhlav"/>
    </w:pPr>
    <w:r>
      <w:rPr>
        <w:noProof/>
      </w:rPr>
      <w:drawing>
        <wp:anchor distT="0" distB="0" distL="114300" distR="114300" simplePos="0" relativeHeight="251666944" behindDoc="0" locked="0" layoutInCell="1" allowOverlap="1" wp14:anchorId="2255AEE2" wp14:editId="075CB7A9">
          <wp:simplePos x="0" y="0"/>
          <wp:positionH relativeFrom="column">
            <wp:posOffset>7712710</wp:posOffset>
          </wp:positionH>
          <wp:positionV relativeFrom="paragraph">
            <wp:posOffset>20320</wp:posOffset>
          </wp:positionV>
          <wp:extent cx="1301115" cy="445770"/>
          <wp:effectExtent l="0" t="0" r="0" b="0"/>
          <wp:wrapNone/>
          <wp:docPr id="305"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282AC01B" w14:textId="77777777" w:rsidR="00E46245" w:rsidRDefault="00E46245" w:rsidP="009B666C">
    <w:pPr>
      <w:pStyle w:val="Zhlav"/>
    </w:pPr>
    <w:r>
      <w:rPr>
        <w:noProof/>
      </w:rPr>
      <w:drawing>
        <wp:anchor distT="0" distB="0" distL="114300" distR="114300" simplePos="0" relativeHeight="251667968" behindDoc="1" locked="0" layoutInCell="1" allowOverlap="1" wp14:anchorId="6F23D55B" wp14:editId="0AFE8C4A">
          <wp:simplePos x="0" y="0"/>
          <wp:positionH relativeFrom="column">
            <wp:posOffset>-37465</wp:posOffset>
          </wp:positionH>
          <wp:positionV relativeFrom="paragraph">
            <wp:posOffset>-309880</wp:posOffset>
          </wp:positionV>
          <wp:extent cx="1383030" cy="739775"/>
          <wp:effectExtent l="0" t="0" r="7620" b="0"/>
          <wp:wrapNone/>
          <wp:docPr id="30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0B18923F" w14:textId="77777777" w:rsidR="00E46245" w:rsidRDefault="00E46245" w:rsidP="0022503D">
    <w:pPr>
      <w:pStyle w:val="Zhlav"/>
    </w:pPr>
  </w:p>
  <w:p w14:paraId="48AF2479" w14:textId="77777777" w:rsidR="00E46245" w:rsidRDefault="00E46245" w:rsidP="0022503D">
    <w:pPr>
      <w:pStyle w:val="Zhlav"/>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425E7" w14:textId="77777777" w:rsidR="00E46245" w:rsidRDefault="00E46245" w:rsidP="0022503D">
    <w:pPr>
      <w:pStyle w:val="Zhlav"/>
    </w:pPr>
  </w:p>
  <w:p w14:paraId="14AEC71E" w14:textId="77777777" w:rsidR="00E46245" w:rsidRDefault="00E46245" w:rsidP="0022503D">
    <w:pPr>
      <w:pStyle w:val="Zhlav"/>
    </w:pPr>
    <w:r>
      <w:rPr>
        <w:noProof/>
      </w:rPr>
      <w:drawing>
        <wp:anchor distT="0" distB="0" distL="114300" distR="114300" simplePos="0" relativeHeight="251668992" behindDoc="0" locked="0" layoutInCell="1" allowOverlap="1" wp14:anchorId="37D402C5" wp14:editId="7E26A6C3">
          <wp:simplePos x="0" y="0"/>
          <wp:positionH relativeFrom="column">
            <wp:posOffset>4554855</wp:posOffset>
          </wp:positionH>
          <wp:positionV relativeFrom="paragraph">
            <wp:posOffset>18415</wp:posOffset>
          </wp:positionV>
          <wp:extent cx="1301115" cy="445770"/>
          <wp:effectExtent l="0" t="0" r="0" b="0"/>
          <wp:wrapNone/>
          <wp:docPr id="308"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10198638" w14:textId="77777777" w:rsidR="00E46245" w:rsidRDefault="00E46245" w:rsidP="009B666C">
    <w:pPr>
      <w:pStyle w:val="Zhlav"/>
    </w:pPr>
    <w:r>
      <w:rPr>
        <w:noProof/>
      </w:rPr>
      <w:drawing>
        <wp:anchor distT="0" distB="0" distL="114300" distR="114300" simplePos="0" relativeHeight="251670016" behindDoc="1" locked="0" layoutInCell="1" allowOverlap="1" wp14:anchorId="1D5C5304" wp14:editId="2BD88924">
          <wp:simplePos x="0" y="0"/>
          <wp:positionH relativeFrom="column">
            <wp:posOffset>-37465</wp:posOffset>
          </wp:positionH>
          <wp:positionV relativeFrom="paragraph">
            <wp:posOffset>-309880</wp:posOffset>
          </wp:positionV>
          <wp:extent cx="1383030" cy="739775"/>
          <wp:effectExtent l="0" t="0" r="7620" b="0"/>
          <wp:wrapNone/>
          <wp:docPr id="30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3E3ECE49" w14:textId="77777777" w:rsidR="00E46245" w:rsidRDefault="00E46245" w:rsidP="0022503D">
    <w:pPr>
      <w:pStyle w:val="Zhlav"/>
    </w:pPr>
  </w:p>
  <w:p w14:paraId="0A7CAC5A" w14:textId="77777777" w:rsidR="00E46245" w:rsidRDefault="00E46245" w:rsidP="0022503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C0C374E"/>
    <w:lvl w:ilvl="0">
      <w:start w:val="1"/>
      <w:numFmt w:val="bullet"/>
      <w:pStyle w:val="TabNad"/>
      <w:lvlText w:val=""/>
      <w:lvlJc w:val="left"/>
      <w:pPr>
        <w:tabs>
          <w:tab w:val="num" w:pos="360"/>
        </w:tabs>
        <w:ind w:left="360" w:hanging="360"/>
      </w:pPr>
      <w:rPr>
        <w:rFonts w:ascii="Symbol" w:hAnsi="Symbol" w:cs="Symbol" w:hint="default"/>
      </w:rPr>
    </w:lvl>
  </w:abstractNum>
  <w:abstractNum w:abstractNumId="1" w15:restartNumberingAfterBreak="0">
    <w:nsid w:val="008B05E6"/>
    <w:multiLevelType w:val="multilevel"/>
    <w:tmpl w:val="20E0A8D2"/>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0A730E7"/>
    <w:multiLevelType w:val="hybridMultilevel"/>
    <w:tmpl w:val="72E08B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0BF5244"/>
    <w:multiLevelType w:val="hybridMultilevel"/>
    <w:tmpl w:val="6BE6C3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253674"/>
    <w:multiLevelType w:val="multilevel"/>
    <w:tmpl w:val="13C4C2C8"/>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EC4B78"/>
    <w:multiLevelType w:val="hybridMultilevel"/>
    <w:tmpl w:val="06126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681069"/>
    <w:multiLevelType w:val="hybridMultilevel"/>
    <w:tmpl w:val="A80AF7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DD83EE2"/>
    <w:multiLevelType w:val="hybridMultilevel"/>
    <w:tmpl w:val="D6B0E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970F9F"/>
    <w:multiLevelType w:val="hybridMultilevel"/>
    <w:tmpl w:val="AE3EEC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4E12502"/>
    <w:multiLevelType w:val="hybridMultilevel"/>
    <w:tmpl w:val="A41EA4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68B06A0"/>
    <w:multiLevelType w:val="multilevel"/>
    <w:tmpl w:val="9612AF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6D7601C"/>
    <w:multiLevelType w:val="hybridMultilevel"/>
    <w:tmpl w:val="A0CE9F2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6C352F"/>
    <w:multiLevelType w:val="hybridMultilevel"/>
    <w:tmpl w:val="128ABC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79F67F0"/>
    <w:multiLevelType w:val="hybridMultilevel"/>
    <w:tmpl w:val="76BECBC2"/>
    <w:lvl w:ilvl="0" w:tplc="0405000F">
      <w:start w:val="1"/>
      <w:numFmt w:val="decimal"/>
      <w:lvlText w:val="%1."/>
      <w:lvlJc w:val="left"/>
      <w:pPr>
        <w:ind w:left="786" w:hanging="360"/>
      </w:pPr>
    </w:lvl>
    <w:lvl w:ilvl="1" w:tplc="04050019" w:tentative="1">
      <w:start w:val="1"/>
      <w:numFmt w:val="lowerLetter"/>
      <w:lvlText w:val="%2."/>
      <w:lvlJc w:val="left"/>
      <w:pPr>
        <w:ind w:left="1506" w:hanging="360"/>
      </w:pPr>
    </w:lvl>
    <w:lvl w:ilvl="2" w:tplc="0405001B">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4" w15:restartNumberingAfterBreak="0">
    <w:nsid w:val="18B20F28"/>
    <w:multiLevelType w:val="hybridMultilevel"/>
    <w:tmpl w:val="4C42F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A137BAC"/>
    <w:multiLevelType w:val="hybridMultilevel"/>
    <w:tmpl w:val="A86EEC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A3E6FD0"/>
    <w:multiLevelType w:val="hybridMultilevel"/>
    <w:tmpl w:val="CBACFCBA"/>
    <w:lvl w:ilvl="0" w:tplc="D152CFBA">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17" w15:restartNumberingAfterBreak="0">
    <w:nsid w:val="1B3E5598"/>
    <w:multiLevelType w:val="multilevel"/>
    <w:tmpl w:val="B2CE1168"/>
    <w:lvl w:ilvl="0">
      <w:start w:val="1"/>
      <w:numFmt w:val="upperLetter"/>
      <w:pStyle w:val="kapitola2A"/>
      <w:lvlText w:val="2.%1"/>
      <w:lvlJc w:val="left"/>
      <w:pPr>
        <w:ind w:left="432" w:hanging="432"/>
      </w:pPr>
      <w:rPr>
        <w:rFonts w:ascii="Calibri" w:hAnsi="Calibri" w:hint="default"/>
        <w:sz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BA36D34"/>
    <w:multiLevelType w:val="hybridMultilevel"/>
    <w:tmpl w:val="66E2630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D9A618A"/>
    <w:multiLevelType w:val="hybridMultilevel"/>
    <w:tmpl w:val="811CB0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ED03BD1"/>
    <w:multiLevelType w:val="multilevel"/>
    <w:tmpl w:val="19D8BE0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F193060"/>
    <w:multiLevelType w:val="multilevel"/>
    <w:tmpl w:val="00C8317C"/>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FEA1A9D"/>
    <w:multiLevelType w:val="hybridMultilevel"/>
    <w:tmpl w:val="8162F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2CB0A85"/>
    <w:multiLevelType w:val="hybridMultilevel"/>
    <w:tmpl w:val="6ABE92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4A928ED"/>
    <w:multiLevelType w:val="multilevel"/>
    <w:tmpl w:val="D1623A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6362730"/>
    <w:multiLevelType w:val="hybridMultilevel"/>
    <w:tmpl w:val="1632E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7E525BE"/>
    <w:multiLevelType w:val="hybridMultilevel"/>
    <w:tmpl w:val="3258CE8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9D92BBD"/>
    <w:multiLevelType w:val="hybridMultilevel"/>
    <w:tmpl w:val="57720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A3620A8"/>
    <w:multiLevelType w:val="multilevel"/>
    <w:tmpl w:val="7CE25252"/>
    <w:lvl w:ilvl="0">
      <w:start w:val="1"/>
      <w:numFmt w:val="decimal"/>
      <w:lvlText w:val="KAPITOLA %1."/>
      <w:lvlJc w:val="left"/>
      <w:pPr>
        <w:ind w:left="432" w:hanging="432"/>
      </w:pPr>
      <w:rPr>
        <w:rFonts w:hint="default"/>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B.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2CC07699"/>
    <w:multiLevelType w:val="multilevel"/>
    <w:tmpl w:val="621E7B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F7545D7"/>
    <w:multiLevelType w:val="multilevel"/>
    <w:tmpl w:val="B0B6CC12"/>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0555BB7"/>
    <w:multiLevelType w:val="multilevel"/>
    <w:tmpl w:val="19D8BE0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0CE199F"/>
    <w:multiLevelType w:val="multilevel"/>
    <w:tmpl w:val="A622FE2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7"/>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12223B1"/>
    <w:multiLevelType w:val="multilevel"/>
    <w:tmpl w:val="DA023246"/>
    <w:lvl w:ilvl="0">
      <w:start w:val="1"/>
      <w:numFmt w:val="decimal"/>
      <w:pStyle w:val="Nadpis1"/>
      <w:lvlText w:val="ODDÍL %1"/>
      <w:lvlJc w:val="left"/>
      <w:pPr>
        <w:ind w:left="716" w:hanging="432"/>
      </w:pPr>
      <w:rPr>
        <w:rFonts w:hint="default"/>
        <w:spacing w:val="20"/>
        <w:sz w:val="28"/>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A.2.%4"/>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4" w15:restartNumberingAfterBreak="0">
    <w:nsid w:val="31874933"/>
    <w:multiLevelType w:val="hybridMultilevel"/>
    <w:tmpl w:val="95E8776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319D0170"/>
    <w:multiLevelType w:val="hybridMultilevel"/>
    <w:tmpl w:val="7E061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403176C"/>
    <w:multiLevelType w:val="multilevel"/>
    <w:tmpl w:val="1FC41868"/>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34E45574"/>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357F1338"/>
    <w:multiLevelType w:val="hybridMultilevel"/>
    <w:tmpl w:val="0A42FE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59F4C4D"/>
    <w:multiLevelType w:val="multilevel"/>
    <w:tmpl w:val="9978382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5"/>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38863BE4"/>
    <w:multiLevelType w:val="multilevel"/>
    <w:tmpl w:val="437444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6"/>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39AE0397"/>
    <w:multiLevelType w:val="hybridMultilevel"/>
    <w:tmpl w:val="8B56C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9E700EE"/>
    <w:multiLevelType w:val="hybridMultilevel"/>
    <w:tmpl w:val="36AE237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3B142540"/>
    <w:multiLevelType w:val="hybridMultilevel"/>
    <w:tmpl w:val="27CE8772"/>
    <w:lvl w:ilvl="0" w:tplc="DF3A60A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BA736C9"/>
    <w:multiLevelType w:val="singleLevel"/>
    <w:tmpl w:val="9BD81856"/>
    <w:lvl w:ilvl="0">
      <w:start w:val="1"/>
      <w:numFmt w:val="bullet"/>
      <w:lvlRestart w:val="0"/>
      <w:pStyle w:val="Tiret0"/>
      <w:lvlText w:val="–"/>
      <w:lvlJc w:val="left"/>
      <w:pPr>
        <w:tabs>
          <w:tab w:val="num" w:pos="850"/>
        </w:tabs>
        <w:ind w:left="850" w:hanging="850"/>
      </w:pPr>
    </w:lvl>
  </w:abstractNum>
  <w:abstractNum w:abstractNumId="45" w15:restartNumberingAfterBreak="0">
    <w:nsid w:val="3BB12A95"/>
    <w:multiLevelType w:val="hybridMultilevel"/>
    <w:tmpl w:val="89143154"/>
    <w:lvl w:ilvl="0" w:tplc="04050011">
      <w:start w:val="1"/>
      <w:numFmt w:val="decimal"/>
      <w:lvlText w:val="%1)"/>
      <w:lvlJc w:val="left"/>
      <w:pPr>
        <w:ind w:left="720" w:hanging="360"/>
      </w:pPr>
    </w:lvl>
    <w:lvl w:ilvl="1" w:tplc="DF3A60AE">
      <w:numFmt w:val="bullet"/>
      <w:lvlText w:val="•"/>
      <w:lvlJc w:val="left"/>
      <w:pPr>
        <w:ind w:left="1785" w:hanging="705"/>
      </w:pPr>
      <w:rPr>
        <w:rFonts w:ascii="Times New Roman" w:eastAsia="Times New Roman"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DB4652B"/>
    <w:multiLevelType w:val="hybridMultilevel"/>
    <w:tmpl w:val="D4D45D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14819B7"/>
    <w:multiLevelType w:val="hybridMultilevel"/>
    <w:tmpl w:val="68C6D9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2265BFB"/>
    <w:multiLevelType w:val="multilevel"/>
    <w:tmpl w:val="CDA23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42770BBC"/>
    <w:multiLevelType w:val="multilevel"/>
    <w:tmpl w:val="65CEFECA"/>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42C12092"/>
    <w:multiLevelType w:val="hybridMultilevel"/>
    <w:tmpl w:val="78C213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46C143B"/>
    <w:multiLevelType w:val="hybridMultilevel"/>
    <w:tmpl w:val="9F1096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4AB1CAF"/>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463A4FC4"/>
    <w:multiLevelType w:val="hybridMultilevel"/>
    <w:tmpl w:val="C338C9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47165FAE"/>
    <w:multiLevelType w:val="hybridMultilevel"/>
    <w:tmpl w:val="A4E46A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94931A5"/>
    <w:multiLevelType w:val="multilevel"/>
    <w:tmpl w:val="CEE4812E"/>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4A474A5E"/>
    <w:multiLevelType w:val="multilevel"/>
    <w:tmpl w:val="C294203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4A5C7CB1"/>
    <w:multiLevelType w:val="multilevel"/>
    <w:tmpl w:val="93C2E0C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4B5F3A7E"/>
    <w:multiLevelType w:val="hybridMultilevel"/>
    <w:tmpl w:val="657A5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B9D7FB2"/>
    <w:multiLevelType w:val="hybridMultilevel"/>
    <w:tmpl w:val="599291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CC56787"/>
    <w:multiLevelType w:val="hybridMultilevel"/>
    <w:tmpl w:val="0388D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EBE07BD"/>
    <w:multiLevelType w:val="hybridMultilevel"/>
    <w:tmpl w:val="392E0C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F1E0072"/>
    <w:multiLevelType w:val="hybridMultilevel"/>
    <w:tmpl w:val="617E88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0B16A0D"/>
    <w:multiLevelType w:val="hybridMultilevel"/>
    <w:tmpl w:val="98544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0CE3722"/>
    <w:multiLevelType w:val="hybridMultilevel"/>
    <w:tmpl w:val="A89CDE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10209BC"/>
    <w:multiLevelType w:val="hybridMultilevel"/>
    <w:tmpl w:val="4FF876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3D96E2E"/>
    <w:multiLevelType w:val="hybridMultilevel"/>
    <w:tmpl w:val="051097A2"/>
    <w:lvl w:ilvl="0" w:tplc="4878A128">
      <w:start w:val="2"/>
      <w:numFmt w:val="lowerLetter"/>
      <w:lvlText w:val="%1)"/>
      <w:lvlJc w:val="left"/>
      <w:pPr>
        <w:ind w:left="1636"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67" w15:restartNumberingAfterBreak="0">
    <w:nsid w:val="54FC17C7"/>
    <w:multiLevelType w:val="hybridMultilevel"/>
    <w:tmpl w:val="6108CBF2"/>
    <w:lvl w:ilvl="0" w:tplc="04050001">
      <w:start w:val="1"/>
      <w:numFmt w:val="bullet"/>
      <w:lvlText w:val=""/>
      <w:lvlJc w:val="left"/>
      <w:pPr>
        <w:ind w:left="360" w:hanging="360"/>
      </w:pPr>
      <w:rPr>
        <w:rFonts w:ascii="Symbol" w:hAnsi="Symbol" w:hint="default"/>
      </w:rPr>
    </w:lvl>
    <w:lvl w:ilvl="1" w:tplc="DC624C30" w:tentative="1">
      <w:start w:val="1"/>
      <w:numFmt w:val="bullet"/>
      <w:lvlText w:val="o"/>
      <w:lvlJc w:val="left"/>
      <w:pPr>
        <w:ind w:left="1440" w:hanging="360"/>
      </w:pPr>
      <w:rPr>
        <w:rFonts w:ascii="Courier New" w:hAnsi="Courier New" w:hint="default"/>
      </w:rPr>
    </w:lvl>
    <w:lvl w:ilvl="2" w:tplc="49ACE1E6" w:tentative="1">
      <w:start w:val="1"/>
      <w:numFmt w:val="bullet"/>
      <w:lvlText w:val=""/>
      <w:lvlJc w:val="left"/>
      <w:pPr>
        <w:ind w:left="2160" w:hanging="360"/>
      </w:pPr>
      <w:rPr>
        <w:rFonts w:ascii="Wingdings" w:hAnsi="Wingdings" w:hint="default"/>
      </w:rPr>
    </w:lvl>
    <w:lvl w:ilvl="3" w:tplc="EC02C5AA" w:tentative="1">
      <w:start w:val="1"/>
      <w:numFmt w:val="bullet"/>
      <w:lvlText w:val=""/>
      <w:lvlJc w:val="left"/>
      <w:pPr>
        <w:ind w:left="2880" w:hanging="360"/>
      </w:pPr>
      <w:rPr>
        <w:rFonts w:ascii="Symbol" w:hAnsi="Symbol" w:hint="default"/>
      </w:rPr>
    </w:lvl>
    <w:lvl w:ilvl="4" w:tplc="B5E210D8" w:tentative="1">
      <w:start w:val="1"/>
      <w:numFmt w:val="bullet"/>
      <w:lvlText w:val="o"/>
      <w:lvlJc w:val="left"/>
      <w:pPr>
        <w:ind w:left="3600" w:hanging="360"/>
      </w:pPr>
      <w:rPr>
        <w:rFonts w:ascii="Courier New" w:hAnsi="Courier New" w:hint="default"/>
      </w:rPr>
    </w:lvl>
    <w:lvl w:ilvl="5" w:tplc="A4CEE5E4" w:tentative="1">
      <w:start w:val="1"/>
      <w:numFmt w:val="bullet"/>
      <w:lvlText w:val=""/>
      <w:lvlJc w:val="left"/>
      <w:pPr>
        <w:ind w:left="4320" w:hanging="360"/>
      </w:pPr>
      <w:rPr>
        <w:rFonts w:ascii="Wingdings" w:hAnsi="Wingdings" w:hint="default"/>
      </w:rPr>
    </w:lvl>
    <w:lvl w:ilvl="6" w:tplc="E6F01072" w:tentative="1">
      <w:start w:val="1"/>
      <w:numFmt w:val="bullet"/>
      <w:lvlText w:val=""/>
      <w:lvlJc w:val="left"/>
      <w:pPr>
        <w:ind w:left="5040" w:hanging="360"/>
      </w:pPr>
      <w:rPr>
        <w:rFonts w:ascii="Symbol" w:hAnsi="Symbol" w:hint="default"/>
      </w:rPr>
    </w:lvl>
    <w:lvl w:ilvl="7" w:tplc="5FFA7AA6" w:tentative="1">
      <w:start w:val="1"/>
      <w:numFmt w:val="bullet"/>
      <w:lvlText w:val="o"/>
      <w:lvlJc w:val="left"/>
      <w:pPr>
        <w:ind w:left="5760" w:hanging="360"/>
      </w:pPr>
      <w:rPr>
        <w:rFonts w:ascii="Courier New" w:hAnsi="Courier New" w:hint="default"/>
      </w:rPr>
    </w:lvl>
    <w:lvl w:ilvl="8" w:tplc="A49C9CF2" w:tentative="1">
      <w:start w:val="1"/>
      <w:numFmt w:val="bullet"/>
      <w:lvlText w:val=""/>
      <w:lvlJc w:val="left"/>
      <w:pPr>
        <w:ind w:left="6480" w:hanging="360"/>
      </w:pPr>
      <w:rPr>
        <w:rFonts w:ascii="Wingdings" w:hAnsi="Wingdings" w:hint="default"/>
      </w:rPr>
    </w:lvl>
  </w:abstractNum>
  <w:abstractNum w:abstractNumId="68" w15:restartNumberingAfterBreak="0">
    <w:nsid w:val="55532A80"/>
    <w:multiLevelType w:val="hybridMultilevel"/>
    <w:tmpl w:val="5ABAFA7C"/>
    <w:lvl w:ilvl="0" w:tplc="0A863A4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5BB30EB"/>
    <w:multiLevelType w:val="hybridMultilevel"/>
    <w:tmpl w:val="75F47E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564F5AD7"/>
    <w:multiLevelType w:val="hybridMultilevel"/>
    <w:tmpl w:val="6A781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65B27D3"/>
    <w:multiLevelType w:val="hybridMultilevel"/>
    <w:tmpl w:val="1B10775E"/>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84C25C6"/>
    <w:multiLevelType w:val="hybridMultilevel"/>
    <w:tmpl w:val="0AD4A40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58AC1817"/>
    <w:multiLevelType w:val="hybridMultilevel"/>
    <w:tmpl w:val="9D148A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8FA427D"/>
    <w:multiLevelType w:val="multilevel"/>
    <w:tmpl w:val="B9687EC0"/>
    <w:lvl w:ilvl="0">
      <w:start w:val="5"/>
      <w:numFmt w:val="decimal"/>
      <w:lvlText w:val="%1."/>
      <w:lvlJc w:val="left"/>
      <w:pPr>
        <w:ind w:left="540" w:hanging="540"/>
      </w:pPr>
      <w:rPr>
        <w:rFonts w:hint="default"/>
      </w:rPr>
    </w:lvl>
    <w:lvl w:ilvl="1">
      <w:start w:val="1"/>
      <w:numFmt w:val="decimal"/>
      <w:pStyle w:val="NadpisNOK2"/>
      <w:lvlText w:val="%1.%2."/>
      <w:lvlJc w:val="left"/>
      <w:pPr>
        <w:ind w:left="1425" w:hanging="720"/>
      </w:pPr>
      <w:rPr>
        <w:rFonts w:hint="default"/>
      </w:rPr>
    </w:lvl>
    <w:lvl w:ilvl="2">
      <w:start w:val="1"/>
      <w:numFmt w:val="decimal"/>
      <w:lvlText w:val="%1.%2.%3."/>
      <w:lvlJc w:val="left"/>
      <w:pPr>
        <w:ind w:left="2490" w:hanging="1080"/>
      </w:pPr>
      <w:rPr>
        <w:rFonts w:hint="default"/>
      </w:rPr>
    </w:lvl>
    <w:lvl w:ilvl="3">
      <w:start w:val="1"/>
      <w:numFmt w:val="decimal"/>
      <w:lvlText w:val="%1.%2.%3.%4."/>
      <w:lvlJc w:val="left"/>
      <w:pPr>
        <w:ind w:left="3555" w:hanging="144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5325" w:hanging="1800"/>
      </w:pPr>
      <w:rPr>
        <w:rFonts w:hint="default"/>
      </w:rPr>
    </w:lvl>
    <w:lvl w:ilvl="6">
      <w:start w:val="1"/>
      <w:numFmt w:val="decimal"/>
      <w:lvlText w:val="%1.%2.%3.%4.%5.%6.%7."/>
      <w:lvlJc w:val="left"/>
      <w:pPr>
        <w:ind w:left="6390" w:hanging="2160"/>
      </w:pPr>
      <w:rPr>
        <w:rFonts w:hint="default"/>
      </w:rPr>
    </w:lvl>
    <w:lvl w:ilvl="7">
      <w:start w:val="1"/>
      <w:numFmt w:val="decimal"/>
      <w:lvlText w:val="%1.%2.%3.%4.%5.%6.%7.%8."/>
      <w:lvlJc w:val="left"/>
      <w:pPr>
        <w:ind w:left="7455" w:hanging="2520"/>
      </w:pPr>
      <w:rPr>
        <w:rFonts w:hint="default"/>
      </w:rPr>
    </w:lvl>
    <w:lvl w:ilvl="8">
      <w:start w:val="1"/>
      <w:numFmt w:val="decimal"/>
      <w:lvlText w:val="%1.%2.%3.%4.%5.%6.%7.%8.%9."/>
      <w:lvlJc w:val="left"/>
      <w:pPr>
        <w:ind w:left="8160" w:hanging="2520"/>
      </w:pPr>
      <w:rPr>
        <w:rFonts w:hint="default"/>
      </w:rPr>
    </w:lvl>
  </w:abstractNum>
  <w:abstractNum w:abstractNumId="75" w15:restartNumberingAfterBreak="0">
    <w:nsid w:val="5C4F027F"/>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5CDD5062"/>
    <w:multiLevelType w:val="hybridMultilevel"/>
    <w:tmpl w:val="24A63C50"/>
    <w:lvl w:ilvl="0" w:tplc="4878976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5DC05E64"/>
    <w:multiLevelType w:val="multilevel"/>
    <w:tmpl w:val="31A4C69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5DFC6137"/>
    <w:multiLevelType w:val="multilevel"/>
    <w:tmpl w:val="13C4C2C8"/>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5F8124C6"/>
    <w:multiLevelType w:val="multilevel"/>
    <w:tmpl w:val="CBF88B92"/>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615C4D99"/>
    <w:multiLevelType w:val="hybridMultilevel"/>
    <w:tmpl w:val="3DDA53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1D60F3A"/>
    <w:multiLevelType w:val="hybridMultilevel"/>
    <w:tmpl w:val="1520C76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620A6C9B"/>
    <w:multiLevelType w:val="hybridMultilevel"/>
    <w:tmpl w:val="6B2E5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2884433"/>
    <w:multiLevelType w:val="hybridMultilevel"/>
    <w:tmpl w:val="435454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2EA7A0F"/>
    <w:multiLevelType w:val="multilevel"/>
    <w:tmpl w:val="C4EAE37A"/>
    <w:lvl w:ilvl="0">
      <w:start w:val="1"/>
      <w:numFmt w:val="decimal"/>
      <w:lvlText w:val="KAPITOLA %1."/>
      <w:lvlJc w:val="left"/>
      <w:pPr>
        <w:ind w:left="432" w:hanging="432"/>
      </w:pPr>
      <w:rPr>
        <w:rFonts w:hint="default"/>
        <w:sz w:val="28"/>
      </w:rPr>
    </w:lvl>
    <w:lvl w:ilvl="1">
      <w:start w:val="1"/>
      <w:numFmt w:val="decimal"/>
      <w:lvlText w:val="%1.%2"/>
      <w:lvlJc w:val="left"/>
      <w:pPr>
        <w:ind w:left="576" w:hanging="576"/>
      </w:pPr>
      <w:rPr>
        <w:rFonts w:hint="default"/>
      </w:rPr>
    </w:lvl>
    <w:lvl w:ilvl="2">
      <w:start w:val="1"/>
      <w:numFmt w:val="decimal"/>
      <w:lvlText w:val="2.B.%3"/>
      <w:lvlJc w:val="left"/>
      <w:pPr>
        <w:ind w:left="1146" w:hanging="720"/>
      </w:pPr>
      <w:rPr>
        <w:rFonts w:ascii="Calibri" w:hAnsi="Calibri" w:hint="default"/>
        <w:sz w:val="24"/>
      </w:rPr>
    </w:lvl>
    <w:lvl w:ilvl="3">
      <w:start w:val="1"/>
      <w:numFmt w:val="decimal"/>
      <w:lvlText w:val="%1.%2.%3.%4"/>
      <w:lvlJc w:val="left"/>
      <w:pPr>
        <w:ind w:left="864" w:hanging="864"/>
      </w:pPr>
      <w:rPr>
        <w:rFonts w:hint="default"/>
      </w:rPr>
    </w:lvl>
    <w:lvl w:ilvl="4">
      <w:start w:val="1"/>
      <w:numFmt w:val="decimal"/>
      <w:lvlText w:val="%1.A.2.%4"/>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63FE4FF7"/>
    <w:multiLevelType w:val="hybridMultilevel"/>
    <w:tmpl w:val="DE200F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646A0FCF"/>
    <w:multiLevelType w:val="hybridMultilevel"/>
    <w:tmpl w:val="2A766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4875DAB"/>
    <w:multiLevelType w:val="hybridMultilevel"/>
    <w:tmpl w:val="6A8CFC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89" w15:restartNumberingAfterBreak="0">
    <w:nsid w:val="680C5655"/>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15:restartNumberingAfterBreak="0">
    <w:nsid w:val="680E1DB2"/>
    <w:multiLevelType w:val="hybridMultilevel"/>
    <w:tmpl w:val="DF066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68794823"/>
    <w:multiLevelType w:val="hybridMultilevel"/>
    <w:tmpl w:val="469EA7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69523396"/>
    <w:multiLevelType w:val="hybridMultilevel"/>
    <w:tmpl w:val="9AB20A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6AD825F8"/>
    <w:multiLevelType w:val="multilevel"/>
    <w:tmpl w:val="A356B81C"/>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 w15:restartNumberingAfterBreak="0">
    <w:nsid w:val="6C5B2851"/>
    <w:multiLevelType w:val="hybridMultilevel"/>
    <w:tmpl w:val="C3BA35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6D1A4167"/>
    <w:multiLevelType w:val="multilevel"/>
    <w:tmpl w:val="E7FC52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15:restartNumberingAfterBreak="0">
    <w:nsid w:val="7003720F"/>
    <w:multiLevelType w:val="hybridMultilevel"/>
    <w:tmpl w:val="0BBA4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71AE7B29"/>
    <w:multiLevelType w:val="multilevel"/>
    <w:tmpl w:val="6D3E42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15:restartNumberingAfterBreak="0">
    <w:nsid w:val="729871BF"/>
    <w:multiLevelType w:val="multilevel"/>
    <w:tmpl w:val="4078CD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15:restartNumberingAfterBreak="0">
    <w:nsid w:val="73833FDB"/>
    <w:multiLevelType w:val="multilevel"/>
    <w:tmpl w:val="DB502ACC"/>
    <w:styleLink w:val="Styl1"/>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B.%5.1"/>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0" w15:restartNumberingAfterBreak="0">
    <w:nsid w:val="744A7944"/>
    <w:multiLevelType w:val="hybridMultilevel"/>
    <w:tmpl w:val="0D6092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50341EB"/>
    <w:multiLevelType w:val="hybridMultilevel"/>
    <w:tmpl w:val="20467D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751C0887"/>
    <w:multiLevelType w:val="hybridMultilevel"/>
    <w:tmpl w:val="71FA22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75A351D9"/>
    <w:multiLevelType w:val="multilevel"/>
    <w:tmpl w:val="93EC5F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6"/>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76B015B5"/>
    <w:multiLevelType w:val="hybridMultilevel"/>
    <w:tmpl w:val="D834E31C"/>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76EF0867"/>
    <w:multiLevelType w:val="hybridMultilevel"/>
    <w:tmpl w:val="F8F4676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78B04E74"/>
    <w:multiLevelType w:val="hybridMultilevel"/>
    <w:tmpl w:val="57B40C9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78E11E05"/>
    <w:multiLevelType w:val="multilevel"/>
    <w:tmpl w:val="955692B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5"/>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15:restartNumberingAfterBreak="0">
    <w:nsid w:val="79784929"/>
    <w:multiLevelType w:val="hybridMultilevel"/>
    <w:tmpl w:val="DB0C096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79D074D9"/>
    <w:multiLevelType w:val="hybridMultilevel"/>
    <w:tmpl w:val="EACC45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7A642EA6"/>
    <w:multiLevelType w:val="hybridMultilevel"/>
    <w:tmpl w:val="F1AAD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7A684AE4"/>
    <w:multiLevelType w:val="hybridMultilevel"/>
    <w:tmpl w:val="8548C322"/>
    <w:lvl w:ilvl="0" w:tplc="9C969FC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2" w15:restartNumberingAfterBreak="0">
    <w:nsid w:val="7A8C0EDB"/>
    <w:multiLevelType w:val="multilevel"/>
    <w:tmpl w:val="63AE8D4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15:restartNumberingAfterBreak="0">
    <w:nsid w:val="7B9C54AB"/>
    <w:multiLevelType w:val="multilevel"/>
    <w:tmpl w:val="9072E0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2"/>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4" w15:restartNumberingAfterBreak="0">
    <w:nsid w:val="7D587767"/>
    <w:multiLevelType w:val="hybridMultilevel"/>
    <w:tmpl w:val="0B505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7FE00DF2"/>
    <w:multiLevelType w:val="hybridMultilevel"/>
    <w:tmpl w:val="6792E65A"/>
    <w:lvl w:ilvl="0" w:tplc="7696D498">
      <w:start w:val="1"/>
      <w:numFmt w:val="upperRoman"/>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3"/>
  </w:num>
  <w:num w:numId="2">
    <w:abstractNumId w:val="74"/>
  </w:num>
  <w:num w:numId="3">
    <w:abstractNumId w:val="0"/>
  </w:num>
  <w:num w:numId="4">
    <w:abstractNumId w:val="110"/>
  </w:num>
  <w:num w:numId="5">
    <w:abstractNumId w:val="88"/>
  </w:num>
  <w:num w:numId="6">
    <w:abstractNumId w:val="53"/>
  </w:num>
  <w:num w:numId="7">
    <w:abstractNumId w:val="38"/>
  </w:num>
  <w:num w:numId="8">
    <w:abstractNumId w:val="6"/>
  </w:num>
  <w:num w:numId="9">
    <w:abstractNumId w:val="17"/>
  </w:num>
  <w:num w:numId="10">
    <w:abstractNumId w:val="75"/>
  </w:num>
  <w:num w:numId="11">
    <w:abstractNumId w:val="21"/>
  </w:num>
  <w:num w:numId="12">
    <w:abstractNumId w:val="84"/>
  </w:num>
  <w:num w:numId="13">
    <w:abstractNumId w:val="28"/>
  </w:num>
  <w:num w:numId="14">
    <w:abstractNumId w:val="99"/>
  </w:num>
  <w:num w:numId="15">
    <w:abstractNumId w:val="89"/>
  </w:num>
  <w:num w:numId="16">
    <w:abstractNumId w:val="93"/>
  </w:num>
  <w:num w:numId="17">
    <w:abstractNumId w:val="52"/>
  </w:num>
  <w:num w:numId="18">
    <w:abstractNumId w:val="79"/>
  </w:num>
  <w:num w:numId="19">
    <w:abstractNumId w:val="36"/>
  </w:num>
  <w:num w:numId="20">
    <w:abstractNumId w:val="20"/>
  </w:num>
  <w:num w:numId="21">
    <w:abstractNumId w:val="49"/>
  </w:num>
  <w:num w:numId="22">
    <w:abstractNumId w:val="77"/>
  </w:num>
  <w:num w:numId="23">
    <w:abstractNumId w:val="57"/>
  </w:num>
  <w:num w:numId="24">
    <w:abstractNumId w:val="4"/>
  </w:num>
  <w:num w:numId="25">
    <w:abstractNumId w:val="37"/>
  </w:num>
  <w:num w:numId="26">
    <w:abstractNumId w:val="30"/>
  </w:num>
  <w:num w:numId="27">
    <w:abstractNumId w:val="55"/>
  </w:num>
  <w:num w:numId="28">
    <w:abstractNumId w:val="91"/>
  </w:num>
  <w:num w:numId="29">
    <w:abstractNumId w:val="7"/>
  </w:num>
  <w:num w:numId="30">
    <w:abstractNumId w:val="76"/>
  </w:num>
  <w:num w:numId="31">
    <w:abstractNumId w:val="34"/>
  </w:num>
  <w:num w:numId="32">
    <w:abstractNumId w:val="106"/>
  </w:num>
  <w:num w:numId="33">
    <w:abstractNumId w:val="45"/>
  </w:num>
  <w:num w:numId="34">
    <w:abstractNumId w:val="108"/>
  </w:num>
  <w:num w:numId="35">
    <w:abstractNumId w:val="104"/>
  </w:num>
  <w:num w:numId="36">
    <w:abstractNumId w:val="81"/>
  </w:num>
  <w:num w:numId="37">
    <w:abstractNumId w:val="73"/>
  </w:num>
  <w:num w:numId="38">
    <w:abstractNumId w:val="2"/>
  </w:num>
  <w:num w:numId="39">
    <w:abstractNumId w:val="25"/>
  </w:num>
  <w:num w:numId="40">
    <w:abstractNumId w:val="83"/>
  </w:num>
  <w:num w:numId="41">
    <w:abstractNumId w:val="64"/>
  </w:num>
  <w:num w:numId="42">
    <w:abstractNumId w:val="3"/>
  </w:num>
  <w:num w:numId="43">
    <w:abstractNumId w:val="102"/>
  </w:num>
  <w:num w:numId="44">
    <w:abstractNumId w:val="54"/>
  </w:num>
  <w:num w:numId="45">
    <w:abstractNumId w:val="23"/>
  </w:num>
  <w:num w:numId="46">
    <w:abstractNumId w:val="109"/>
  </w:num>
  <w:num w:numId="47">
    <w:abstractNumId w:val="50"/>
  </w:num>
  <w:num w:numId="48">
    <w:abstractNumId w:val="15"/>
  </w:num>
  <w:num w:numId="49">
    <w:abstractNumId w:val="61"/>
  </w:num>
  <w:num w:numId="50">
    <w:abstractNumId w:val="63"/>
  </w:num>
  <w:num w:numId="51">
    <w:abstractNumId w:val="101"/>
  </w:num>
  <w:num w:numId="52">
    <w:abstractNumId w:val="46"/>
  </w:num>
  <w:num w:numId="53">
    <w:abstractNumId w:val="35"/>
  </w:num>
  <w:num w:numId="54">
    <w:abstractNumId w:val="41"/>
  </w:num>
  <w:num w:numId="55">
    <w:abstractNumId w:val="90"/>
  </w:num>
  <w:num w:numId="56">
    <w:abstractNumId w:val="5"/>
  </w:num>
  <w:num w:numId="57">
    <w:abstractNumId w:val="87"/>
  </w:num>
  <w:num w:numId="58">
    <w:abstractNumId w:val="44"/>
  </w:num>
  <w:num w:numId="59">
    <w:abstractNumId w:val="60"/>
  </w:num>
  <w:num w:numId="60">
    <w:abstractNumId w:val="62"/>
  </w:num>
  <w:num w:numId="61">
    <w:abstractNumId w:val="51"/>
  </w:num>
  <w:num w:numId="62">
    <w:abstractNumId w:val="113"/>
  </w:num>
  <w:num w:numId="63">
    <w:abstractNumId w:val="97"/>
  </w:num>
  <w:num w:numId="64">
    <w:abstractNumId w:val="29"/>
  </w:num>
  <w:num w:numId="65">
    <w:abstractNumId w:val="24"/>
  </w:num>
  <w:num w:numId="66">
    <w:abstractNumId w:val="95"/>
  </w:num>
  <w:num w:numId="67">
    <w:abstractNumId w:val="56"/>
  </w:num>
  <w:num w:numId="68">
    <w:abstractNumId w:val="112"/>
  </w:num>
  <w:num w:numId="69">
    <w:abstractNumId w:val="10"/>
  </w:num>
  <w:num w:numId="70">
    <w:abstractNumId w:val="98"/>
  </w:num>
  <w:num w:numId="71">
    <w:abstractNumId w:val="78"/>
  </w:num>
  <w:num w:numId="72">
    <w:abstractNumId w:val="11"/>
  </w:num>
  <w:num w:numId="73">
    <w:abstractNumId w:val="85"/>
  </w:num>
  <w:num w:numId="74">
    <w:abstractNumId w:val="13"/>
  </w:num>
  <w:num w:numId="75">
    <w:abstractNumId w:val="115"/>
  </w:num>
  <w:num w:numId="76">
    <w:abstractNumId w:val="100"/>
  </w:num>
  <w:num w:numId="77">
    <w:abstractNumId w:val="69"/>
  </w:num>
  <w:num w:numId="78">
    <w:abstractNumId w:val="71"/>
  </w:num>
  <w:num w:numId="79">
    <w:abstractNumId w:val="94"/>
  </w:num>
  <w:num w:numId="80">
    <w:abstractNumId w:val="43"/>
  </w:num>
  <w:num w:numId="81">
    <w:abstractNumId w:val="22"/>
  </w:num>
  <w:num w:numId="82">
    <w:abstractNumId w:val="14"/>
  </w:num>
  <w:num w:numId="83">
    <w:abstractNumId w:val="58"/>
  </w:num>
  <w:num w:numId="84">
    <w:abstractNumId w:val="114"/>
  </w:num>
  <w:num w:numId="85">
    <w:abstractNumId w:val="86"/>
  </w:num>
  <w:num w:numId="86">
    <w:abstractNumId w:val="12"/>
  </w:num>
  <w:num w:numId="87">
    <w:abstractNumId w:val="70"/>
  </w:num>
  <w:num w:numId="88">
    <w:abstractNumId w:val="59"/>
  </w:num>
  <w:num w:numId="89">
    <w:abstractNumId w:val="82"/>
  </w:num>
  <w:num w:numId="90">
    <w:abstractNumId w:val="47"/>
  </w:num>
  <w:num w:numId="91">
    <w:abstractNumId w:val="65"/>
  </w:num>
  <w:num w:numId="92">
    <w:abstractNumId w:val="67"/>
  </w:num>
  <w:num w:numId="93">
    <w:abstractNumId w:val="80"/>
  </w:num>
  <w:num w:numId="94">
    <w:abstractNumId w:val="9"/>
  </w:num>
  <w:num w:numId="95">
    <w:abstractNumId w:val="105"/>
  </w:num>
  <w:num w:numId="96">
    <w:abstractNumId w:val="27"/>
  </w:num>
  <w:num w:numId="97">
    <w:abstractNumId w:val="96"/>
  </w:num>
  <w:num w:numId="98">
    <w:abstractNumId w:val="19"/>
  </w:num>
  <w:num w:numId="99">
    <w:abstractNumId w:val="92"/>
  </w:num>
  <w:num w:numId="100">
    <w:abstractNumId w:val="68"/>
  </w:num>
  <w:num w:numId="101">
    <w:abstractNumId w:val="42"/>
  </w:num>
  <w:num w:numId="102">
    <w:abstractNumId w:val="8"/>
  </w:num>
  <w:num w:numId="103">
    <w:abstractNumId w:val="48"/>
  </w:num>
  <w:num w:numId="10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
  </w:num>
  <w:num w:numId="123">
    <w:abstractNumId w:val="72"/>
  </w:num>
  <w:num w:numId="124">
    <w:abstractNumId w:val="111"/>
  </w:num>
  <w:num w:numId="125">
    <w:abstractNumId w:val="18"/>
  </w:num>
  <w:num w:numId="126">
    <w:abstractNumId w:val="26"/>
  </w:num>
  <w:num w:numId="127">
    <w:abstractNumId w:val="40"/>
  </w:num>
  <w:num w:numId="128">
    <w:abstractNumId w:val="107"/>
  </w:num>
  <w:num w:numId="129">
    <w:abstractNumId w:val="1"/>
  </w:num>
  <w:num w:numId="130">
    <w:abstractNumId w:val="39"/>
  </w:num>
  <w:num w:numId="131">
    <w:abstractNumId w:val="103"/>
  </w:num>
  <w:num w:numId="132">
    <w:abstractNumId w:val="31"/>
  </w:num>
  <w:num w:numId="133">
    <w:abstractNumId w:val="32"/>
  </w:num>
  <w:num w:numId="134">
    <w:abstractNumId w:val="6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hideGrammaticalErrors/>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D6A"/>
    <w:rsid w:val="0000126A"/>
    <w:rsid w:val="00001B77"/>
    <w:rsid w:val="00001B83"/>
    <w:rsid w:val="00001CCB"/>
    <w:rsid w:val="00002031"/>
    <w:rsid w:val="00002278"/>
    <w:rsid w:val="000022FB"/>
    <w:rsid w:val="000023FB"/>
    <w:rsid w:val="000024F7"/>
    <w:rsid w:val="00002F3E"/>
    <w:rsid w:val="0000319F"/>
    <w:rsid w:val="0000352F"/>
    <w:rsid w:val="00003615"/>
    <w:rsid w:val="00003E04"/>
    <w:rsid w:val="00003F40"/>
    <w:rsid w:val="0000407E"/>
    <w:rsid w:val="000043B4"/>
    <w:rsid w:val="000045C5"/>
    <w:rsid w:val="00004B11"/>
    <w:rsid w:val="00004BD4"/>
    <w:rsid w:val="00004CEF"/>
    <w:rsid w:val="00005B5A"/>
    <w:rsid w:val="00006015"/>
    <w:rsid w:val="000063DD"/>
    <w:rsid w:val="0000679D"/>
    <w:rsid w:val="00006AD5"/>
    <w:rsid w:val="0000733C"/>
    <w:rsid w:val="000075B7"/>
    <w:rsid w:val="00007987"/>
    <w:rsid w:val="00007BC1"/>
    <w:rsid w:val="00007D50"/>
    <w:rsid w:val="00011EE8"/>
    <w:rsid w:val="000123E0"/>
    <w:rsid w:val="000124DB"/>
    <w:rsid w:val="00012F9F"/>
    <w:rsid w:val="00014F0D"/>
    <w:rsid w:val="00014FFD"/>
    <w:rsid w:val="00015039"/>
    <w:rsid w:val="000154E7"/>
    <w:rsid w:val="000155D3"/>
    <w:rsid w:val="000155F5"/>
    <w:rsid w:val="00015717"/>
    <w:rsid w:val="0001583E"/>
    <w:rsid w:val="00015AFA"/>
    <w:rsid w:val="000162CE"/>
    <w:rsid w:val="000163B1"/>
    <w:rsid w:val="00016480"/>
    <w:rsid w:val="0001714A"/>
    <w:rsid w:val="00017522"/>
    <w:rsid w:val="00017692"/>
    <w:rsid w:val="00017891"/>
    <w:rsid w:val="00017D76"/>
    <w:rsid w:val="0002004E"/>
    <w:rsid w:val="00020185"/>
    <w:rsid w:val="000201D0"/>
    <w:rsid w:val="0002026F"/>
    <w:rsid w:val="00020BD2"/>
    <w:rsid w:val="000210E5"/>
    <w:rsid w:val="00021295"/>
    <w:rsid w:val="00021736"/>
    <w:rsid w:val="00021A50"/>
    <w:rsid w:val="000220B9"/>
    <w:rsid w:val="0002217B"/>
    <w:rsid w:val="000221D9"/>
    <w:rsid w:val="00022228"/>
    <w:rsid w:val="0002282F"/>
    <w:rsid w:val="00022856"/>
    <w:rsid w:val="00022D48"/>
    <w:rsid w:val="0002304E"/>
    <w:rsid w:val="00023054"/>
    <w:rsid w:val="000239E7"/>
    <w:rsid w:val="00024687"/>
    <w:rsid w:val="000246E7"/>
    <w:rsid w:val="00024756"/>
    <w:rsid w:val="00024A9F"/>
    <w:rsid w:val="00024C51"/>
    <w:rsid w:val="00024E53"/>
    <w:rsid w:val="00025DD4"/>
    <w:rsid w:val="00025F9C"/>
    <w:rsid w:val="0002617B"/>
    <w:rsid w:val="000265A3"/>
    <w:rsid w:val="00026B1C"/>
    <w:rsid w:val="00026B72"/>
    <w:rsid w:val="00026C63"/>
    <w:rsid w:val="00027768"/>
    <w:rsid w:val="00027C34"/>
    <w:rsid w:val="000305E7"/>
    <w:rsid w:val="000305FB"/>
    <w:rsid w:val="00030CAB"/>
    <w:rsid w:val="00031ABA"/>
    <w:rsid w:val="00032047"/>
    <w:rsid w:val="00032697"/>
    <w:rsid w:val="000343A0"/>
    <w:rsid w:val="00034EA7"/>
    <w:rsid w:val="0003571F"/>
    <w:rsid w:val="00035BDD"/>
    <w:rsid w:val="00036843"/>
    <w:rsid w:val="00036F2B"/>
    <w:rsid w:val="00037221"/>
    <w:rsid w:val="000373F5"/>
    <w:rsid w:val="000374FF"/>
    <w:rsid w:val="00037695"/>
    <w:rsid w:val="000377D7"/>
    <w:rsid w:val="00037A49"/>
    <w:rsid w:val="00037BFE"/>
    <w:rsid w:val="00040122"/>
    <w:rsid w:val="00040910"/>
    <w:rsid w:val="00040D22"/>
    <w:rsid w:val="0004155F"/>
    <w:rsid w:val="0004197D"/>
    <w:rsid w:val="0004199E"/>
    <w:rsid w:val="0004333B"/>
    <w:rsid w:val="00043343"/>
    <w:rsid w:val="000435CB"/>
    <w:rsid w:val="00043818"/>
    <w:rsid w:val="0004418E"/>
    <w:rsid w:val="00044470"/>
    <w:rsid w:val="0004496A"/>
    <w:rsid w:val="00045164"/>
    <w:rsid w:val="0004568E"/>
    <w:rsid w:val="0004681B"/>
    <w:rsid w:val="00046D4B"/>
    <w:rsid w:val="00046F11"/>
    <w:rsid w:val="00047389"/>
    <w:rsid w:val="00047773"/>
    <w:rsid w:val="00047AD7"/>
    <w:rsid w:val="00047CEE"/>
    <w:rsid w:val="00047CFA"/>
    <w:rsid w:val="00047EF5"/>
    <w:rsid w:val="000506D1"/>
    <w:rsid w:val="000508E1"/>
    <w:rsid w:val="00050A91"/>
    <w:rsid w:val="00050E1B"/>
    <w:rsid w:val="000512B5"/>
    <w:rsid w:val="00051B77"/>
    <w:rsid w:val="000521C7"/>
    <w:rsid w:val="0005230A"/>
    <w:rsid w:val="00052713"/>
    <w:rsid w:val="000529F1"/>
    <w:rsid w:val="000534DA"/>
    <w:rsid w:val="0005361C"/>
    <w:rsid w:val="0005408E"/>
    <w:rsid w:val="00054159"/>
    <w:rsid w:val="00054C4A"/>
    <w:rsid w:val="00055143"/>
    <w:rsid w:val="000554D1"/>
    <w:rsid w:val="000558FE"/>
    <w:rsid w:val="00055AD8"/>
    <w:rsid w:val="00055EAE"/>
    <w:rsid w:val="000561F7"/>
    <w:rsid w:val="00056D4E"/>
    <w:rsid w:val="00056DBD"/>
    <w:rsid w:val="00057203"/>
    <w:rsid w:val="0005724B"/>
    <w:rsid w:val="0005731D"/>
    <w:rsid w:val="0005757C"/>
    <w:rsid w:val="00057840"/>
    <w:rsid w:val="00057987"/>
    <w:rsid w:val="000603C7"/>
    <w:rsid w:val="00060CF3"/>
    <w:rsid w:val="0006102D"/>
    <w:rsid w:val="000610C4"/>
    <w:rsid w:val="00061251"/>
    <w:rsid w:val="000620DB"/>
    <w:rsid w:val="00062403"/>
    <w:rsid w:val="00062C8D"/>
    <w:rsid w:val="00062F25"/>
    <w:rsid w:val="00063487"/>
    <w:rsid w:val="000634EB"/>
    <w:rsid w:val="00063F06"/>
    <w:rsid w:val="000646C0"/>
    <w:rsid w:val="000646CF"/>
    <w:rsid w:val="00064717"/>
    <w:rsid w:val="00064816"/>
    <w:rsid w:val="00064C48"/>
    <w:rsid w:val="0006505D"/>
    <w:rsid w:val="00065476"/>
    <w:rsid w:val="000657E8"/>
    <w:rsid w:val="00065A87"/>
    <w:rsid w:val="00066396"/>
    <w:rsid w:val="00066E6B"/>
    <w:rsid w:val="00066FAA"/>
    <w:rsid w:val="000672B4"/>
    <w:rsid w:val="00067702"/>
    <w:rsid w:val="000677D5"/>
    <w:rsid w:val="00067982"/>
    <w:rsid w:val="00067B17"/>
    <w:rsid w:val="00067BAC"/>
    <w:rsid w:val="00067FC5"/>
    <w:rsid w:val="000702FD"/>
    <w:rsid w:val="000704CD"/>
    <w:rsid w:val="000704E9"/>
    <w:rsid w:val="0007086E"/>
    <w:rsid w:val="00070AC6"/>
    <w:rsid w:val="00070ADC"/>
    <w:rsid w:val="00070B86"/>
    <w:rsid w:val="00070EE7"/>
    <w:rsid w:val="0007115B"/>
    <w:rsid w:val="0007268F"/>
    <w:rsid w:val="00072816"/>
    <w:rsid w:val="00072934"/>
    <w:rsid w:val="00072C64"/>
    <w:rsid w:val="000733A8"/>
    <w:rsid w:val="00073A01"/>
    <w:rsid w:val="00073FF7"/>
    <w:rsid w:val="0007453C"/>
    <w:rsid w:val="000749B1"/>
    <w:rsid w:val="00075073"/>
    <w:rsid w:val="0007513C"/>
    <w:rsid w:val="0007562B"/>
    <w:rsid w:val="000757E9"/>
    <w:rsid w:val="000758EC"/>
    <w:rsid w:val="00075D3F"/>
    <w:rsid w:val="00075EFA"/>
    <w:rsid w:val="00076001"/>
    <w:rsid w:val="00076A2E"/>
    <w:rsid w:val="00076B84"/>
    <w:rsid w:val="00076B8A"/>
    <w:rsid w:val="00076DD3"/>
    <w:rsid w:val="00076EC0"/>
    <w:rsid w:val="00077249"/>
    <w:rsid w:val="00080743"/>
    <w:rsid w:val="00080B8E"/>
    <w:rsid w:val="00080D6C"/>
    <w:rsid w:val="00081051"/>
    <w:rsid w:val="0008119B"/>
    <w:rsid w:val="000816D8"/>
    <w:rsid w:val="000817E2"/>
    <w:rsid w:val="00081A31"/>
    <w:rsid w:val="00081C0D"/>
    <w:rsid w:val="00081C97"/>
    <w:rsid w:val="0008205E"/>
    <w:rsid w:val="000820AA"/>
    <w:rsid w:val="00082BCC"/>
    <w:rsid w:val="0008303A"/>
    <w:rsid w:val="000835C2"/>
    <w:rsid w:val="00083BD0"/>
    <w:rsid w:val="00084401"/>
    <w:rsid w:val="000844DE"/>
    <w:rsid w:val="00084B33"/>
    <w:rsid w:val="00084ED8"/>
    <w:rsid w:val="00085D12"/>
    <w:rsid w:val="00085F13"/>
    <w:rsid w:val="00086437"/>
    <w:rsid w:val="0008678F"/>
    <w:rsid w:val="0008693C"/>
    <w:rsid w:val="00086CE2"/>
    <w:rsid w:val="000876CC"/>
    <w:rsid w:val="00087CE7"/>
    <w:rsid w:val="00090786"/>
    <w:rsid w:val="0009134D"/>
    <w:rsid w:val="000917BA"/>
    <w:rsid w:val="00091860"/>
    <w:rsid w:val="00091C87"/>
    <w:rsid w:val="00092326"/>
    <w:rsid w:val="00093116"/>
    <w:rsid w:val="00093576"/>
    <w:rsid w:val="000946E5"/>
    <w:rsid w:val="00094846"/>
    <w:rsid w:val="000948E6"/>
    <w:rsid w:val="00095133"/>
    <w:rsid w:val="0009521C"/>
    <w:rsid w:val="00095B63"/>
    <w:rsid w:val="000961BF"/>
    <w:rsid w:val="000966EC"/>
    <w:rsid w:val="00096AA0"/>
    <w:rsid w:val="00096C52"/>
    <w:rsid w:val="000978F9"/>
    <w:rsid w:val="000979A5"/>
    <w:rsid w:val="00097C27"/>
    <w:rsid w:val="00097D48"/>
    <w:rsid w:val="00097DAB"/>
    <w:rsid w:val="000A02E8"/>
    <w:rsid w:val="000A073D"/>
    <w:rsid w:val="000A08C6"/>
    <w:rsid w:val="000A09AB"/>
    <w:rsid w:val="000A0ABC"/>
    <w:rsid w:val="000A143B"/>
    <w:rsid w:val="000A1CC0"/>
    <w:rsid w:val="000A2034"/>
    <w:rsid w:val="000A2CE5"/>
    <w:rsid w:val="000A2EB4"/>
    <w:rsid w:val="000A3436"/>
    <w:rsid w:val="000A3524"/>
    <w:rsid w:val="000A375D"/>
    <w:rsid w:val="000A3C70"/>
    <w:rsid w:val="000A3D0F"/>
    <w:rsid w:val="000A405A"/>
    <w:rsid w:val="000A44AF"/>
    <w:rsid w:val="000A54B7"/>
    <w:rsid w:val="000A667D"/>
    <w:rsid w:val="000A67A8"/>
    <w:rsid w:val="000A6AA7"/>
    <w:rsid w:val="000A72AA"/>
    <w:rsid w:val="000A7F81"/>
    <w:rsid w:val="000B0FE7"/>
    <w:rsid w:val="000B104A"/>
    <w:rsid w:val="000B12B7"/>
    <w:rsid w:val="000B1647"/>
    <w:rsid w:val="000B16DC"/>
    <w:rsid w:val="000B1709"/>
    <w:rsid w:val="000B181D"/>
    <w:rsid w:val="000B1CBB"/>
    <w:rsid w:val="000B20CD"/>
    <w:rsid w:val="000B2315"/>
    <w:rsid w:val="000B2527"/>
    <w:rsid w:val="000B2B3F"/>
    <w:rsid w:val="000B2C1F"/>
    <w:rsid w:val="000B2F79"/>
    <w:rsid w:val="000B2FC9"/>
    <w:rsid w:val="000B34E4"/>
    <w:rsid w:val="000B426C"/>
    <w:rsid w:val="000B47C0"/>
    <w:rsid w:val="000B48D3"/>
    <w:rsid w:val="000B4A51"/>
    <w:rsid w:val="000B4ABE"/>
    <w:rsid w:val="000B53DB"/>
    <w:rsid w:val="000B5A68"/>
    <w:rsid w:val="000B5A8D"/>
    <w:rsid w:val="000B5AFD"/>
    <w:rsid w:val="000B6107"/>
    <w:rsid w:val="000B63A4"/>
    <w:rsid w:val="000B73E1"/>
    <w:rsid w:val="000B7605"/>
    <w:rsid w:val="000B7670"/>
    <w:rsid w:val="000C080E"/>
    <w:rsid w:val="000C0C35"/>
    <w:rsid w:val="000C1224"/>
    <w:rsid w:val="000C182F"/>
    <w:rsid w:val="000C1859"/>
    <w:rsid w:val="000C19F4"/>
    <w:rsid w:val="000C1B34"/>
    <w:rsid w:val="000C1DA2"/>
    <w:rsid w:val="000C1E8A"/>
    <w:rsid w:val="000C301C"/>
    <w:rsid w:val="000C3371"/>
    <w:rsid w:val="000C37B9"/>
    <w:rsid w:val="000C3F14"/>
    <w:rsid w:val="000C444D"/>
    <w:rsid w:val="000C44FC"/>
    <w:rsid w:val="000C45D5"/>
    <w:rsid w:val="000C4C8E"/>
    <w:rsid w:val="000C5A23"/>
    <w:rsid w:val="000C5A5B"/>
    <w:rsid w:val="000C5A8D"/>
    <w:rsid w:val="000C5CD5"/>
    <w:rsid w:val="000C6224"/>
    <w:rsid w:val="000C6576"/>
    <w:rsid w:val="000C6BEF"/>
    <w:rsid w:val="000C6C38"/>
    <w:rsid w:val="000C6CF5"/>
    <w:rsid w:val="000C6E9C"/>
    <w:rsid w:val="000C6EF2"/>
    <w:rsid w:val="000C759B"/>
    <w:rsid w:val="000C75DD"/>
    <w:rsid w:val="000C79FC"/>
    <w:rsid w:val="000C7B9A"/>
    <w:rsid w:val="000C7DEA"/>
    <w:rsid w:val="000C7DFC"/>
    <w:rsid w:val="000C7ED1"/>
    <w:rsid w:val="000D07F6"/>
    <w:rsid w:val="000D11AD"/>
    <w:rsid w:val="000D1307"/>
    <w:rsid w:val="000D138F"/>
    <w:rsid w:val="000D1505"/>
    <w:rsid w:val="000D1668"/>
    <w:rsid w:val="000D1F5D"/>
    <w:rsid w:val="000D201D"/>
    <w:rsid w:val="000D28F9"/>
    <w:rsid w:val="000D2E9F"/>
    <w:rsid w:val="000D30CB"/>
    <w:rsid w:val="000D45A3"/>
    <w:rsid w:val="000D4CE0"/>
    <w:rsid w:val="000D4D60"/>
    <w:rsid w:val="000D4E8C"/>
    <w:rsid w:val="000D542C"/>
    <w:rsid w:val="000D5493"/>
    <w:rsid w:val="000D5649"/>
    <w:rsid w:val="000D5686"/>
    <w:rsid w:val="000D5D46"/>
    <w:rsid w:val="000D6113"/>
    <w:rsid w:val="000D6224"/>
    <w:rsid w:val="000D6F78"/>
    <w:rsid w:val="000D70DC"/>
    <w:rsid w:val="000D738D"/>
    <w:rsid w:val="000D74C5"/>
    <w:rsid w:val="000E015D"/>
    <w:rsid w:val="000E0629"/>
    <w:rsid w:val="000E0E9B"/>
    <w:rsid w:val="000E0F9B"/>
    <w:rsid w:val="000E1211"/>
    <w:rsid w:val="000E1824"/>
    <w:rsid w:val="000E1A9C"/>
    <w:rsid w:val="000E22AD"/>
    <w:rsid w:val="000E27D9"/>
    <w:rsid w:val="000E2818"/>
    <w:rsid w:val="000E2AD0"/>
    <w:rsid w:val="000E346C"/>
    <w:rsid w:val="000E34B1"/>
    <w:rsid w:val="000E35F2"/>
    <w:rsid w:val="000E3FBB"/>
    <w:rsid w:val="000E42C6"/>
    <w:rsid w:val="000E47D9"/>
    <w:rsid w:val="000E4FD0"/>
    <w:rsid w:val="000E5BB7"/>
    <w:rsid w:val="000E5CD5"/>
    <w:rsid w:val="000E5EB4"/>
    <w:rsid w:val="000E634D"/>
    <w:rsid w:val="000E6955"/>
    <w:rsid w:val="000E6B68"/>
    <w:rsid w:val="000E6C1E"/>
    <w:rsid w:val="000E6D8B"/>
    <w:rsid w:val="000E6E04"/>
    <w:rsid w:val="000E6F0A"/>
    <w:rsid w:val="000E72CD"/>
    <w:rsid w:val="000E79E7"/>
    <w:rsid w:val="000E7F90"/>
    <w:rsid w:val="000E7FBB"/>
    <w:rsid w:val="000F04A4"/>
    <w:rsid w:val="000F10C4"/>
    <w:rsid w:val="000F17C5"/>
    <w:rsid w:val="000F1DFD"/>
    <w:rsid w:val="000F239F"/>
    <w:rsid w:val="000F24E4"/>
    <w:rsid w:val="000F25D1"/>
    <w:rsid w:val="000F27C1"/>
    <w:rsid w:val="000F2A5B"/>
    <w:rsid w:val="000F2C45"/>
    <w:rsid w:val="000F32C8"/>
    <w:rsid w:val="000F374B"/>
    <w:rsid w:val="000F38A4"/>
    <w:rsid w:val="000F3A2E"/>
    <w:rsid w:val="000F3ADD"/>
    <w:rsid w:val="000F423E"/>
    <w:rsid w:val="000F4B86"/>
    <w:rsid w:val="000F4D05"/>
    <w:rsid w:val="000F4D69"/>
    <w:rsid w:val="000F4F4C"/>
    <w:rsid w:val="000F5C52"/>
    <w:rsid w:val="000F6567"/>
    <w:rsid w:val="000F66F5"/>
    <w:rsid w:val="000F754C"/>
    <w:rsid w:val="000F7680"/>
    <w:rsid w:val="000F778E"/>
    <w:rsid w:val="000F7A57"/>
    <w:rsid w:val="000F7B0A"/>
    <w:rsid w:val="00100005"/>
    <w:rsid w:val="00100C90"/>
    <w:rsid w:val="00100E48"/>
    <w:rsid w:val="00100E54"/>
    <w:rsid w:val="0010102C"/>
    <w:rsid w:val="001011C8"/>
    <w:rsid w:val="001011D6"/>
    <w:rsid w:val="00101594"/>
    <w:rsid w:val="00101C09"/>
    <w:rsid w:val="00101D0A"/>
    <w:rsid w:val="00101D4E"/>
    <w:rsid w:val="00101DBB"/>
    <w:rsid w:val="0010210A"/>
    <w:rsid w:val="00102336"/>
    <w:rsid w:val="001023BC"/>
    <w:rsid w:val="001028DE"/>
    <w:rsid w:val="0010295B"/>
    <w:rsid w:val="001034C1"/>
    <w:rsid w:val="00104286"/>
    <w:rsid w:val="001049C5"/>
    <w:rsid w:val="00104BB5"/>
    <w:rsid w:val="00104C0C"/>
    <w:rsid w:val="00104D86"/>
    <w:rsid w:val="001059FF"/>
    <w:rsid w:val="00105F19"/>
    <w:rsid w:val="001062D3"/>
    <w:rsid w:val="00106CD2"/>
    <w:rsid w:val="00106DA7"/>
    <w:rsid w:val="00106E12"/>
    <w:rsid w:val="00107255"/>
    <w:rsid w:val="001102B3"/>
    <w:rsid w:val="00110890"/>
    <w:rsid w:val="00110D95"/>
    <w:rsid w:val="00111415"/>
    <w:rsid w:val="001118FB"/>
    <w:rsid w:val="001122AC"/>
    <w:rsid w:val="00112C3A"/>
    <w:rsid w:val="00112D3A"/>
    <w:rsid w:val="00113025"/>
    <w:rsid w:val="00113861"/>
    <w:rsid w:val="00113E40"/>
    <w:rsid w:val="00113F8F"/>
    <w:rsid w:val="00114021"/>
    <w:rsid w:val="00114156"/>
    <w:rsid w:val="00115568"/>
    <w:rsid w:val="0011565A"/>
    <w:rsid w:val="00115A81"/>
    <w:rsid w:val="00116A3E"/>
    <w:rsid w:val="001174FF"/>
    <w:rsid w:val="0011760E"/>
    <w:rsid w:val="00117847"/>
    <w:rsid w:val="0012001C"/>
    <w:rsid w:val="00120476"/>
    <w:rsid w:val="00120489"/>
    <w:rsid w:val="00120744"/>
    <w:rsid w:val="00120AA3"/>
    <w:rsid w:val="00120BBD"/>
    <w:rsid w:val="00120EC2"/>
    <w:rsid w:val="00121309"/>
    <w:rsid w:val="0012167C"/>
    <w:rsid w:val="00121E41"/>
    <w:rsid w:val="00122D80"/>
    <w:rsid w:val="00122F44"/>
    <w:rsid w:val="001231B7"/>
    <w:rsid w:val="001234B6"/>
    <w:rsid w:val="0012396B"/>
    <w:rsid w:val="00123FFA"/>
    <w:rsid w:val="00124401"/>
    <w:rsid w:val="0012443D"/>
    <w:rsid w:val="001245C0"/>
    <w:rsid w:val="001245E3"/>
    <w:rsid w:val="001246F3"/>
    <w:rsid w:val="00124EA5"/>
    <w:rsid w:val="00125ED9"/>
    <w:rsid w:val="00126408"/>
    <w:rsid w:val="001268AD"/>
    <w:rsid w:val="00126942"/>
    <w:rsid w:val="001269C3"/>
    <w:rsid w:val="00127237"/>
    <w:rsid w:val="00127389"/>
    <w:rsid w:val="00127537"/>
    <w:rsid w:val="00127560"/>
    <w:rsid w:val="00130002"/>
    <w:rsid w:val="00130027"/>
    <w:rsid w:val="001305B4"/>
    <w:rsid w:val="00130AA3"/>
    <w:rsid w:val="00130CEA"/>
    <w:rsid w:val="001315A2"/>
    <w:rsid w:val="0013174D"/>
    <w:rsid w:val="00131FD8"/>
    <w:rsid w:val="001328A4"/>
    <w:rsid w:val="00132E15"/>
    <w:rsid w:val="0013369E"/>
    <w:rsid w:val="001337BB"/>
    <w:rsid w:val="00133DC7"/>
    <w:rsid w:val="00134015"/>
    <w:rsid w:val="001341FC"/>
    <w:rsid w:val="0013430E"/>
    <w:rsid w:val="001346EF"/>
    <w:rsid w:val="00134C91"/>
    <w:rsid w:val="00134EEA"/>
    <w:rsid w:val="001366EB"/>
    <w:rsid w:val="00136D1D"/>
    <w:rsid w:val="0013744F"/>
    <w:rsid w:val="00137E93"/>
    <w:rsid w:val="00137ED7"/>
    <w:rsid w:val="00140845"/>
    <w:rsid w:val="001413CE"/>
    <w:rsid w:val="00141410"/>
    <w:rsid w:val="001416DD"/>
    <w:rsid w:val="00141981"/>
    <w:rsid w:val="001419C6"/>
    <w:rsid w:val="00141D6D"/>
    <w:rsid w:val="00142414"/>
    <w:rsid w:val="00142A82"/>
    <w:rsid w:val="00142C11"/>
    <w:rsid w:val="001437DD"/>
    <w:rsid w:val="001440BC"/>
    <w:rsid w:val="00144E13"/>
    <w:rsid w:val="0014564F"/>
    <w:rsid w:val="001461C1"/>
    <w:rsid w:val="001461F3"/>
    <w:rsid w:val="001465DB"/>
    <w:rsid w:val="00146977"/>
    <w:rsid w:val="00146DC1"/>
    <w:rsid w:val="00146E3D"/>
    <w:rsid w:val="00147D28"/>
    <w:rsid w:val="00147EE2"/>
    <w:rsid w:val="00150199"/>
    <w:rsid w:val="00150310"/>
    <w:rsid w:val="00150B70"/>
    <w:rsid w:val="00151666"/>
    <w:rsid w:val="0015170B"/>
    <w:rsid w:val="00151831"/>
    <w:rsid w:val="001518AF"/>
    <w:rsid w:val="00152841"/>
    <w:rsid w:val="0015299B"/>
    <w:rsid w:val="00152A0D"/>
    <w:rsid w:val="00152FBD"/>
    <w:rsid w:val="00153021"/>
    <w:rsid w:val="00153492"/>
    <w:rsid w:val="00153975"/>
    <w:rsid w:val="00153E93"/>
    <w:rsid w:val="00153F2D"/>
    <w:rsid w:val="00153F63"/>
    <w:rsid w:val="0015444C"/>
    <w:rsid w:val="00154A8F"/>
    <w:rsid w:val="0015513D"/>
    <w:rsid w:val="00155505"/>
    <w:rsid w:val="0015560B"/>
    <w:rsid w:val="00155981"/>
    <w:rsid w:val="00155C63"/>
    <w:rsid w:val="00155F36"/>
    <w:rsid w:val="001560D3"/>
    <w:rsid w:val="0015648D"/>
    <w:rsid w:val="0015657B"/>
    <w:rsid w:val="00156EE9"/>
    <w:rsid w:val="001571F0"/>
    <w:rsid w:val="0015733D"/>
    <w:rsid w:val="00157629"/>
    <w:rsid w:val="00157906"/>
    <w:rsid w:val="00157951"/>
    <w:rsid w:val="00157ABA"/>
    <w:rsid w:val="00157DC6"/>
    <w:rsid w:val="001600FB"/>
    <w:rsid w:val="0016073A"/>
    <w:rsid w:val="00160E34"/>
    <w:rsid w:val="00160E8B"/>
    <w:rsid w:val="001610AF"/>
    <w:rsid w:val="00161EFA"/>
    <w:rsid w:val="0016271E"/>
    <w:rsid w:val="001636E5"/>
    <w:rsid w:val="00163F12"/>
    <w:rsid w:val="00164320"/>
    <w:rsid w:val="0016443B"/>
    <w:rsid w:val="001648B3"/>
    <w:rsid w:val="00164AF0"/>
    <w:rsid w:val="00165003"/>
    <w:rsid w:val="001652D9"/>
    <w:rsid w:val="0016532E"/>
    <w:rsid w:val="001653A7"/>
    <w:rsid w:val="00165558"/>
    <w:rsid w:val="00165B3C"/>
    <w:rsid w:val="00165E6D"/>
    <w:rsid w:val="0016601A"/>
    <w:rsid w:val="00166264"/>
    <w:rsid w:val="0016639B"/>
    <w:rsid w:val="00166446"/>
    <w:rsid w:val="0016670E"/>
    <w:rsid w:val="001668E3"/>
    <w:rsid w:val="001669BE"/>
    <w:rsid w:val="00166CC2"/>
    <w:rsid w:val="00167303"/>
    <w:rsid w:val="00170A59"/>
    <w:rsid w:val="00170BBA"/>
    <w:rsid w:val="00170DAF"/>
    <w:rsid w:val="00171578"/>
    <w:rsid w:val="0017188B"/>
    <w:rsid w:val="00171A1D"/>
    <w:rsid w:val="0017225A"/>
    <w:rsid w:val="0017264F"/>
    <w:rsid w:val="001726BD"/>
    <w:rsid w:val="001727A3"/>
    <w:rsid w:val="00173037"/>
    <w:rsid w:val="00173176"/>
    <w:rsid w:val="001731F7"/>
    <w:rsid w:val="0017344D"/>
    <w:rsid w:val="00173523"/>
    <w:rsid w:val="00173BCB"/>
    <w:rsid w:val="00173C0E"/>
    <w:rsid w:val="00173C7A"/>
    <w:rsid w:val="00173FEB"/>
    <w:rsid w:val="00174180"/>
    <w:rsid w:val="00174D53"/>
    <w:rsid w:val="00175029"/>
    <w:rsid w:val="0017524E"/>
    <w:rsid w:val="0017527B"/>
    <w:rsid w:val="00176615"/>
    <w:rsid w:val="001768FD"/>
    <w:rsid w:val="001770C6"/>
    <w:rsid w:val="00177462"/>
    <w:rsid w:val="001779BC"/>
    <w:rsid w:val="00177CDA"/>
    <w:rsid w:val="00177ED5"/>
    <w:rsid w:val="00180561"/>
    <w:rsid w:val="00180DD6"/>
    <w:rsid w:val="00181442"/>
    <w:rsid w:val="00181683"/>
    <w:rsid w:val="00181F41"/>
    <w:rsid w:val="00182623"/>
    <w:rsid w:val="00182C5E"/>
    <w:rsid w:val="00182F6A"/>
    <w:rsid w:val="0018368F"/>
    <w:rsid w:val="001836A5"/>
    <w:rsid w:val="001839E9"/>
    <w:rsid w:val="00183E7A"/>
    <w:rsid w:val="00184133"/>
    <w:rsid w:val="00184371"/>
    <w:rsid w:val="00184391"/>
    <w:rsid w:val="00184621"/>
    <w:rsid w:val="00184A61"/>
    <w:rsid w:val="0018500E"/>
    <w:rsid w:val="001861DB"/>
    <w:rsid w:val="00186718"/>
    <w:rsid w:val="0018675F"/>
    <w:rsid w:val="00186B37"/>
    <w:rsid w:val="00186D10"/>
    <w:rsid w:val="00187044"/>
    <w:rsid w:val="001871BE"/>
    <w:rsid w:val="00187282"/>
    <w:rsid w:val="00187DDD"/>
    <w:rsid w:val="00187F8D"/>
    <w:rsid w:val="001900F1"/>
    <w:rsid w:val="0019094C"/>
    <w:rsid w:val="0019115B"/>
    <w:rsid w:val="001911D7"/>
    <w:rsid w:val="00191DFF"/>
    <w:rsid w:val="001925CB"/>
    <w:rsid w:val="00192F36"/>
    <w:rsid w:val="00192FBA"/>
    <w:rsid w:val="00193331"/>
    <w:rsid w:val="00193742"/>
    <w:rsid w:val="001937D2"/>
    <w:rsid w:val="00193874"/>
    <w:rsid w:val="00194157"/>
    <w:rsid w:val="00194795"/>
    <w:rsid w:val="00194BA2"/>
    <w:rsid w:val="00194C25"/>
    <w:rsid w:val="0019543E"/>
    <w:rsid w:val="00195DD6"/>
    <w:rsid w:val="00195FEB"/>
    <w:rsid w:val="001963EC"/>
    <w:rsid w:val="00196574"/>
    <w:rsid w:val="001966C8"/>
    <w:rsid w:val="001971A0"/>
    <w:rsid w:val="00197326"/>
    <w:rsid w:val="001978B7"/>
    <w:rsid w:val="00197903"/>
    <w:rsid w:val="001A011A"/>
    <w:rsid w:val="001A0B14"/>
    <w:rsid w:val="001A189B"/>
    <w:rsid w:val="001A199D"/>
    <w:rsid w:val="001A1CDC"/>
    <w:rsid w:val="001A215B"/>
    <w:rsid w:val="001A228C"/>
    <w:rsid w:val="001A27FC"/>
    <w:rsid w:val="001A289D"/>
    <w:rsid w:val="001A30AA"/>
    <w:rsid w:val="001A3181"/>
    <w:rsid w:val="001A32C7"/>
    <w:rsid w:val="001A349C"/>
    <w:rsid w:val="001A3904"/>
    <w:rsid w:val="001A41D0"/>
    <w:rsid w:val="001A4B94"/>
    <w:rsid w:val="001A4C8F"/>
    <w:rsid w:val="001A4D0A"/>
    <w:rsid w:val="001A4D18"/>
    <w:rsid w:val="001A4EFB"/>
    <w:rsid w:val="001A588E"/>
    <w:rsid w:val="001A5C2A"/>
    <w:rsid w:val="001A665D"/>
    <w:rsid w:val="001A6CC0"/>
    <w:rsid w:val="001A6DEF"/>
    <w:rsid w:val="001A72F2"/>
    <w:rsid w:val="001A794C"/>
    <w:rsid w:val="001A79F7"/>
    <w:rsid w:val="001A7A00"/>
    <w:rsid w:val="001A7CB8"/>
    <w:rsid w:val="001B0128"/>
    <w:rsid w:val="001B0574"/>
    <w:rsid w:val="001B092B"/>
    <w:rsid w:val="001B0B94"/>
    <w:rsid w:val="001B0F8C"/>
    <w:rsid w:val="001B1B22"/>
    <w:rsid w:val="001B1C2C"/>
    <w:rsid w:val="001B1FD9"/>
    <w:rsid w:val="001B2D77"/>
    <w:rsid w:val="001B2DC3"/>
    <w:rsid w:val="001B2E5C"/>
    <w:rsid w:val="001B2EF1"/>
    <w:rsid w:val="001B36DC"/>
    <w:rsid w:val="001B38DF"/>
    <w:rsid w:val="001B39F3"/>
    <w:rsid w:val="001B40CE"/>
    <w:rsid w:val="001B46B6"/>
    <w:rsid w:val="001B4E71"/>
    <w:rsid w:val="001B557B"/>
    <w:rsid w:val="001B5F7D"/>
    <w:rsid w:val="001B6CE1"/>
    <w:rsid w:val="001B6F7C"/>
    <w:rsid w:val="001B7120"/>
    <w:rsid w:val="001B7590"/>
    <w:rsid w:val="001B7C6F"/>
    <w:rsid w:val="001C0209"/>
    <w:rsid w:val="001C0964"/>
    <w:rsid w:val="001C0A76"/>
    <w:rsid w:val="001C0D32"/>
    <w:rsid w:val="001C0D6A"/>
    <w:rsid w:val="001C1209"/>
    <w:rsid w:val="001C1B2C"/>
    <w:rsid w:val="001C1BC3"/>
    <w:rsid w:val="001C1D41"/>
    <w:rsid w:val="001C1F65"/>
    <w:rsid w:val="001C2A07"/>
    <w:rsid w:val="001C3462"/>
    <w:rsid w:val="001C36DE"/>
    <w:rsid w:val="001C38E4"/>
    <w:rsid w:val="001C3DC6"/>
    <w:rsid w:val="001C4308"/>
    <w:rsid w:val="001C47EE"/>
    <w:rsid w:val="001C4C18"/>
    <w:rsid w:val="001C4D93"/>
    <w:rsid w:val="001C51E1"/>
    <w:rsid w:val="001C5297"/>
    <w:rsid w:val="001C52A9"/>
    <w:rsid w:val="001C5CBF"/>
    <w:rsid w:val="001C66E1"/>
    <w:rsid w:val="001C7069"/>
    <w:rsid w:val="001C7166"/>
    <w:rsid w:val="001C77FE"/>
    <w:rsid w:val="001C79FC"/>
    <w:rsid w:val="001D05BE"/>
    <w:rsid w:val="001D0934"/>
    <w:rsid w:val="001D0CAF"/>
    <w:rsid w:val="001D1607"/>
    <w:rsid w:val="001D16BA"/>
    <w:rsid w:val="001D1D3C"/>
    <w:rsid w:val="001D2299"/>
    <w:rsid w:val="001D27DD"/>
    <w:rsid w:val="001D2CCD"/>
    <w:rsid w:val="001D2D40"/>
    <w:rsid w:val="001D33A3"/>
    <w:rsid w:val="001D35B1"/>
    <w:rsid w:val="001D3A37"/>
    <w:rsid w:val="001D3C18"/>
    <w:rsid w:val="001D3C89"/>
    <w:rsid w:val="001D421B"/>
    <w:rsid w:val="001D4563"/>
    <w:rsid w:val="001D4583"/>
    <w:rsid w:val="001D4923"/>
    <w:rsid w:val="001D58DB"/>
    <w:rsid w:val="001D5D0B"/>
    <w:rsid w:val="001D6C62"/>
    <w:rsid w:val="001D726E"/>
    <w:rsid w:val="001D75BA"/>
    <w:rsid w:val="001D7A35"/>
    <w:rsid w:val="001D7C5F"/>
    <w:rsid w:val="001D7D9F"/>
    <w:rsid w:val="001D7E3C"/>
    <w:rsid w:val="001D7E6E"/>
    <w:rsid w:val="001E054A"/>
    <w:rsid w:val="001E0697"/>
    <w:rsid w:val="001E07AD"/>
    <w:rsid w:val="001E08D2"/>
    <w:rsid w:val="001E0AA2"/>
    <w:rsid w:val="001E0EAC"/>
    <w:rsid w:val="001E1054"/>
    <w:rsid w:val="001E12B2"/>
    <w:rsid w:val="001E1351"/>
    <w:rsid w:val="001E1457"/>
    <w:rsid w:val="001E2583"/>
    <w:rsid w:val="001E2C6F"/>
    <w:rsid w:val="001E312C"/>
    <w:rsid w:val="001E4258"/>
    <w:rsid w:val="001E5658"/>
    <w:rsid w:val="001E5D42"/>
    <w:rsid w:val="001E5FB8"/>
    <w:rsid w:val="001E6D3B"/>
    <w:rsid w:val="001E6E59"/>
    <w:rsid w:val="001E7456"/>
    <w:rsid w:val="001F045D"/>
    <w:rsid w:val="001F0603"/>
    <w:rsid w:val="001F0C50"/>
    <w:rsid w:val="001F0D74"/>
    <w:rsid w:val="001F1EF5"/>
    <w:rsid w:val="001F1F32"/>
    <w:rsid w:val="001F235F"/>
    <w:rsid w:val="001F250D"/>
    <w:rsid w:val="001F2A61"/>
    <w:rsid w:val="001F2ADD"/>
    <w:rsid w:val="001F2BBC"/>
    <w:rsid w:val="001F2DED"/>
    <w:rsid w:val="001F30BF"/>
    <w:rsid w:val="001F3224"/>
    <w:rsid w:val="001F3695"/>
    <w:rsid w:val="001F3B71"/>
    <w:rsid w:val="001F412C"/>
    <w:rsid w:val="001F4416"/>
    <w:rsid w:val="001F446C"/>
    <w:rsid w:val="001F4473"/>
    <w:rsid w:val="001F4588"/>
    <w:rsid w:val="001F45D4"/>
    <w:rsid w:val="001F4842"/>
    <w:rsid w:val="001F4E35"/>
    <w:rsid w:val="001F5742"/>
    <w:rsid w:val="001F59E8"/>
    <w:rsid w:val="001F66E4"/>
    <w:rsid w:val="001F6899"/>
    <w:rsid w:val="001F7140"/>
    <w:rsid w:val="001F7361"/>
    <w:rsid w:val="001F7B00"/>
    <w:rsid w:val="001F7CAF"/>
    <w:rsid w:val="001F7DE9"/>
    <w:rsid w:val="001F7F98"/>
    <w:rsid w:val="002000A9"/>
    <w:rsid w:val="002002C5"/>
    <w:rsid w:val="0020038E"/>
    <w:rsid w:val="0020056B"/>
    <w:rsid w:val="002006FA"/>
    <w:rsid w:val="0020084D"/>
    <w:rsid w:val="00201994"/>
    <w:rsid w:val="00201AEE"/>
    <w:rsid w:val="002027FB"/>
    <w:rsid w:val="0020280D"/>
    <w:rsid w:val="00203552"/>
    <w:rsid w:val="0020357B"/>
    <w:rsid w:val="002038C1"/>
    <w:rsid w:val="002039A5"/>
    <w:rsid w:val="00203D70"/>
    <w:rsid w:val="00203E28"/>
    <w:rsid w:val="00204F5D"/>
    <w:rsid w:val="00205224"/>
    <w:rsid w:val="0020550B"/>
    <w:rsid w:val="00205584"/>
    <w:rsid w:val="00205757"/>
    <w:rsid w:val="00205BB2"/>
    <w:rsid w:val="00206051"/>
    <w:rsid w:val="00206150"/>
    <w:rsid w:val="0020636D"/>
    <w:rsid w:val="00206375"/>
    <w:rsid w:val="00206584"/>
    <w:rsid w:val="00207357"/>
    <w:rsid w:val="00207481"/>
    <w:rsid w:val="0020777C"/>
    <w:rsid w:val="00207B03"/>
    <w:rsid w:val="00210104"/>
    <w:rsid w:val="002102A0"/>
    <w:rsid w:val="00210411"/>
    <w:rsid w:val="002104FB"/>
    <w:rsid w:val="0021052F"/>
    <w:rsid w:val="00210E9A"/>
    <w:rsid w:val="00211207"/>
    <w:rsid w:val="00211678"/>
    <w:rsid w:val="00211E95"/>
    <w:rsid w:val="00211F8E"/>
    <w:rsid w:val="00212457"/>
    <w:rsid w:val="002124D7"/>
    <w:rsid w:val="002125A4"/>
    <w:rsid w:val="0021280B"/>
    <w:rsid w:val="00212B65"/>
    <w:rsid w:val="002135EE"/>
    <w:rsid w:val="002135F1"/>
    <w:rsid w:val="00213A26"/>
    <w:rsid w:val="00213AA3"/>
    <w:rsid w:val="00213B3B"/>
    <w:rsid w:val="002147E6"/>
    <w:rsid w:val="00214CA7"/>
    <w:rsid w:val="002153F2"/>
    <w:rsid w:val="00215C54"/>
    <w:rsid w:val="00215F9A"/>
    <w:rsid w:val="002163C8"/>
    <w:rsid w:val="00216426"/>
    <w:rsid w:val="002165AD"/>
    <w:rsid w:val="002167F1"/>
    <w:rsid w:val="002171D3"/>
    <w:rsid w:val="0021723E"/>
    <w:rsid w:val="00217549"/>
    <w:rsid w:val="00217E0C"/>
    <w:rsid w:val="0022028B"/>
    <w:rsid w:val="0022094D"/>
    <w:rsid w:val="00220C58"/>
    <w:rsid w:val="00220F0B"/>
    <w:rsid w:val="00220F73"/>
    <w:rsid w:val="002212FA"/>
    <w:rsid w:val="002215FC"/>
    <w:rsid w:val="00221632"/>
    <w:rsid w:val="0022180F"/>
    <w:rsid w:val="00221E40"/>
    <w:rsid w:val="00221FD6"/>
    <w:rsid w:val="00223029"/>
    <w:rsid w:val="00223250"/>
    <w:rsid w:val="0022325B"/>
    <w:rsid w:val="0022384B"/>
    <w:rsid w:val="00223884"/>
    <w:rsid w:val="00223936"/>
    <w:rsid w:val="00223A60"/>
    <w:rsid w:val="00223D40"/>
    <w:rsid w:val="00223E2B"/>
    <w:rsid w:val="0022503D"/>
    <w:rsid w:val="00225109"/>
    <w:rsid w:val="002252D2"/>
    <w:rsid w:val="002253C7"/>
    <w:rsid w:val="002256CD"/>
    <w:rsid w:val="00225806"/>
    <w:rsid w:val="002262CF"/>
    <w:rsid w:val="00226516"/>
    <w:rsid w:val="0022698D"/>
    <w:rsid w:val="00226BC2"/>
    <w:rsid w:val="00226CB2"/>
    <w:rsid w:val="002274F1"/>
    <w:rsid w:val="0023153A"/>
    <w:rsid w:val="002316F1"/>
    <w:rsid w:val="00231AE8"/>
    <w:rsid w:val="00231B6C"/>
    <w:rsid w:val="00232534"/>
    <w:rsid w:val="00232DA1"/>
    <w:rsid w:val="0023359B"/>
    <w:rsid w:val="00233AD1"/>
    <w:rsid w:val="00233E65"/>
    <w:rsid w:val="0023454C"/>
    <w:rsid w:val="00234B59"/>
    <w:rsid w:val="0023509E"/>
    <w:rsid w:val="002356D6"/>
    <w:rsid w:val="00235E7F"/>
    <w:rsid w:val="002363E7"/>
    <w:rsid w:val="0023642B"/>
    <w:rsid w:val="002368C8"/>
    <w:rsid w:val="0023733C"/>
    <w:rsid w:val="002379A9"/>
    <w:rsid w:val="002379E9"/>
    <w:rsid w:val="00237BC6"/>
    <w:rsid w:val="00237C89"/>
    <w:rsid w:val="00237E81"/>
    <w:rsid w:val="0024089E"/>
    <w:rsid w:val="00240F89"/>
    <w:rsid w:val="002418E5"/>
    <w:rsid w:val="00241C4A"/>
    <w:rsid w:val="00241CA3"/>
    <w:rsid w:val="00242229"/>
    <w:rsid w:val="00242256"/>
    <w:rsid w:val="00242541"/>
    <w:rsid w:val="00242935"/>
    <w:rsid w:val="002429E5"/>
    <w:rsid w:val="00242B78"/>
    <w:rsid w:val="00242E72"/>
    <w:rsid w:val="00243B68"/>
    <w:rsid w:val="002449A8"/>
    <w:rsid w:val="00244C79"/>
    <w:rsid w:val="00245787"/>
    <w:rsid w:val="00245C0E"/>
    <w:rsid w:val="002464E2"/>
    <w:rsid w:val="00246AA5"/>
    <w:rsid w:val="00246B5E"/>
    <w:rsid w:val="002471EA"/>
    <w:rsid w:val="002474C1"/>
    <w:rsid w:val="00247BAE"/>
    <w:rsid w:val="00247D8E"/>
    <w:rsid w:val="00247F68"/>
    <w:rsid w:val="00250A5D"/>
    <w:rsid w:val="002512AA"/>
    <w:rsid w:val="0025142D"/>
    <w:rsid w:val="002514A8"/>
    <w:rsid w:val="00251525"/>
    <w:rsid w:val="00251879"/>
    <w:rsid w:val="00251F30"/>
    <w:rsid w:val="00252D4F"/>
    <w:rsid w:val="00253374"/>
    <w:rsid w:val="00253CE7"/>
    <w:rsid w:val="0025434D"/>
    <w:rsid w:val="00254765"/>
    <w:rsid w:val="00254C42"/>
    <w:rsid w:val="00254E1C"/>
    <w:rsid w:val="0025513A"/>
    <w:rsid w:val="002556A0"/>
    <w:rsid w:val="00255940"/>
    <w:rsid w:val="00256111"/>
    <w:rsid w:val="00256510"/>
    <w:rsid w:val="0025663C"/>
    <w:rsid w:val="0025697F"/>
    <w:rsid w:val="002572F4"/>
    <w:rsid w:val="0025731A"/>
    <w:rsid w:val="00260981"/>
    <w:rsid w:val="00260D88"/>
    <w:rsid w:val="00260EA3"/>
    <w:rsid w:val="0026132C"/>
    <w:rsid w:val="00261E1D"/>
    <w:rsid w:val="00261F8F"/>
    <w:rsid w:val="00262898"/>
    <w:rsid w:val="00262E26"/>
    <w:rsid w:val="002638C2"/>
    <w:rsid w:val="00263964"/>
    <w:rsid w:val="00263E78"/>
    <w:rsid w:val="002641C7"/>
    <w:rsid w:val="00264514"/>
    <w:rsid w:val="00264662"/>
    <w:rsid w:val="00264672"/>
    <w:rsid w:val="00264A0F"/>
    <w:rsid w:val="00264A34"/>
    <w:rsid w:val="002651EC"/>
    <w:rsid w:val="002656B0"/>
    <w:rsid w:val="00266FE4"/>
    <w:rsid w:val="00267430"/>
    <w:rsid w:val="002676EF"/>
    <w:rsid w:val="0027012B"/>
    <w:rsid w:val="002702C1"/>
    <w:rsid w:val="0027070C"/>
    <w:rsid w:val="00270924"/>
    <w:rsid w:val="002709C9"/>
    <w:rsid w:val="00270C11"/>
    <w:rsid w:val="00270C7E"/>
    <w:rsid w:val="00270F5F"/>
    <w:rsid w:val="00271197"/>
    <w:rsid w:val="002716D1"/>
    <w:rsid w:val="00271748"/>
    <w:rsid w:val="0027176B"/>
    <w:rsid w:val="00271B83"/>
    <w:rsid w:val="0027274C"/>
    <w:rsid w:val="00272AE4"/>
    <w:rsid w:val="00272B7D"/>
    <w:rsid w:val="00272F74"/>
    <w:rsid w:val="002730C3"/>
    <w:rsid w:val="00273228"/>
    <w:rsid w:val="002736EF"/>
    <w:rsid w:val="002737A7"/>
    <w:rsid w:val="00273B02"/>
    <w:rsid w:val="00273CF8"/>
    <w:rsid w:val="00274100"/>
    <w:rsid w:val="002743DB"/>
    <w:rsid w:val="002748C8"/>
    <w:rsid w:val="00275058"/>
    <w:rsid w:val="002756E7"/>
    <w:rsid w:val="0027577E"/>
    <w:rsid w:val="00276B99"/>
    <w:rsid w:val="00276BAE"/>
    <w:rsid w:val="00276C6E"/>
    <w:rsid w:val="00276C89"/>
    <w:rsid w:val="00277182"/>
    <w:rsid w:val="002771D5"/>
    <w:rsid w:val="00280384"/>
    <w:rsid w:val="002803F9"/>
    <w:rsid w:val="00280786"/>
    <w:rsid w:val="002809C4"/>
    <w:rsid w:val="00280B5E"/>
    <w:rsid w:val="0028147E"/>
    <w:rsid w:val="00281F90"/>
    <w:rsid w:val="00282822"/>
    <w:rsid w:val="00282974"/>
    <w:rsid w:val="00282A6A"/>
    <w:rsid w:val="00282C68"/>
    <w:rsid w:val="00282CC6"/>
    <w:rsid w:val="00282CE4"/>
    <w:rsid w:val="00282D54"/>
    <w:rsid w:val="002832C1"/>
    <w:rsid w:val="002840F9"/>
    <w:rsid w:val="0028449B"/>
    <w:rsid w:val="00284818"/>
    <w:rsid w:val="00284975"/>
    <w:rsid w:val="00284F9E"/>
    <w:rsid w:val="002855B1"/>
    <w:rsid w:val="00285BA0"/>
    <w:rsid w:val="00285DCF"/>
    <w:rsid w:val="002862A9"/>
    <w:rsid w:val="0028650B"/>
    <w:rsid w:val="0028670D"/>
    <w:rsid w:val="00287658"/>
    <w:rsid w:val="00287B23"/>
    <w:rsid w:val="00287CB4"/>
    <w:rsid w:val="00290041"/>
    <w:rsid w:val="002900B4"/>
    <w:rsid w:val="00290359"/>
    <w:rsid w:val="002908E2"/>
    <w:rsid w:val="0029120E"/>
    <w:rsid w:val="002917F8"/>
    <w:rsid w:val="00291940"/>
    <w:rsid w:val="00291E79"/>
    <w:rsid w:val="002921B0"/>
    <w:rsid w:val="00292374"/>
    <w:rsid w:val="0029278B"/>
    <w:rsid w:val="002929CF"/>
    <w:rsid w:val="00292B8D"/>
    <w:rsid w:val="002930EA"/>
    <w:rsid w:val="002933AA"/>
    <w:rsid w:val="00293671"/>
    <w:rsid w:val="00293715"/>
    <w:rsid w:val="002942F5"/>
    <w:rsid w:val="00294529"/>
    <w:rsid w:val="00294766"/>
    <w:rsid w:val="00294BD5"/>
    <w:rsid w:val="00294C9C"/>
    <w:rsid w:val="00295517"/>
    <w:rsid w:val="00295566"/>
    <w:rsid w:val="00295899"/>
    <w:rsid w:val="00295FCA"/>
    <w:rsid w:val="00296837"/>
    <w:rsid w:val="00296C69"/>
    <w:rsid w:val="0029795B"/>
    <w:rsid w:val="00297A5A"/>
    <w:rsid w:val="002A004F"/>
    <w:rsid w:val="002A0841"/>
    <w:rsid w:val="002A0A52"/>
    <w:rsid w:val="002A0FA2"/>
    <w:rsid w:val="002A1059"/>
    <w:rsid w:val="002A10E0"/>
    <w:rsid w:val="002A142C"/>
    <w:rsid w:val="002A1792"/>
    <w:rsid w:val="002A1E7C"/>
    <w:rsid w:val="002A222E"/>
    <w:rsid w:val="002A3493"/>
    <w:rsid w:val="002A38E2"/>
    <w:rsid w:val="002A3BA8"/>
    <w:rsid w:val="002A3D51"/>
    <w:rsid w:val="002A3D6F"/>
    <w:rsid w:val="002A46AD"/>
    <w:rsid w:val="002A4D1D"/>
    <w:rsid w:val="002A5159"/>
    <w:rsid w:val="002A5257"/>
    <w:rsid w:val="002A530F"/>
    <w:rsid w:val="002A55DA"/>
    <w:rsid w:val="002A573B"/>
    <w:rsid w:val="002A5D41"/>
    <w:rsid w:val="002A5DE8"/>
    <w:rsid w:val="002A6C87"/>
    <w:rsid w:val="002A71BE"/>
    <w:rsid w:val="002A7237"/>
    <w:rsid w:val="002A72A0"/>
    <w:rsid w:val="002A76F2"/>
    <w:rsid w:val="002A7774"/>
    <w:rsid w:val="002A7D79"/>
    <w:rsid w:val="002B0AB0"/>
    <w:rsid w:val="002B0AB9"/>
    <w:rsid w:val="002B0D4F"/>
    <w:rsid w:val="002B15A3"/>
    <w:rsid w:val="002B1BEA"/>
    <w:rsid w:val="002B1E49"/>
    <w:rsid w:val="002B2836"/>
    <w:rsid w:val="002B32E7"/>
    <w:rsid w:val="002B35EE"/>
    <w:rsid w:val="002B3D4A"/>
    <w:rsid w:val="002B3F69"/>
    <w:rsid w:val="002B4288"/>
    <w:rsid w:val="002B47EA"/>
    <w:rsid w:val="002B4A3A"/>
    <w:rsid w:val="002B5024"/>
    <w:rsid w:val="002B5411"/>
    <w:rsid w:val="002B62DD"/>
    <w:rsid w:val="002B6D7C"/>
    <w:rsid w:val="002B7391"/>
    <w:rsid w:val="002B7C06"/>
    <w:rsid w:val="002C07FB"/>
    <w:rsid w:val="002C0B9C"/>
    <w:rsid w:val="002C0D5A"/>
    <w:rsid w:val="002C1023"/>
    <w:rsid w:val="002C1372"/>
    <w:rsid w:val="002C15B3"/>
    <w:rsid w:val="002C2DDC"/>
    <w:rsid w:val="002C3404"/>
    <w:rsid w:val="002C3C3B"/>
    <w:rsid w:val="002C42B5"/>
    <w:rsid w:val="002C4358"/>
    <w:rsid w:val="002C4477"/>
    <w:rsid w:val="002C4AD1"/>
    <w:rsid w:val="002C4DA9"/>
    <w:rsid w:val="002C4F7B"/>
    <w:rsid w:val="002C4FCB"/>
    <w:rsid w:val="002C5541"/>
    <w:rsid w:val="002C57BA"/>
    <w:rsid w:val="002C5F35"/>
    <w:rsid w:val="002C5F83"/>
    <w:rsid w:val="002C6227"/>
    <w:rsid w:val="002C63ED"/>
    <w:rsid w:val="002C6857"/>
    <w:rsid w:val="002C72B3"/>
    <w:rsid w:val="002C7C18"/>
    <w:rsid w:val="002C7FDD"/>
    <w:rsid w:val="002D013D"/>
    <w:rsid w:val="002D0157"/>
    <w:rsid w:val="002D0399"/>
    <w:rsid w:val="002D125C"/>
    <w:rsid w:val="002D1A9A"/>
    <w:rsid w:val="002D1B8D"/>
    <w:rsid w:val="002D2F2D"/>
    <w:rsid w:val="002D312B"/>
    <w:rsid w:val="002D340B"/>
    <w:rsid w:val="002D35BA"/>
    <w:rsid w:val="002D36E9"/>
    <w:rsid w:val="002D42D7"/>
    <w:rsid w:val="002D4CC1"/>
    <w:rsid w:val="002D4D69"/>
    <w:rsid w:val="002D5206"/>
    <w:rsid w:val="002D6088"/>
    <w:rsid w:val="002D60A4"/>
    <w:rsid w:val="002D66D6"/>
    <w:rsid w:val="002D6A05"/>
    <w:rsid w:val="002D6BE5"/>
    <w:rsid w:val="002D6D64"/>
    <w:rsid w:val="002D7AC6"/>
    <w:rsid w:val="002D7AD5"/>
    <w:rsid w:val="002E0473"/>
    <w:rsid w:val="002E05B7"/>
    <w:rsid w:val="002E0DA0"/>
    <w:rsid w:val="002E0DC8"/>
    <w:rsid w:val="002E0E7A"/>
    <w:rsid w:val="002E0EA9"/>
    <w:rsid w:val="002E176F"/>
    <w:rsid w:val="002E1C78"/>
    <w:rsid w:val="002E1CB2"/>
    <w:rsid w:val="002E1FCF"/>
    <w:rsid w:val="002E24EB"/>
    <w:rsid w:val="002E27F7"/>
    <w:rsid w:val="002E2DCD"/>
    <w:rsid w:val="002E2FA8"/>
    <w:rsid w:val="002E36B7"/>
    <w:rsid w:val="002E3DBF"/>
    <w:rsid w:val="002E3E02"/>
    <w:rsid w:val="002E4100"/>
    <w:rsid w:val="002E41FF"/>
    <w:rsid w:val="002E46E2"/>
    <w:rsid w:val="002E4794"/>
    <w:rsid w:val="002E4CA7"/>
    <w:rsid w:val="002E4E3F"/>
    <w:rsid w:val="002E523E"/>
    <w:rsid w:val="002E55F9"/>
    <w:rsid w:val="002E5AC8"/>
    <w:rsid w:val="002E5B8A"/>
    <w:rsid w:val="002E6737"/>
    <w:rsid w:val="002E6DE5"/>
    <w:rsid w:val="002E75FF"/>
    <w:rsid w:val="002E77D4"/>
    <w:rsid w:val="002F092C"/>
    <w:rsid w:val="002F1844"/>
    <w:rsid w:val="002F1C31"/>
    <w:rsid w:val="002F2192"/>
    <w:rsid w:val="002F23E5"/>
    <w:rsid w:val="002F2718"/>
    <w:rsid w:val="002F282B"/>
    <w:rsid w:val="002F2D15"/>
    <w:rsid w:val="002F4154"/>
    <w:rsid w:val="002F47BD"/>
    <w:rsid w:val="002F562B"/>
    <w:rsid w:val="002F5A67"/>
    <w:rsid w:val="002F5DB8"/>
    <w:rsid w:val="002F5FB0"/>
    <w:rsid w:val="002F63A9"/>
    <w:rsid w:val="002F673D"/>
    <w:rsid w:val="002F6873"/>
    <w:rsid w:val="002F6CB3"/>
    <w:rsid w:val="002F70BB"/>
    <w:rsid w:val="002F7F4F"/>
    <w:rsid w:val="00300004"/>
    <w:rsid w:val="00300283"/>
    <w:rsid w:val="00300C77"/>
    <w:rsid w:val="00300D64"/>
    <w:rsid w:val="0030164D"/>
    <w:rsid w:val="003018F9"/>
    <w:rsid w:val="00301B17"/>
    <w:rsid w:val="00302333"/>
    <w:rsid w:val="003027A0"/>
    <w:rsid w:val="00303A7E"/>
    <w:rsid w:val="0030405B"/>
    <w:rsid w:val="0030421A"/>
    <w:rsid w:val="0030490E"/>
    <w:rsid w:val="00304A4E"/>
    <w:rsid w:val="00304B5E"/>
    <w:rsid w:val="00305A9C"/>
    <w:rsid w:val="00305ABE"/>
    <w:rsid w:val="00305C77"/>
    <w:rsid w:val="00305CD5"/>
    <w:rsid w:val="00307448"/>
    <w:rsid w:val="00307C8A"/>
    <w:rsid w:val="00310096"/>
    <w:rsid w:val="00310A87"/>
    <w:rsid w:val="00310D5D"/>
    <w:rsid w:val="00310E00"/>
    <w:rsid w:val="00310E56"/>
    <w:rsid w:val="0031231B"/>
    <w:rsid w:val="003127F5"/>
    <w:rsid w:val="003128E1"/>
    <w:rsid w:val="00312A51"/>
    <w:rsid w:val="00313601"/>
    <w:rsid w:val="00313D7F"/>
    <w:rsid w:val="00314D81"/>
    <w:rsid w:val="00314F05"/>
    <w:rsid w:val="00315690"/>
    <w:rsid w:val="00316F4F"/>
    <w:rsid w:val="0031762F"/>
    <w:rsid w:val="0031799A"/>
    <w:rsid w:val="0032023E"/>
    <w:rsid w:val="00320279"/>
    <w:rsid w:val="0032030E"/>
    <w:rsid w:val="00320472"/>
    <w:rsid w:val="00320B4B"/>
    <w:rsid w:val="00320CEA"/>
    <w:rsid w:val="00320FE6"/>
    <w:rsid w:val="003210B0"/>
    <w:rsid w:val="00321454"/>
    <w:rsid w:val="003215B7"/>
    <w:rsid w:val="003218B1"/>
    <w:rsid w:val="00321D92"/>
    <w:rsid w:val="00321EB3"/>
    <w:rsid w:val="00322C22"/>
    <w:rsid w:val="00322DED"/>
    <w:rsid w:val="0032362B"/>
    <w:rsid w:val="003237BA"/>
    <w:rsid w:val="00323B67"/>
    <w:rsid w:val="00323D1C"/>
    <w:rsid w:val="00323F9E"/>
    <w:rsid w:val="00324171"/>
    <w:rsid w:val="003252E1"/>
    <w:rsid w:val="00325B55"/>
    <w:rsid w:val="003261C8"/>
    <w:rsid w:val="0032622C"/>
    <w:rsid w:val="0032680C"/>
    <w:rsid w:val="00326986"/>
    <w:rsid w:val="00330E3C"/>
    <w:rsid w:val="00331099"/>
    <w:rsid w:val="0033186D"/>
    <w:rsid w:val="00332048"/>
    <w:rsid w:val="00332A3E"/>
    <w:rsid w:val="00332CC5"/>
    <w:rsid w:val="0033301D"/>
    <w:rsid w:val="00333BB8"/>
    <w:rsid w:val="00333EB2"/>
    <w:rsid w:val="00334342"/>
    <w:rsid w:val="003343DA"/>
    <w:rsid w:val="0033467C"/>
    <w:rsid w:val="00334B68"/>
    <w:rsid w:val="00334B73"/>
    <w:rsid w:val="00334BD2"/>
    <w:rsid w:val="00334C3B"/>
    <w:rsid w:val="00334D91"/>
    <w:rsid w:val="00335024"/>
    <w:rsid w:val="00335A15"/>
    <w:rsid w:val="00336829"/>
    <w:rsid w:val="00336F76"/>
    <w:rsid w:val="00337030"/>
    <w:rsid w:val="003375F5"/>
    <w:rsid w:val="00337F2C"/>
    <w:rsid w:val="00337F43"/>
    <w:rsid w:val="003400B2"/>
    <w:rsid w:val="003401A9"/>
    <w:rsid w:val="00340828"/>
    <w:rsid w:val="00340B8B"/>
    <w:rsid w:val="00340EC4"/>
    <w:rsid w:val="003412FC"/>
    <w:rsid w:val="00341678"/>
    <w:rsid w:val="00341717"/>
    <w:rsid w:val="003418FF"/>
    <w:rsid w:val="00341E86"/>
    <w:rsid w:val="003427EC"/>
    <w:rsid w:val="00342AA5"/>
    <w:rsid w:val="00342C2D"/>
    <w:rsid w:val="00342C68"/>
    <w:rsid w:val="00343256"/>
    <w:rsid w:val="00343596"/>
    <w:rsid w:val="003435B9"/>
    <w:rsid w:val="003435F1"/>
    <w:rsid w:val="0034365E"/>
    <w:rsid w:val="00343822"/>
    <w:rsid w:val="00343AD6"/>
    <w:rsid w:val="0034429B"/>
    <w:rsid w:val="00344427"/>
    <w:rsid w:val="00344AEB"/>
    <w:rsid w:val="00344F90"/>
    <w:rsid w:val="0034513C"/>
    <w:rsid w:val="00345717"/>
    <w:rsid w:val="003461EE"/>
    <w:rsid w:val="0034657F"/>
    <w:rsid w:val="00346C12"/>
    <w:rsid w:val="00346E3A"/>
    <w:rsid w:val="00346EF4"/>
    <w:rsid w:val="00346FC8"/>
    <w:rsid w:val="0034716C"/>
    <w:rsid w:val="00347454"/>
    <w:rsid w:val="00347984"/>
    <w:rsid w:val="003479A6"/>
    <w:rsid w:val="0035052F"/>
    <w:rsid w:val="00350755"/>
    <w:rsid w:val="0035086B"/>
    <w:rsid w:val="003508A9"/>
    <w:rsid w:val="0035095A"/>
    <w:rsid w:val="00350F5A"/>
    <w:rsid w:val="0035189B"/>
    <w:rsid w:val="00351AB8"/>
    <w:rsid w:val="00351C2F"/>
    <w:rsid w:val="00351DE5"/>
    <w:rsid w:val="00351DF7"/>
    <w:rsid w:val="00351EAC"/>
    <w:rsid w:val="00351F2F"/>
    <w:rsid w:val="003520F2"/>
    <w:rsid w:val="00352703"/>
    <w:rsid w:val="0035272A"/>
    <w:rsid w:val="003536D2"/>
    <w:rsid w:val="00353E50"/>
    <w:rsid w:val="00353FEE"/>
    <w:rsid w:val="00354027"/>
    <w:rsid w:val="00354B17"/>
    <w:rsid w:val="00354BE1"/>
    <w:rsid w:val="00354EE8"/>
    <w:rsid w:val="00355A47"/>
    <w:rsid w:val="00355C62"/>
    <w:rsid w:val="00355CBB"/>
    <w:rsid w:val="00356127"/>
    <w:rsid w:val="003568A9"/>
    <w:rsid w:val="003569E6"/>
    <w:rsid w:val="00356BE6"/>
    <w:rsid w:val="00357531"/>
    <w:rsid w:val="00357B33"/>
    <w:rsid w:val="0036010B"/>
    <w:rsid w:val="003605A8"/>
    <w:rsid w:val="00360BED"/>
    <w:rsid w:val="00360DFE"/>
    <w:rsid w:val="00360F4A"/>
    <w:rsid w:val="00361345"/>
    <w:rsid w:val="00361807"/>
    <w:rsid w:val="00361B89"/>
    <w:rsid w:val="0036276B"/>
    <w:rsid w:val="00362781"/>
    <w:rsid w:val="003633E4"/>
    <w:rsid w:val="00363809"/>
    <w:rsid w:val="00364290"/>
    <w:rsid w:val="003642FC"/>
    <w:rsid w:val="0036460A"/>
    <w:rsid w:val="00364700"/>
    <w:rsid w:val="0036474D"/>
    <w:rsid w:val="00364A62"/>
    <w:rsid w:val="00364A97"/>
    <w:rsid w:val="00364CAA"/>
    <w:rsid w:val="00365885"/>
    <w:rsid w:val="00365DE1"/>
    <w:rsid w:val="00365E60"/>
    <w:rsid w:val="0036610F"/>
    <w:rsid w:val="003669F4"/>
    <w:rsid w:val="00366E8D"/>
    <w:rsid w:val="00366EEE"/>
    <w:rsid w:val="00367218"/>
    <w:rsid w:val="00370384"/>
    <w:rsid w:val="00370461"/>
    <w:rsid w:val="0037051E"/>
    <w:rsid w:val="00370AC0"/>
    <w:rsid w:val="0037131F"/>
    <w:rsid w:val="0037165E"/>
    <w:rsid w:val="0037245E"/>
    <w:rsid w:val="003729D1"/>
    <w:rsid w:val="00372E27"/>
    <w:rsid w:val="00373206"/>
    <w:rsid w:val="003736F7"/>
    <w:rsid w:val="00373F94"/>
    <w:rsid w:val="00374449"/>
    <w:rsid w:val="00374B2F"/>
    <w:rsid w:val="00374E75"/>
    <w:rsid w:val="0037504E"/>
    <w:rsid w:val="003752F8"/>
    <w:rsid w:val="00376385"/>
    <w:rsid w:val="003767D9"/>
    <w:rsid w:val="0037684D"/>
    <w:rsid w:val="00376A25"/>
    <w:rsid w:val="00377988"/>
    <w:rsid w:val="00377E31"/>
    <w:rsid w:val="00380EC9"/>
    <w:rsid w:val="00380F31"/>
    <w:rsid w:val="00380FE9"/>
    <w:rsid w:val="00381155"/>
    <w:rsid w:val="003815F6"/>
    <w:rsid w:val="00381B75"/>
    <w:rsid w:val="00381DA0"/>
    <w:rsid w:val="0038204C"/>
    <w:rsid w:val="0038231E"/>
    <w:rsid w:val="00382E89"/>
    <w:rsid w:val="00383382"/>
    <w:rsid w:val="0038384A"/>
    <w:rsid w:val="0038435E"/>
    <w:rsid w:val="00384B1E"/>
    <w:rsid w:val="003858C4"/>
    <w:rsid w:val="00385D89"/>
    <w:rsid w:val="00385E18"/>
    <w:rsid w:val="0038738E"/>
    <w:rsid w:val="00387A88"/>
    <w:rsid w:val="00390313"/>
    <w:rsid w:val="00390877"/>
    <w:rsid w:val="00390A8C"/>
    <w:rsid w:val="00390B56"/>
    <w:rsid w:val="00390E21"/>
    <w:rsid w:val="00391928"/>
    <w:rsid w:val="00391B39"/>
    <w:rsid w:val="00391E4B"/>
    <w:rsid w:val="003929E7"/>
    <w:rsid w:val="00392BCA"/>
    <w:rsid w:val="00392D2A"/>
    <w:rsid w:val="00392DB7"/>
    <w:rsid w:val="0039342A"/>
    <w:rsid w:val="003937C9"/>
    <w:rsid w:val="00394685"/>
    <w:rsid w:val="003951CA"/>
    <w:rsid w:val="003952AE"/>
    <w:rsid w:val="003957A5"/>
    <w:rsid w:val="003959C5"/>
    <w:rsid w:val="00395B50"/>
    <w:rsid w:val="003960CD"/>
    <w:rsid w:val="00396141"/>
    <w:rsid w:val="00396DB9"/>
    <w:rsid w:val="00397070"/>
    <w:rsid w:val="003974AE"/>
    <w:rsid w:val="00397992"/>
    <w:rsid w:val="00397CF4"/>
    <w:rsid w:val="00397D72"/>
    <w:rsid w:val="00397DE0"/>
    <w:rsid w:val="003A01C6"/>
    <w:rsid w:val="003A03E8"/>
    <w:rsid w:val="003A0CCD"/>
    <w:rsid w:val="003A0DEC"/>
    <w:rsid w:val="003A169B"/>
    <w:rsid w:val="003A1914"/>
    <w:rsid w:val="003A1A84"/>
    <w:rsid w:val="003A1E28"/>
    <w:rsid w:val="003A20B6"/>
    <w:rsid w:val="003A21FC"/>
    <w:rsid w:val="003A22CC"/>
    <w:rsid w:val="003A239A"/>
    <w:rsid w:val="003A26FE"/>
    <w:rsid w:val="003A37B4"/>
    <w:rsid w:val="003A3E8E"/>
    <w:rsid w:val="003A51E0"/>
    <w:rsid w:val="003A58B4"/>
    <w:rsid w:val="003A5BAE"/>
    <w:rsid w:val="003A60FC"/>
    <w:rsid w:val="003A6D9C"/>
    <w:rsid w:val="003A6FFF"/>
    <w:rsid w:val="003A7558"/>
    <w:rsid w:val="003A76F0"/>
    <w:rsid w:val="003B0448"/>
    <w:rsid w:val="003B05CA"/>
    <w:rsid w:val="003B096F"/>
    <w:rsid w:val="003B1989"/>
    <w:rsid w:val="003B1CB5"/>
    <w:rsid w:val="003B1E54"/>
    <w:rsid w:val="003B277C"/>
    <w:rsid w:val="003B2A3E"/>
    <w:rsid w:val="003B2A7B"/>
    <w:rsid w:val="003B2E44"/>
    <w:rsid w:val="003B3BC3"/>
    <w:rsid w:val="003B3F84"/>
    <w:rsid w:val="003B4048"/>
    <w:rsid w:val="003B47AF"/>
    <w:rsid w:val="003B497B"/>
    <w:rsid w:val="003B4AD3"/>
    <w:rsid w:val="003B4B86"/>
    <w:rsid w:val="003B508B"/>
    <w:rsid w:val="003B55CB"/>
    <w:rsid w:val="003B60A0"/>
    <w:rsid w:val="003B639C"/>
    <w:rsid w:val="003B6570"/>
    <w:rsid w:val="003B6929"/>
    <w:rsid w:val="003B795C"/>
    <w:rsid w:val="003B7DC0"/>
    <w:rsid w:val="003C0399"/>
    <w:rsid w:val="003C071F"/>
    <w:rsid w:val="003C12DD"/>
    <w:rsid w:val="003C13C7"/>
    <w:rsid w:val="003C28C9"/>
    <w:rsid w:val="003C2AF9"/>
    <w:rsid w:val="003C2D69"/>
    <w:rsid w:val="003C318B"/>
    <w:rsid w:val="003C32E3"/>
    <w:rsid w:val="003C34BF"/>
    <w:rsid w:val="003C433A"/>
    <w:rsid w:val="003C4CDB"/>
    <w:rsid w:val="003C5B5D"/>
    <w:rsid w:val="003C5F88"/>
    <w:rsid w:val="003C7897"/>
    <w:rsid w:val="003C796E"/>
    <w:rsid w:val="003C7B93"/>
    <w:rsid w:val="003D0221"/>
    <w:rsid w:val="003D0A72"/>
    <w:rsid w:val="003D0DB9"/>
    <w:rsid w:val="003D138D"/>
    <w:rsid w:val="003D1519"/>
    <w:rsid w:val="003D1937"/>
    <w:rsid w:val="003D1B35"/>
    <w:rsid w:val="003D1BB3"/>
    <w:rsid w:val="003D2182"/>
    <w:rsid w:val="003D2733"/>
    <w:rsid w:val="003D28C7"/>
    <w:rsid w:val="003D2AA6"/>
    <w:rsid w:val="003D2CBE"/>
    <w:rsid w:val="003D2CDE"/>
    <w:rsid w:val="003D3341"/>
    <w:rsid w:val="003D33BE"/>
    <w:rsid w:val="003D3A17"/>
    <w:rsid w:val="003D4179"/>
    <w:rsid w:val="003D4480"/>
    <w:rsid w:val="003D44F0"/>
    <w:rsid w:val="003D48FC"/>
    <w:rsid w:val="003D49D0"/>
    <w:rsid w:val="003D4AEC"/>
    <w:rsid w:val="003D4D3F"/>
    <w:rsid w:val="003D545A"/>
    <w:rsid w:val="003D5681"/>
    <w:rsid w:val="003D5CED"/>
    <w:rsid w:val="003D5F61"/>
    <w:rsid w:val="003D640D"/>
    <w:rsid w:val="003D6566"/>
    <w:rsid w:val="003D6734"/>
    <w:rsid w:val="003D6763"/>
    <w:rsid w:val="003D6A85"/>
    <w:rsid w:val="003D7163"/>
    <w:rsid w:val="003D7853"/>
    <w:rsid w:val="003D7BAA"/>
    <w:rsid w:val="003E0063"/>
    <w:rsid w:val="003E0A86"/>
    <w:rsid w:val="003E0F8E"/>
    <w:rsid w:val="003E0FC9"/>
    <w:rsid w:val="003E1029"/>
    <w:rsid w:val="003E10D3"/>
    <w:rsid w:val="003E1311"/>
    <w:rsid w:val="003E14D5"/>
    <w:rsid w:val="003E187B"/>
    <w:rsid w:val="003E189B"/>
    <w:rsid w:val="003E1F87"/>
    <w:rsid w:val="003E2285"/>
    <w:rsid w:val="003E2410"/>
    <w:rsid w:val="003E294F"/>
    <w:rsid w:val="003E2E14"/>
    <w:rsid w:val="003E2EB0"/>
    <w:rsid w:val="003E2F37"/>
    <w:rsid w:val="003E3110"/>
    <w:rsid w:val="003E3234"/>
    <w:rsid w:val="003E384D"/>
    <w:rsid w:val="003E3C99"/>
    <w:rsid w:val="003E3D99"/>
    <w:rsid w:val="003E3F4C"/>
    <w:rsid w:val="003E401D"/>
    <w:rsid w:val="003E4153"/>
    <w:rsid w:val="003E4416"/>
    <w:rsid w:val="003E4701"/>
    <w:rsid w:val="003E4B85"/>
    <w:rsid w:val="003E56BD"/>
    <w:rsid w:val="003E5CF9"/>
    <w:rsid w:val="003E6376"/>
    <w:rsid w:val="003E654D"/>
    <w:rsid w:val="003E6744"/>
    <w:rsid w:val="003E6766"/>
    <w:rsid w:val="003E6C79"/>
    <w:rsid w:val="003E7575"/>
    <w:rsid w:val="003E773C"/>
    <w:rsid w:val="003E7776"/>
    <w:rsid w:val="003E7A5B"/>
    <w:rsid w:val="003E7AE6"/>
    <w:rsid w:val="003F0354"/>
    <w:rsid w:val="003F0442"/>
    <w:rsid w:val="003F0D38"/>
    <w:rsid w:val="003F0D5C"/>
    <w:rsid w:val="003F1172"/>
    <w:rsid w:val="003F1378"/>
    <w:rsid w:val="003F155C"/>
    <w:rsid w:val="003F1589"/>
    <w:rsid w:val="003F16D3"/>
    <w:rsid w:val="003F181C"/>
    <w:rsid w:val="003F1E47"/>
    <w:rsid w:val="003F2186"/>
    <w:rsid w:val="003F2CA2"/>
    <w:rsid w:val="003F2E99"/>
    <w:rsid w:val="003F2F6A"/>
    <w:rsid w:val="003F4488"/>
    <w:rsid w:val="003F489F"/>
    <w:rsid w:val="003F5232"/>
    <w:rsid w:val="003F52E6"/>
    <w:rsid w:val="003F5933"/>
    <w:rsid w:val="003F5937"/>
    <w:rsid w:val="003F59D2"/>
    <w:rsid w:val="003F61B1"/>
    <w:rsid w:val="003F6ABF"/>
    <w:rsid w:val="003F6EA6"/>
    <w:rsid w:val="003F73E7"/>
    <w:rsid w:val="003F7559"/>
    <w:rsid w:val="004002EE"/>
    <w:rsid w:val="00400319"/>
    <w:rsid w:val="00400435"/>
    <w:rsid w:val="00400C11"/>
    <w:rsid w:val="00400DD1"/>
    <w:rsid w:val="00401064"/>
    <w:rsid w:val="004012BC"/>
    <w:rsid w:val="004014B2"/>
    <w:rsid w:val="004015EF"/>
    <w:rsid w:val="00401EC9"/>
    <w:rsid w:val="004032A6"/>
    <w:rsid w:val="0040363A"/>
    <w:rsid w:val="004038F0"/>
    <w:rsid w:val="004038FF"/>
    <w:rsid w:val="004039A2"/>
    <w:rsid w:val="00403BC4"/>
    <w:rsid w:val="004044A1"/>
    <w:rsid w:val="004047C8"/>
    <w:rsid w:val="0040489E"/>
    <w:rsid w:val="0040523A"/>
    <w:rsid w:val="004052CF"/>
    <w:rsid w:val="00405487"/>
    <w:rsid w:val="00406206"/>
    <w:rsid w:val="00407489"/>
    <w:rsid w:val="00407815"/>
    <w:rsid w:val="00407D0C"/>
    <w:rsid w:val="004104AA"/>
    <w:rsid w:val="00410CCF"/>
    <w:rsid w:val="00411440"/>
    <w:rsid w:val="0041144F"/>
    <w:rsid w:val="00411C31"/>
    <w:rsid w:val="00411CCA"/>
    <w:rsid w:val="00411D73"/>
    <w:rsid w:val="0041207F"/>
    <w:rsid w:val="004120E1"/>
    <w:rsid w:val="004126CC"/>
    <w:rsid w:val="00413F69"/>
    <w:rsid w:val="0041411E"/>
    <w:rsid w:val="00414568"/>
    <w:rsid w:val="00414DB4"/>
    <w:rsid w:val="00415712"/>
    <w:rsid w:val="00415776"/>
    <w:rsid w:val="00415811"/>
    <w:rsid w:val="00415837"/>
    <w:rsid w:val="0041588A"/>
    <w:rsid w:val="004159A8"/>
    <w:rsid w:val="00416445"/>
    <w:rsid w:val="0041657E"/>
    <w:rsid w:val="004166BF"/>
    <w:rsid w:val="0041692A"/>
    <w:rsid w:val="00416952"/>
    <w:rsid w:val="004170ED"/>
    <w:rsid w:val="00417D92"/>
    <w:rsid w:val="00417D94"/>
    <w:rsid w:val="004200AA"/>
    <w:rsid w:val="00420132"/>
    <w:rsid w:val="0042083D"/>
    <w:rsid w:val="00420F28"/>
    <w:rsid w:val="004229B0"/>
    <w:rsid w:val="00423A56"/>
    <w:rsid w:val="00423F80"/>
    <w:rsid w:val="00424089"/>
    <w:rsid w:val="00424382"/>
    <w:rsid w:val="004247FC"/>
    <w:rsid w:val="0042487A"/>
    <w:rsid w:val="004251CE"/>
    <w:rsid w:val="0042545A"/>
    <w:rsid w:val="004256EE"/>
    <w:rsid w:val="00425A9D"/>
    <w:rsid w:val="00426119"/>
    <w:rsid w:val="00426AC6"/>
    <w:rsid w:val="00427723"/>
    <w:rsid w:val="00427993"/>
    <w:rsid w:val="00427C5D"/>
    <w:rsid w:val="00427FAF"/>
    <w:rsid w:val="0043010F"/>
    <w:rsid w:val="004301ED"/>
    <w:rsid w:val="004302D1"/>
    <w:rsid w:val="004304A0"/>
    <w:rsid w:val="004307E4"/>
    <w:rsid w:val="00430ED6"/>
    <w:rsid w:val="00431068"/>
    <w:rsid w:val="004311B6"/>
    <w:rsid w:val="004316EB"/>
    <w:rsid w:val="004316FF"/>
    <w:rsid w:val="004329A3"/>
    <w:rsid w:val="00432F1F"/>
    <w:rsid w:val="0043362E"/>
    <w:rsid w:val="00433A6C"/>
    <w:rsid w:val="00433BD4"/>
    <w:rsid w:val="00433F40"/>
    <w:rsid w:val="00434475"/>
    <w:rsid w:val="0043450D"/>
    <w:rsid w:val="004346A9"/>
    <w:rsid w:val="004350CB"/>
    <w:rsid w:val="00435275"/>
    <w:rsid w:val="004354F2"/>
    <w:rsid w:val="00435528"/>
    <w:rsid w:val="004357EB"/>
    <w:rsid w:val="004358FC"/>
    <w:rsid w:val="00435AB7"/>
    <w:rsid w:val="00436095"/>
    <w:rsid w:val="004360D5"/>
    <w:rsid w:val="004366E3"/>
    <w:rsid w:val="00436849"/>
    <w:rsid w:val="00436868"/>
    <w:rsid w:val="00436AB1"/>
    <w:rsid w:val="00436FDF"/>
    <w:rsid w:val="00437534"/>
    <w:rsid w:val="00437632"/>
    <w:rsid w:val="00437671"/>
    <w:rsid w:val="00437751"/>
    <w:rsid w:val="004378C5"/>
    <w:rsid w:val="0044014F"/>
    <w:rsid w:val="00440257"/>
    <w:rsid w:val="00441488"/>
    <w:rsid w:val="00441D67"/>
    <w:rsid w:val="0044213E"/>
    <w:rsid w:val="0044254C"/>
    <w:rsid w:val="00442BFC"/>
    <w:rsid w:val="00443385"/>
    <w:rsid w:val="004433ED"/>
    <w:rsid w:val="004436DA"/>
    <w:rsid w:val="00443ACA"/>
    <w:rsid w:val="00444063"/>
    <w:rsid w:val="004443C7"/>
    <w:rsid w:val="004445C2"/>
    <w:rsid w:val="00444A32"/>
    <w:rsid w:val="00444BED"/>
    <w:rsid w:val="00445A35"/>
    <w:rsid w:val="00445C95"/>
    <w:rsid w:val="00445D4B"/>
    <w:rsid w:val="004460E9"/>
    <w:rsid w:val="0044640B"/>
    <w:rsid w:val="00446466"/>
    <w:rsid w:val="00446534"/>
    <w:rsid w:val="004472EF"/>
    <w:rsid w:val="0045030C"/>
    <w:rsid w:val="00450475"/>
    <w:rsid w:val="00450588"/>
    <w:rsid w:val="0045099F"/>
    <w:rsid w:val="00450C8F"/>
    <w:rsid w:val="00450E29"/>
    <w:rsid w:val="00452083"/>
    <w:rsid w:val="00453006"/>
    <w:rsid w:val="00453052"/>
    <w:rsid w:val="004534E1"/>
    <w:rsid w:val="004561EC"/>
    <w:rsid w:val="004564C3"/>
    <w:rsid w:val="00456806"/>
    <w:rsid w:val="00456A2D"/>
    <w:rsid w:val="00456ABD"/>
    <w:rsid w:val="00457706"/>
    <w:rsid w:val="004578DA"/>
    <w:rsid w:val="00457AB8"/>
    <w:rsid w:val="00457BD9"/>
    <w:rsid w:val="00457EF9"/>
    <w:rsid w:val="004611C2"/>
    <w:rsid w:val="0046167E"/>
    <w:rsid w:val="004617F2"/>
    <w:rsid w:val="00461B6C"/>
    <w:rsid w:val="004621F2"/>
    <w:rsid w:val="00462A6A"/>
    <w:rsid w:val="00462BFA"/>
    <w:rsid w:val="00463683"/>
    <w:rsid w:val="004636E2"/>
    <w:rsid w:val="00463F47"/>
    <w:rsid w:val="0046425C"/>
    <w:rsid w:val="00464941"/>
    <w:rsid w:val="00464B2C"/>
    <w:rsid w:val="00464D09"/>
    <w:rsid w:val="004651CE"/>
    <w:rsid w:val="0046575C"/>
    <w:rsid w:val="0046592C"/>
    <w:rsid w:val="00465A3B"/>
    <w:rsid w:val="00465C6C"/>
    <w:rsid w:val="00465E51"/>
    <w:rsid w:val="00466CFC"/>
    <w:rsid w:val="00467118"/>
    <w:rsid w:val="00467562"/>
    <w:rsid w:val="00467BD2"/>
    <w:rsid w:val="00467D73"/>
    <w:rsid w:val="00470974"/>
    <w:rsid w:val="00470A54"/>
    <w:rsid w:val="00471031"/>
    <w:rsid w:val="00471055"/>
    <w:rsid w:val="0047160E"/>
    <w:rsid w:val="0047168F"/>
    <w:rsid w:val="004723D4"/>
    <w:rsid w:val="00472C60"/>
    <w:rsid w:val="00472E04"/>
    <w:rsid w:val="004731D0"/>
    <w:rsid w:val="00473446"/>
    <w:rsid w:val="004738B8"/>
    <w:rsid w:val="00473AE1"/>
    <w:rsid w:val="0047406C"/>
    <w:rsid w:val="0047425B"/>
    <w:rsid w:val="00474A37"/>
    <w:rsid w:val="00474A73"/>
    <w:rsid w:val="00475C28"/>
    <w:rsid w:val="00475D39"/>
    <w:rsid w:val="00476967"/>
    <w:rsid w:val="00476F18"/>
    <w:rsid w:val="0047764E"/>
    <w:rsid w:val="00480383"/>
    <w:rsid w:val="0048212D"/>
    <w:rsid w:val="004826FD"/>
    <w:rsid w:val="00482990"/>
    <w:rsid w:val="00482A26"/>
    <w:rsid w:val="00483234"/>
    <w:rsid w:val="0048329A"/>
    <w:rsid w:val="00483D70"/>
    <w:rsid w:val="00484DBF"/>
    <w:rsid w:val="00485D01"/>
    <w:rsid w:val="00485DA3"/>
    <w:rsid w:val="0048615E"/>
    <w:rsid w:val="004862A0"/>
    <w:rsid w:val="004865AC"/>
    <w:rsid w:val="00487365"/>
    <w:rsid w:val="00487897"/>
    <w:rsid w:val="00487A2D"/>
    <w:rsid w:val="0049001E"/>
    <w:rsid w:val="00490178"/>
    <w:rsid w:val="004905C4"/>
    <w:rsid w:val="004909F6"/>
    <w:rsid w:val="00490FAF"/>
    <w:rsid w:val="004917E9"/>
    <w:rsid w:val="00491A90"/>
    <w:rsid w:val="00491AA4"/>
    <w:rsid w:val="00491B66"/>
    <w:rsid w:val="00492022"/>
    <w:rsid w:val="0049211A"/>
    <w:rsid w:val="0049216C"/>
    <w:rsid w:val="0049251C"/>
    <w:rsid w:val="0049262D"/>
    <w:rsid w:val="00492FDB"/>
    <w:rsid w:val="0049315C"/>
    <w:rsid w:val="004934FF"/>
    <w:rsid w:val="0049370C"/>
    <w:rsid w:val="00493710"/>
    <w:rsid w:val="004940AD"/>
    <w:rsid w:val="0049432A"/>
    <w:rsid w:val="0049441C"/>
    <w:rsid w:val="00494C00"/>
    <w:rsid w:val="00495275"/>
    <w:rsid w:val="0049529E"/>
    <w:rsid w:val="00495B3E"/>
    <w:rsid w:val="00495D74"/>
    <w:rsid w:val="004963B9"/>
    <w:rsid w:val="00496E86"/>
    <w:rsid w:val="004970A7"/>
    <w:rsid w:val="004977E8"/>
    <w:rsid w:val="00497BFE"/>
    <w:rsid w:val="00497C7C"/>
    <w:rsid w:val="004A002A"/>
    <w:rsid w:val="004A17B3"/>
    <w:rsid w:val="004A18A3"/>
    <w:rsid w:val="004A1CD5"/>
    <w:rsid w:val="004A1E6D"/>
    <w:rsid w:val="004A27CA"/>
    <w:rsid w:val="004A282B"/>
    <w:rsid w:val="004A3257"/>
    <w:rsid w:val="004A326E"/>
    <w:rsid w:val="004A3ABC"/>
    <w:rsid w:val="004A3B8E"/>
    <w:rsid w:val="004A3D52"/>
    <w:rsid w:val="004A432E"/>
    <w:rsid w:val="004A4923"/>
    <w:rsid w:val="004A4F9F"/>
    <w:rsid w:val="004A4FE5"/>
    <w:rsid w:val="004A515E"/>
    <w:rsid w:val="004A5635"/>
    <w:rsid w:val="004A6DD1"/>
    <w:rsid w:val="004A7124"/>
    <w:rsid w:val="004A73A4"/>
    <w:rsid w:val="004A756B"/>
    <w:rsid w:val="004B0854"/>
    <w:rsid w:val="004B0D2A"/>
    <w:rsid w:val="004B0D33"/>
    <w:rsid w:val="004B1419"/>
    <w:rsid w:val="004B1504"/>
    <w:rsid w:val="004B1F9C"/>
    <w:rsid w:val="004B2602"/>
    <w:rsid w:val="004B29DA"/>
    <w:rsid w:val="004B2B4D"/>
    <w:rsid w:val="004B2D7D"/>
    <w:rsid w:val="004B2E22"/>
    <w:rsid w:val="004B2EFF"/>
    <w:rsid w:val="004B321F"/>
    <w:rsid w:val="004B32F6"/>
    <w:rsid w:val="004B33B9"/>
    <w:rsid w:val="004B3A91"/>
    <w:rsid w:val="004B3C30"/>
    <w:rsid w:val="004B428B"/>
    <w:rsid w:val="004B4505"/>
    <w:rsid w:val="004B4B82"/>
    <w:rsid w:val="004B5246"/>
    <w:rsid w:val="004B5317"/>
    <w:rsid w:val="004B5801"/>
    <w:rsid w:val="004B58FE"/>
    <w:rsid w:val="004B5A6C"/>
    <w:rsid w:val="004B5A97"/>
    <w:rsid w:val="004B6319"/>
    <w:rsid w:val="004B6609"/>
    <w:rsid w:val="004B69A2"/>
    <w:rsid w:val="004B7028"/>
    <w:rsid w:val="004B70A9"/>
    <w:rsid w:val="004B7860"/>
    <w:rsid w:val="004B787D"/>
    <w:rsid w:val="004B7DB1"/>
    <w:rsid w:val="004B7F38"/>
    <w:rsid w:val="004C042F"/>
    <w:rsid w:val="004C08A9"/>
    <w:rsid w:val="004C09A9"/>
    <w:rsid w:val="004C1307"/>
    <w:rsid w:val="004C1932"/>
    <w:rsid w:val="004C1B90"/>
    <w:rsid w:val="004C2491"/>
    <w:rsid w:val="004C2A8C"/>
    <w:rsid w:val="004C2EE3"/>
    <w:rsid w:val="004C345F"/>
    <w:rsid w:val="004C3774"/>
    <w:rsid w:val="004C4C46"/>
    <w:rsid w:val="004C520B"/>
    <w:rsid w:val="004C53C6"/>
    <w:rsid w:val="004C54D5"/>
    <w:rsid w:val="004C5E78"/>
    <w:rsid w:val="004C6151"/>
    <w:rsid w:val="004C6162"/>
    <w:rsid w:val="004C6C8E"/>
    <w:rsid w:val="004C7346"/>
    <w:rsid w:val="004C7793"/>
    <w:rsid w:val="004C7E7D"/>
    <w:rsid w:val="004D0CBC"/>
    <w:rsid w:val="004D0D1E"/>
    <w:rsid w:val="004D11CA"/>
    <w:rsid w:val="004D174B"/>
    <w:rsid w:val="004D17BF"/>
    <w:rsid w:val="004D1A04"/>
    <w:rsid w:val="004D1CA1"/>
    <w:rsid w:val="004D1FD6"/>
    <w:rsid w:val="004D2579"/>
    <w:rsid w:val="004D277D"/>
    <w:rsid w:val="004D34CD"/>
    <w:rsid w:val="004D3935"/>
    <w:rsid w:val="004D39C5"/>
    <w:rsid w:val="004D3D6E"/>
    <w:rsid w:val="004D3EA2"/>
    <w:rsid w:val="004D4373"/>
    <w:rsid w:val="004D45D3"/>
    <w:rsid w:val="004D4838"/>
    <w:rsid w:val="004D488E"/>
    <w:rsid w:val="004D5050"/>
    <w:rsid w:val="004D5120"/>
    <w:rsid w:val="004D52A1"/>
    <w:rsid w:val="004D5AB4"/>
    <w:rsid w:val="004D6238"/>
    <w:rsid w:val="004D6272"/>
    <w:rsid w:val="004D6C83"/>
    <w:rsid w:val="004D6E40"/>
    <w:rsid w:val="004D733F"/>
    <w:rsid w:val="004D74A2"/>
    <w:rsid w:val="004D7D09"/>
    <w:rsid w:val="004D7EA4"/>
    <w:rsid w:val="004E0100"/>
    <w:rsid w:val="004E0C3C"/>
    <w:rsid w:val="004E0F70"/>
    <w:rsid w:val="004E17AA"/>
    <w:rsid w:val="004E1AED"/>
    <w:rsid w:val="004E1B49"/>
    <w:rsid w:val="004E1D61"/>
    <w:rsid w:val="004E218D"/>
    <w:rsid w:val="004E2679"/>
    <w:rsid w:val="004E30E2"/>
    <w:rsid w:val="004E3102"/>
    <w:rsid w:val="004E409B"/>
    <w:rsid w:val="004E4383"/>
    <w:rsid w:val="004E43E2"/>
    <w:rsid w:val="004E4870"/>
    <w:rsid w:val="004E4E46"/>
    <w:rsid w:val="004E4E99"/>
    <w:rsid w:val="004E589F"/>
    <w:rsid w:val="004E5B78"/>
    <w:rsid w:val="004E62F2"/>
    <w:rsid w:val="004E6583"/>
    <w:rsid w:val="004E658D"/>
    <w:rsid w:val="004E680E"/>
    <w:rsid w:val="004E68E5"/>
    <w:rsid w:val="004E6AF6"/>
    <w:rsid w:val="004E6DD3"/>
    <w:rsid w:val="004E7005"/>
    <w:rsid w:val="004F07E6"/>
    <w:rsid w:val="004F0927"/>
    <w:rsid w:val="004F0CCA"/>
    <w:rsid w:val="004F1254"/>
    <w:rsid w:val="004F17FE"/>
    <w:rsid w:val="004F1820"/>
    <w:rsid w:val="004F18BF"/>
    <w:rsid w:val="004F2013"/>
    <w:rsid w:val="004F250E"/>
    <w:rsid w:val="004F27E6"/>
    <w:rsid w:val="004F28B3"/>
    <w:rsid w:val="004F2C68"/>
    <w:rsid w:val="004F2E78"/>
    <w:rsid w:val="004F2EB2"/>
    <w:rsid w:val="004F3191"/>
    <w:rsid w:val="004F368A"/>
    <w:rsid w:val="004F385C"/>
    <w:rsid w:val="004F385E"/>
    <w:rsid w:val="004F4097"/>
    <w:rsid w:val="004F438F"/>
    <w:rsid w:val="004F4533"/>
    <w:rsid w:val="004F45C9"/>
    <w:rsid w:val="004F4735"/>
    <w:rsid w:val="004F4A29"/>
    <w:rsid w:val="004F5267"/>
    <w:rsid w:val="004F5C3D"/>
    <w:rsid w:val="004F5ECB"/>
    <w:rsid w:val="004F6C73"/>
    <w:rsid w:val="004F6E04"/>
    <w:rsid w:val="004F7FFA"/>
    <w:rsid w:val="00500850"/>
    <w:rsid w:val="00500D0E"/>
    <w:rsid w:val="005017B4"/>
    <w:rsid w:val="0050189A"/>
    <w:rsid w:val="00501978"/>
    <w:rsid w:val="00501D54"/>
    <w:rsid w:val="00501DC8"/>
    <w:rsid w:val="00502079"/>
    <w:rsid w:val="005021A2"/>
    <w:rsid w:val="005025A1"/>
    <w:rsid w:val="00502BCE"/>
    <w:rsid w:val="00502C2B"/>
    <w:rsid w:val="0050318D"/>
    <w:rsid w:val="0050426F"/>
    <w:rsid w:val="0050432A"/>
    <w:rsid w:val="005047B6"/>
    <w:rsid w:val="00504C3F"/>
    <w:rsid w:val="00504D07"/>
    <w:rsid w:val="00504EB8"/>
    <w:rsid w:val="00505570"/>
    <w:rsid w:val="0050596D"/>
    <w:rsid w:val="005059CC"/>
    <w:rsid w:val="00505C00"/>
    <w:rsid w:val="00505C81"/>
    <w:rsid w:val="00505E76"/>
    <w:rsid w:val="00505F15"/>
    <w:rsid w:val="00506285"/>
    <w:rsid w:val="005062AC"/>
    <w:rsid w:val="00506650"/>
    <w:rsid w:val="005066D6"/>
    <w:rsid w:val="00506734"/>
    <w:rsid w:val="00506B31"/>
    <w:rsid w:val="00507A3D"/>
    <w:rsid w:val="005101F4"/>
    <w:rsid w:val="005102BB"/>
    <w:rsid w:val="00510368"/>
    <w:rsid w:val="005106AB"/>
    <w:rsid w:val="00510783"/>
    <w:rsid w:val="00510F3B"/>
    <w:rsid w:val="00511660"/>
    <w:rsid w:val="00512316"/>
    <w:rsid w:val="00512747"/>
    <w:rsid w:val="00512B9C"/>
    <w:rsid w:val="005137F3"/>
    <w:rsid w:val="00514066"/>
    <w:rsid w:val="00514AFF"/>
    <w:rsid w:val="00514FEC"/>
    <w:rsid w:val="005154A8"/>
    <w:rsid w:val="00515F19"/>
    <w:rsid w:val="0051614E"/>
    <w:rsid w:val="00516566"/>
    <w:rsid w:val="00516928"/>
    <w:rsid w:val="00516E97"/>
    <w:rsid w:val="005172DD"/>
    <w:rsid w:val="0051756E"/>
    <w:rsid w:val="00517CAB"/>
    <w:rsid w:val="00520343"/>
    <w:rsid w:val="005206C3"/>
    <w:rsid w:val="00520841"/>
    <w:rsid w:val="0052128C"/>
    <w:rsid w:val="005218DA"/>
    <w:rsid w:val="00521C2B"/>
    <w:rsid w:val="00521DCF"/>
    <w:rsid w:val="0052262E"/>
    <w:rsid w:val="00522651"/>
    <w:rsid w:val="00522F02"/>
    <w:rsid w:val="005231E2"/>
    <w:rsid w:val="005234FA"/>
    <w:rsid w:val="0052377B"/>
    <w:rsid w:val="005237DD"/>
    <w:rsid w:val="00523FA3"/>
    <w:rsid w:val="00524396"/>
    <w:rsid w:val="00524406"/>
    <w:rsid w:val="00524E40"/>
    <w:rsid w:val="00525113"/>
    <w:rsid w:val="00525611"/>
    <w:rsid w:val="00525F07"/>
    <w:rsid w:val="005265AF"/>
    <w:rsid w:val="005266FD"/>
    <w:rsid w:val="00526991"/>
    <w:rsid w:val="00526C60"/>
    <w:rsid w:val="00526D4C"/>
    <w:rsid w:val="00526F51"/>
    <w:rsid w:val="00527055"/>
    <w:rsid w:val="0052716E"/>
    <w:rsid w:val="00527292"/>
    <w:rsid w:val="005272B2"/>
    <w:rsid w:val="005275B9"/>
    <w:rsid w:val="005275CF"/>
    <w:rsid w:val="0052766E"/>
    <w:rsid w:val="00527A16"/>
    <w:rsid w:val="00527A4C"/>
    <w:rsid w:val="00527C0A"/>
    <w:rsid w:val="00527C1A"/>
    <w:rsid w:val="00527C4C"/>
    <w:rsid w:val="00530623"/>
    <w:rsid w:val="00530742"/>
    <w:rsid w:val="0053148E"/>
    <w:rsid w:val="00531694"/>
    <w:rsid w:val="00531D61"/>
    <w:rsid w:val="0053261C"/>
    <w:rsid w:val="00532945"/>
    <w:rsid w:val="00532A12"/>
    <w:rsid w:val="0053372F"/>
    <w:rsid w:val="00533F45"/>
    <w:rsid w:val="005340DB"/>
    <w:rsid w:val="0053488F"/>
    <w:rsid w:val="00534AAC"/>
    <w:rsid w:val="005351D5"/>
    <w:rsid w:val="005355DA"/>
    <w:rsid w:val="005357FB"/>
    <w:rsid w:val="0053585B"/>
    <w:rsid w:val="005359A1"/>
    <w:rsid w:val="00535A78"/>
    <w:rsid w:val="00535AB5"/>
    <w:rsid w:val="00535C97"/>
    <w:rsid w:val="00535FC5"/>
    <w:rsid w:val="00536034"/>
    <w:rsid w:val="005362CD"/>
    <w:rsid w:val="005365DF"/>
    <w:rsid w:val="00536678"/>
    <w:rsid w:val="00536688"/>
    <w:rsid w:val="005367C0"/>
    <w:rsid w:val="005367FE"/>
    <w:rsid w:val="005368EE"/>
    <w:rsid w:val="00536909"/>
    <w:rsid w:val="0053703C"/>
    <w:rsid w:val="005378FD"/>
    <w:rsid w:val="00537A98"/>
    <w:rsid w:val="00537B82"/>
    <w:rsid w:val="00537D8D"/>
    <w:rsid w:val="005407AC"/>
    <w:rsid w:val="00541240"/>
    <w:rsid w:val="0054178C"/>
    <w:rsid w:val="00541B33"/>
    <w:rsid w:val="00541E85"/>
    <w:rsid w:val="0054260A"/>
    <w:rsid w:val="005429E8"/>
    <w:rsid w:val="00542E17"/>
    <w:rsid w:val="00543559"/>
    <w:rsid w:val="0054394C"/>
    <w:rsid w:val="005441D5"/>
    <w:rsid w:val="0054421D"/>
    <w:rsid w:val="005443BA"/>
    <w:rsid w:val="005444BD"/>
    <w:rsid w:val="00544683"/>
    <w:rsid w:val="005447D8"/>
    <w:rsid w:val="00544985"/>
    <w:rsid w:val="00544CBA"/>
    <w:rsid w:val="00544D78"/>
    <w:rsid w:val="00545498"/>
    <w:rsid w:val="00545BCC"/>
    <w:rsid w:val="00546318"/>
    <w:rsid w:val="0054632C"/>
    <w:rsid w:val="00546AE4"/>
    <w:rsid w:val="00546C66"/>
    <w:rsid w:val="00546E46"/>
    <w:rsid w:val="00547205"/>
    <w:rsid w:val="005473E3"/>
    <w:rsid w:val="005474B5"/>
    <w:rsid w:val="005475F2"/>
    <w:rsid w:val="005479FC"/>
    <w:rsid w:val="00547B2C"/>
    <w:rsid w:val="00547E02"/>
    <w:rsid w:val="0055104A"/>
    <w:rsid w:val="005516F5"/>
    <w:rsid w:val="005516F9"/>
    <w:rsid w:val="00552023"/>
    <w:rsid w:val="005520E5"/>
    <w:rsid w:val="005522AA"/>
    <w:rsid w:val="005530D1"/>
    <w:rsid w:val="005531AA"/>
    <w:rsid w:val="00553D88"/>
    <w:rsid w:val="005548CC"/>
    <w:rsid w:val="005549FF"/>
    <w:rsid w:val="00554C27"/>
    <w:rsid w:val="00554ED3"/>
    <w:rsid w:val="005553E9"/>
    <w:rsid w:val="00555BA7"/>
    <w:rsid w:val="00555FDF"/>
    <w:rsid w:val="00556342"/>
    <w:rsid w:val="00556501"/>
    <w:rsid w:val="005566D0"/>
    <w:rsid w:val="005566D2"/>
    <w:rsid w:val="005567F7"/>
    <w:rsid w:val="00556AA0"/>
    <w:rsid w:val="005572A3"/>
    <w:rsid w:val="00557339"/>
    <w:rsid w:val="00557467"/>
    <w:rsid w:val="00560655"/>
    <w:rsid w:val="00560710"/>
    <w:rsid w:val="0056085D"/>
    <w:rsid w:val="00560904"/>
    <w:rsid w:val="00561EAA"/>
    <w:rsid w:val="0056242B"/>
    <w:rsid w:val="00562643"/>
    <w:rsid w:val="00562EFE"/>
    <w:rsid w:val="00563D07"/>
    <w:rsid w:val="005644D4"/>
    <w:rsid w:val="00564523"/>
    <w:rsid w:val="005646AC"/>
    <w:rsid w:val="005646B0"/>
    <w:rsid w:val="00564750"/>
    <w:rsid w:val="005653CC"/>
    <w:rsid w:val="005656C2"/>
    <w:rsid w:val="0056661C"/>
    <w:rsid w:val="00566935"/>
    <w:rsid w:val="00566C41"/>
    <w:rsid w:val="00566D94"/>
    <w:rsid w:val="00567CB4"/>
    <w:rsid w:val="00570220"/>
    <w:rsid w:val="005702C4"/>
    <w:rsid w:val="005702C5"/>
    <w:rsid w:val="005704F8"/>
    <w:rsid w:val="00570773"/>
    <w:rsid w:val="00570E7E"/>
    <w:rsid w:val="005710EE"/>
    <w:rsid w:val="00571956"/>
    <w:rsid w:val="005721AA"/>
    <w:rsid w:val="00572870"/>
    <w:rsid w:val="00572B69"/>
    <w:rsid w:val="0057331F"/>
    <w:rsid w:val="00573942"/>
    <w:rsid w:val="005739BE"/>
    <w:rsid w:val="00573C9E"/>
    <w:rsid w:val="005742CF"/>
    <w:rsid w:val="005746C1"/>
    <w:rsid w:val="00574821"/>
    <w:rsid w:val="00574840"/>
    <w:rsid w:val="005748E0"/>
    <w:rsid w:val="00574DB1"/>
    <w:rsid w:val="00574E65"/>
    <w:rsid w:val="005756B7"/>
    <w:rsid w:val="005759C2"/>
    <w:rsid w:val="00575FB3"/>
    <w:rsid w:val="005765D6"/>
    <w:rsid w:val="005765F1"/>
    <w:rsid w:val="00577026"/>
    <w:rsid w:val="005775DA"/>
    <w:rsid w:val="00577711"/>
    <w:rsid w:val="00577869"/>
    <w:rsid w:val="00580034"/>
    <w:rsid w:val="005802ED"/>
    <w:rsid w:val="0058033A"/>
    <w:rsid w:val="00580655"/>
    <w:rsid w:val="00580FCF"/>
    <w:rsid w:val="00581110"/>
    <w:rsid w:val="00581332"/>
    <w:rsid w:val="005821F5"/>
    <w:rsid w:val="005823A6"/>
    <w:rsid w:val="00582535"/>
    <w:rsid w:val="00582D48"/>
    <w:rsid w:val="0058304C"/>
    <w:rsid w:val="00583219"/>
    <w:rsid w:val="00583865"/>
    <w:rsid w:val="00583C10"/>
    <w:rsid w:val="00583E19"/>
    <w:rsid w:val="0058402E"/>
    <w:rsid w:val="00584311"/>
    <w:rsid w:val="00584363"/>
    <w:rsid w:val="0058445F"/>
    <w:rsid w:val="0058467B"/>
    <w:rsid w:val="005856E9"/>
    <w:rsid w:val="00585918"/>
    <w:rsid w:val="0058598F"/>
    <w:rsid w:val="00586901"/>
    <w:rsid w:val="00586B85"/>
    <w:rsid w:val="00586CEE"/>
    <w:rsid w:val="005873D6"/>
    <w:rsid w:val="00587A0C"/>
    <w:rsid w:val="00587C0E"/>
    <w:rsid w:val="00587C2D"/>
    <w:rsid w:val="00587D1D"/>
    <w:rsid w:val="00587DF3"/>
    <w:rsid w:val="00587FB1"/>
    <w:rsid w:val="00590139"/>
    <w:rsid w:val="00590B07"/>
    <w:rsid w:val="00590B3B"/>
    <w:rsid w:val="00590CE4"/>
    <w:rsid w:val="00591ED4"/>
    <w:rsid w:val="0059287E"/>
    <w:rsid w:val="00592BFC"/>
    <w:rsid w:val="00592DAB"/>
    <w:rsid w:val="00592ED7"/>
    <w:rsid w:val="00593154"/>
    <w:rsid w:val="00593157"/>
    <w:rsid w:val="0059377A"/>
    <w:rsid w:val="00593839"/>
    <w:rsid w:val="00593B21"/>
    <w:rsid w:val="00594AC7"/>
    <w:rsid w:val="00594BD9"/>
    <w:rsid w:val="00594FC4"/>
    <w:rsid w:val="00595011"/>
    <w:rsid w:val="005952B2"/>
    <w:rsid w:val="005955E0"/>
    <w:rsid w:val="005956B1"/>
    <w:rsid w:val="00595887"/>
    <w:rsid w:val="00595CF3"/>
    <w:rsid w:val="00596062"/>
    <w:rsid w:val="005970E5"/>
    <w:rsid w:val="005978E6"/>
    <w:rsid w:val="00597E55"/>
    <w:rsid w:val="005A0240"/>
    <w:rsid w:val="005A082C"/>
    <w:rsid w:val="005A09CF"/>
    <w:rsid w:val="005A0B97"/>
    <w:rsid w:val="005A1BCF"/>
    <w:rsid w:val="005A1D8D"/>
    <w:rsid w:val="005A20B4"/>
    <w:rsid w:val="005A27CF"/>
    <w:rsid w:val="005A2D48"/>
    <w:rsid w:val="005A31AC"/>
    <w:rsid w:val="005A383F"/>
    <w:rsid w:val="005A3907"/>
    <w:rsid w:val="005A3C1C"/>
    <w:rsid w:val="005A3DC9"/>
    <w:rsid w:val="005A40EE"/>
    <w:rsid w:val="005A41AA"/>
    <w:rsid w:val="005A474B"/>
    <w:rsid w:val="005A4C4F"/>
    <w:rsid w:val="005A4C8E"/>
    <w:rsid w:val="005A5CFF"/>
    <w:rsid w:val="005A5DEE"/>
    <w:rsid w:val="005A5E1A"/>
    <w:rsid w:val="005A64A9"/>
    <w:rsid w:val="005A6B88"/>
    <w:rsid w:val="005A765B"/>
    <w:rsid w:val="005B01DB"/>
    <w:rsid w:val="005B07DB"/>
    <w:rsid w:val="005B0F57"/>
    <w:rsid w:val="005B0FF9"/>
    <w:rsid w:val="005B16BC"/>
    <w:rsid w:val="005B16F0"/>
    <w:rsid w:val="005B1A3E"/>
    <w:rsid w:val="005B2284"/>
    <w:rsid w:val="005B37F7"/>
    <w:rsid w:val="005B4115"/>
    <w:rsid w:val="005B457C"/>
    <w:rsid w:val="005B4863"/>
    <w:rsid w:val="005B495A"/>
    <w:rsid w:val="005B550A"/>
    <w:rsid w:val="005B5EB6"/>
    <w:rsid w:val="005B5EFF"/>
    <w:rsid w:val="005B60F1"/>
    <w:rsid w:val="005B65A9"/>
    <w:rsid w:val="005B6E3E"/>
    <w:rsid w:val="005B730F"/>
    <w:rsid w:val="005B7415"/>
    <w:rsid w:val="005B7AE8"/>
    <w:rsid w:val="005B7E25"/>
    <w:rsid w:val="005C0606"/>
    <w:rsid w:val="005C07FA"/>
    <w:rsid w:val="005C13C8"/>
    <w:rsid w:val="005C17DA"/>
    <w:rsid w:val="005C1834"/>
    <w:rsid w:val="005C1BA7"/>
    <w:rsid w:val="005C2034"/>
    <w:rsid w:val="005C31CB"/>
    <w:rsid w:val="005C3574"/>
    <w:rsid w:val="005C372A"/>
    <w:rsid w:val="005C4BA0"/>
    <w:rsid w:val="005C4F88"/>
    <w:rsid w:val="005C553D"/>
    <w:rsid w:val="005C561C"/>
    <w:rsid w:val="005C57E3"/>
    <w:rsid w:val="005C6502"/>
    <w:rsid w:val="005C6726"/>
    <w:rsid w:val="005C689F"/>
    <w:rsid w:val="005C6946"/>
    <w:rsid w:val="005C6C53"/>
    <w:rsid w:val="005C702E"/>
    <w:rsid w:val="005C7153"/>
    <w:rsid w:val="005C71BD"/>
    <w:rsid w:val="005C7313"/>
    <w:rsid w:val="005C7949"/>
    <w:rsid w:val="005C7984"/>
    <w:rsid w:val="005D026E"/>
    <w:rsid w:val="005D0EAA"/>
    <w:rsid w:val="005D0ED6"/>
    <w:rsid w:val="005D178C"/>
    <w:rsid w:val="005D1DCA"/>
    <w:rsid w:val="005D2396"/>
    <w:rsid w:val="005D2AC3"/>
    <w:rsid w:val="005D2B0E"/>
    <w:rsid w:val="005D2C44"/>
    <w:rsid w:val="005D2CB2"/>
    <w:rsid w:val="005D3071"/>
    <w:rsid w:val="005D3A36"/>
    <w:rsid w:val="005D3E2A"/>
    <w:rsid w:val="005D4217"/>
    <w:rsid w:val="005D43A4"/>
    <w:rsid w:val="005D5BAC"/>
    <w:rsid w:val="005D5EB8"/>
    <w:rsid w:val="005D61CE"/>
    <w:rsid w:val="005D67DD"/>
    <w:rsid w:val="005D6A0A"/>
    <w:rsid w:val="005D7031"/>
    <w:rsid w:val="005D718B"/>
    <w:rsid w:val="005D726E"/>
    <w:rsid w:val="005D7A81"/>
    <w:rsid w:val="005E0361"/>
    <w:rsid w:val="005E041E"/>
    <w:rsid w:val="005E0458"/>
    <w:rsid w:val="005E09C3"/>
    <w:rsid w:val="005E0C42"/>
    <w:rsid w:val="005E0DCA"/>
    <w:rsid w:val="005E12AF"/>
    <w:rsid w:val="005E130E"/>
    <w:rsid w:val="005E250B"/>
    <w:rsid w:val="005E2721"/>
    <w:rsid w:val="005E2BA9"/>
    <w:rsid w:val="005E33BD"/>
    <w:rsid w:val="005E3597"/>
    <w:rsid w:val="005E370A"/>
    <w:rsid w:val="005E45B6"/>
    <w:rsid w:val="005E5720"/>
    <w:rsid w:val="005E5C02"/>
    <w:rsid w:val="005E6F75"/>
    <w:rsid w:val="005E720F"/>
    <w:rsid w:val="005E78ED"/>
    <w:rsid w:val="005E7A41"/>
    <w:rsid w:val="005E7DC1"/>
    <w:rsid w:val="005F09E4"/>
    <w:rsid w:val="005F12F3"/>
    <w:rsid w:val="005F1729"/>
    <w:rsid w:val="005F1A5A"/>
    <w:rsid w:val="005F2634"/>
    <w:rsid w:val="005F2E5E"/>
    <w:rsid w:val="005F3733"/>
    <w:rsid w:val="005F3782"/>
    <w:rsid w:val="005F43D3"/>
    <w:rsid w:val="005F43DF"/>
    <w:rsid w:val="005F4735"/>
    <w:rsid w:val="005F4781"/>
    <w:rsid w:val="005F4918"/>
    <w:rsid w:val="005F49F6"/>
    <w:rsid w:val="005F4AE9"/>
    <w:rsid w:val="005F5593"/>
    <w:rsid w:val="005F561C"/>
    <w:rsid w:val="005F5D7B"/>
    <w:rsid w:val="005F5F0A"/>
    <w:rsid w:val="005F6001"/>
    <w:rsid w:val="005F61B3"/>
    <w:rsid w:val="005F65A2"/>
    <w:rsid w:val="005F66E5"/>
    <w:rsid w:val="005F688B"/>
    <w:rsid w:val="005F6D63"/>
    <w:rsid w:val="005F73F8"/>
    <w:rsid w:val="005F7472"/>
    <w:rsid w:val="005F74B6"/>
    <w:rsid w:val="005F769E"/>
    <w:rsid w:val="005F78B9"/>
    <w:rsid w:val="005F7B8D"/>
    <w:rsid w:val="005F7F3F"/>
    <w:rsid w:val="00600274"/>
    <w:rsid w:val="00600B37"/>
    <w:rsid w:val="00600E4E"/>
    <w:rsid w:val="0060140E"/>
    <w:rsid w:val="00601CB4"/>
    <w:rsid w:val="0060277F"/>
    <w:rsid w:val="006035B0"/>
    <w:rsid w:val="0060388A"/>
    <w:rsid w:val="006038B8"/>
    <w:rsid w:val="00603A36"/>
    <w:rsid w:val="00603C1E"/>
    <w:rsid w:val="00604263"/>
    <w:rsid w:val="0060450B"/>
    <w:rsid w:val="00606523"/>
    <w:rsid w:val="00606577"/>
    <w:rsid w:val="006065A2"/>
    <w:rsid w:val="006067ED"/>
    <w:rsid w:val="00606989"/>
    <w:rsid w:val="00607254"/>
    <w:rsid w:val="006073B8"/>
    <w:rsid w:val="00607521"/>
    <w:rsid w:val="00607A06"/>
    <w:rsid w:val="006101CE"/>
    <w:rsid w:val="006103E6"/>
    <w:rsid w:val="00610693"/>
    <w:rsid w:val="00610E01"/>
    <w:rsid w:val="0061119C"/>
    <w:rsid w:val="00611498"/>
    <w:rsid w:val="00611C97"/>
    <w:rsid w:val="006121DE"/>
    <w:rsid w:val="0061298E"/>
    <w:rsid w:val="00612FBE"/>
    <w:rsid w:val="00613184"/>
    <w:rsid w:val="00613AB8"/>
    <w:rsid w:val="00613F43"/>
    <w:rsid w:val="00614F6E"/>
    <w:rsid w:val="006155A8"/>
    <w:rsid w:val="006155F9"/>
    <w:rsid w:val="00615C34"/>
    <w:rsid w:val="00616148"/>
    <w:rsid w:val="0061630C"/>
    <w:rsid w:val="006169F9"/>
    <w:rsid w:val="00616A34"/>
    <w:rsid w:val="00616ED9"/>
    <w:rsid w:val="00617790"/>
    <w:rsid w:val="00617B7C"/>
    <w:rsid w:val="00620030"/>
    <w:rsid w:val="0062043C"/>
    <w:rsid w:val="006205C5"/>
    <w:rsid w:val="00620C3A"/>
    <w:rsid w:val="00621109"/>
    <w:rsid w:val="0062150E"/>
    <w:rsid w:val="00621AB1"/>
    <w:rsid w:val="006222F9"/>
    <w:rsid w:val="00622430"/>
    <w:rsid w:val="00622C4A"/>
    <w:rsid w:val="00623013"/>
    <w:rsid w:val="00623AD4"/>
    <w:rsid w:val="00624179"/>
    <w:rsid w:val="00624855"/>
    <w:rsid w:val="006248E8"/>
    <w:rsid w:val="00624911"/>
    <w:rsid w:val="00624F1F"/>
    <w:rsid w:val="0062540E"/>
    <w:rsid w:val="00625632"/>
    <w:rsid w:val="00625E0C"/>
    <w:rsid w:val="00626192"/>
    <w:rsid w:val="00626574"/>
    <w:rsid w:val="00626646"/>
    <w:rsid w:val="00626DF9"/>
    <w:rsid w:val="006271CC"/>
    <w:rsid w:val="00627385"/>
    <w:rsid w:val="0062777F"/>
    <w:rsid w:val="00627958"/>
    <w:rsid w:val="00627EE8"/>
    <w:rsid w:val="00627F71"/>
    <w:rsid w:val="00631387"/>
    <w:rsid w:val="00631A48"/>
    <w:rsid w:val="00631F6C"/>
    <w:rsid w:val="0063236A"/>
    <w:rsid w:val="0063253C"/>
    <w:rsid w:val="0063295F"/>
    <w:rsid w:val="006329E9"/>
    <w:rsid w:val="00632A07"/>
    <w:rsid w:val="00632C00"/>
    <w:rsid w:val="006334E4"/>
    <w:rsid w:val="0063418D"/>
    <w:rsid w:val="00634541"/>
    <w:rsid w:val="00634B2D"/>
    <w:rsid w:val="00634DCF"/>
    <w:rsid w:val="00634F4E"/>
    <w:rsid w:val="00635695"/>
    <w:rsid w:val="0063579F"/>
    <w:rsid w:val="00635954"/>
    <w:rsid w:val="00635CCF"/>
    <w:rsid w:val="00635DFA"/>
    <w:rsid w:val="00636AE4"/>
    <w:rsid w:val="00636BAA"/>
    <w:rsid w:val="00637642"/>
    <w:rsid w:val="006378DA"/>
    <w:rsid w:val="00637CF8"/>
    <w:rsid w:val="00637F69"/>
    <w:rsid w:val="0064012D"/>
    <w:rsid w:val="00640467"/>
    <w:rsid w:val="00640A3F"/>
    <w:rsid w:val="00640AF5"/>
    <w:rsid w:val="00640C61"/>
    <w:rsid w:val="006419EF"/>
    <w:rsid w:val="00641EA3"/>
    <w:rsid w:val="00641F65"/>
    <w:rsid w:val="00641FA4"/>
    <w:rsid w:val="006420D6"/>
    <w:rsid w:val="00642180"/>
    <w:rsid w:val="006429CD"/>
    <w:rsid w:val="00642A20"/>
    <w:rsid w:val="00642E01"/>
    <w:rsid w:val="00643205"/>
    <w:rsid w:val="00643331"/>
    <w:rsid w:val="00643C23"/>
    <w:rsid w:val="00644BC8"/>
    <w:rsid w:val="006453D4"/>
    <w:rsid w:val="006458AF"/>
    <w:rsid w:val="00645B90"/>
    <w:rsid w:val="00645DFE"/>
    <w:rsid w:val="00645E52"/>
    <w:rsid w:val="00645F77"/>
    <w:rsid w:val="00646297"/>
    <w:rsid w:val="006466F4"/>
    <w:rsid w:val="00646DF8"/>
    <w:rsid w:val="006478D2"/>
    <w:rsid w:val="00647C1D"/>
    <w:rsid w:val="00647F3A"/>
    <w:rsid w:val="006504B0"/>
    <w:rsid w:val="00650A04"/>
    <w:rsid w:val="00650A99"/>
    <w:rsid w:val="00650DC1"/>
    <w:rsid w:val="00651018"/>
    <w:rsid w:val="0065179B"/>
    <w:rsid w:val="00651ED4"/>
    <w:rsid w:val="00652335"/>
    <w:rsid w:val="006525D0"/>
    <w:rsid w:val="0065292F"/>
    <w:rsid w:val="00652AA4"/>
    <w:rsid w:val="00652AAB"/>
    <w:rsid w:val="0065318C"/>
    <w:rsid w:val="006531AE"/>
    <w:rsid w:val="006531D2"/>
    <w:rsid w:val="00653654"/>
    <w:rsid w:val="00653A6A"/>
    <w:rsid w:val="00653DEE"/>
    <w:rsid w:val="00654113"/>
    <w:rsid w:val="00654375"/>
    <w:rsid w:val="006545F1"/>
    <w:rsid w:val="0065467A"/>
    <w:rsid w:val="0065476E"/>
    <w:rsid w:val="00654B13"/>
    <w:rsid w:val="00654C5F"/>
    <w:rsid w:val="006552AD"/>
    <w:rsid w:val="006553AB"/>
    <w:rsid w:val="006554C4"/>
    <w:rsid w:val="00655537"/>
    <w:rsid w:val="006559FF"/>
    <w:rsid w:val="00655DC1"/>
    <w:rsid w:val="00656249"/>
    <w:rsid w:val="00656592"/>
    <w:rsid w:val="006568FC"/>
    <w:rsid w:val="006572AF"/>
    <w:rsid w:val="00657F1B"/>
    <w:rsid w:val="0066024C"/>
    <w:rsid w:val="006615DA"/>
    <w:rsid w:val="006620F4"/>
    <w:rsid w:val="006633A5"/>
    <w:rsid w:val="0066347A"/>
    <w:rsid w:val="006634D2"/>
    <w:rsid w:val="0066370C"/>
    <w:rsid w:val="00664719"/>
    <w:rsid w:val="00664D06"/>
    <w:rsid w:val="00664FC5"/>
    <w:rsid w:val="00665BF2"/>
    <w:rsid w:val="00665D52"/>
    <w:rsid w:val="006661F8"/>
    <w:rsid w:val="00666B5D"/>
    <w:rsid w:val="00666B70"/>
    <w:rsid w:val="00666C11"/>
    <w:rsid w:val="00666C81"/>
    <w:rsid w:val="00667493"/>
    <w:rsid w:val="0066758D"/>
    <w:rsid w:val="00667EDC"/>
    <w:rsid w:val="0067008A"/>
    <w:rsid w:val="0067013A"/>
    <w:rsid w:val="006707E9"/>
    <w:rsid w:val="0067095D"/>
    <w:rsid w:val="00670A1C"/>
    <w:rsid w:val="00670C97"/>
    <w:rsid w:val="00671261"/>
    <w:rsid w:val="00671B9B"/>
    <w:rsid w:val="00671F0E"/>
    <w:rsid w:val="006724B2"/>
    <w:rsid w:val="0067250B"/>
    <w:rsid w:val="00672F46"/>
    <w:rsid w:val="00672F5A"/>
    <w:rsid w:val="006731F2"/>
    <w:rsid w:val="00673465"/>
    <w:rsid w:val="006739EE"/>
    <w:rsid w:val="006749C0"/>
    <w:rsid w:val="00674E89"/>
    <w:rsid w:val="0067546B"/>
    <w:rsid w:val="00675BC0"/>
    <w:rsid w:val="00675C00"/>
    <w:rsid w:val="0067650F"/>
    <w:rsid w:val="00676955"/>
    <w:rsid w:val="00676A10"/>
    <w:rsid w:val="00676B15"/>
    <w:rsid w:val="00676B8B"/>
    <w:rsid w:val="00676C59"/>
    <w:rsid w:val="00676C68"/>
    <w:rsid w:val="00677215"/>
    <w:rsid w:val="00677BC0"/>
    <w:rsid w:val="00677C81"/>
    <w:rsid w:val="00677F53"/>
    <w:rsid w:val="0068016C"/>
    <w:rsid w:val="0068032B"/>
    <w:rsid w:val="006812AA"/>
    <w:rsid w:val="00681577"/>
    <w:rsid w:val="0068173F"/>
    <w:rsid w:val="0068226F"/>
    <w:rsid w:val="006825FF"/>
    <w:rsid w:val="00682A1E"/>
    <w:rsid w:val="00682DD9"/>
    <w:rsid w:val="00683730"/>
    <w:rsid w:val="00683E91"/>
    <w:rsid w:val="006840A6"/>
    <w:rsid w:val="00684289"/>
    <w:rsid w:val="00684DB9"/>
    <w:rsid w:val="00684DC4"/>
    <w:rsid w:val="00684FC1"/>
    <w:rsid w:val="006850F6"/>
    <w:rsid w:val="006851AA"/>
    <w:rsid w:val="006853C5"/>
    <w:rsid w:val="0068570A"/>
    <w:rsid w:val="00685DCD"/>
    <w:rsid w:val="00686099"/>
    <w:rsid w:val="00686589"/>
    <w:rsid w:val="0068667C"/>
    <w:rsid w:val="00686722"/>
    <w:rsid w:val="00686830"/>
    <w:rsid w:val="00686E64"/>
    <w:rsid w:val="00686E8A"/>
    <w:rsid w:val="00686FF6"/>
    <w:rsid w:val="00687183"/>
    <w:rsid w:val="006900CD"/>
    <w:rsid w:val="00693151"/>
    <w:rsid w:val="00693229"/>
    <w:rsid w:val="00693B57"/>
    <w:rsid w:val="00693CA0"/>
    <w:rsid w:val="00693FA8"/>
    <w:rsid w:val="00694248"/>
    <w:rsid w:val="0069482B"/>
    <w:rsid w:val="006955F0"/>
    <w:rsid w:val="006A0400"/>
    <w:rsid w:val="006A0677"/>
    <w:rsid w:val="006A09AD"/>
    <w:rsid w:val="006A127B"/>
    <w:rsid w:val="006A14BF"/>
    <w:rsid w:val="006A17B4"/>
    <w:rsid w:val="006A2A56"/>
    <w:rsid w:val="006A2D8F"/>
    <w:rsid w:val="006A2DAC"/>
    <w:rsid w:val="006A2F20"/>
    <w:rsid w:val="006A3907"/>
    <w:rsid w:val="006A474A"/>
    <w:rsid w:val="006A4943"/>
    <w:rsid w:val="006A4BC7"/>
    <w:rsid w:val="006A5B6E"/>
    <w:rsid w:val="006A5D3E"/>
    <w:rsid w:val="006A5E19"/>
    <w:rsid w:val="006A5E3C"/>
    <w:rsid w:val="006A5FCC"/>
    <w:rsid w:val="006A6414"/>
    <w:rsid w:val="006A7068"/>
    <w:rsid w:val="006A7841"/>
    <w:rsid w:val="006B007C"/>
    <w:rsid w:val="006B0099"/>
    <w:rsid w:val="006B0187"/>
    <w:rsid w:val="006B0B77"/>
    <w:rsid w:val="006B0BF0"/>
    <w:rsid w:val="006B0C46"/>
    <w:rsid w:val="006B1039"/>
    <w:rsid w:val="006B12A1"/>
    <w:rsid w:val="006B1324"/>
    <w:rsid w:val="006B1736"/>
    <w:rsid w:val="006B198F"/>
    <w:rsid w:val="006B1B3E"/>
    <w:rsid w:val="006B284B"/>
    <w:rsid w:val="006B30B6"/>
    <w:rsid w:val="006B31B5"/>
    <w:rsid w:val="006B3259"/>
    <w:rsid w:val="006B36F6"/>
    <w:rsid w:val="006B3A43"/>
    <w:rsid w:val="006B3B6A"/>
    <w:rsid w:val="006B41A8"/>
    <w:rsid w:val="006B45EE"/>
    <w:rsid w:val="006B4793"/>
    <w:rsid w:val="006B4B30"/>
    <w:rsid w:val="006B4E74"/>
    <w:rsid w:val="006B529E"/>
    <w:rsid w:val="006B55DC"/>
    <w:rsid w:val="006B5ABC"/>
    <w:rsid w:val="006B5CEA"/>
    <w:rsid w:val="006B5F01"/>
    <w:rsid w:val="006B6307"/>
    <w:rsid w:val="006B6624"/>
    <w:rsid w:val="006B67E0"/>
    <w:rsid w:val="006B691E"/>
    <w:rsid w:val="006B70C1"/>
    <w:rsid w:val="006B7402"/>
    <w:rsid w:val="006B7890"/>
    <w:rsid w:val="006B7AB3"/>
    <w:rsid w:val="006C00B8"/>
    <w:rsid w:val="006C05E1"/>
    <w:rsid w:val="006C0BF1"/>
    <w:rsid w:val="006C10CF"/>
    <w:rsid w:val="006C1350"/>
    <w:rsid w:val="006C17A1"/>
    <w:rsid w:val="006C18DB"/>
    <w:rsid w:val="006C1F43"/>
    <w:rsid w:val="006C2049"/>
    <w:rsid w:val="006C2096"/>
    <w:rsid w:val="006C2361"/>
    <w:rsid w:val="006C2664"/>
    <w:rsid w:val="006C26E7"/>
    <w:rsid w:val="006C272E"/>
    <w:rsid w:val="006C27F1"/>
    <w:rsid w:val="006C2E7C"/>
    <w:rsid w:val="006C3009"/>
    <w:rsid w:val="006C33E6"/>
    <w:rsid w:val="006C37FE"/>
    <w:rsid w:val="006C3903"/>
    <w:rsid w:val="006C3B3D"/>
    <w:rsid w:val="006C3D90"/>
    <w:rsid w:val="006C3F12"/>
    <w:rsid w:val="006C3F85"/>
    <w:rsid w:val="006C401B"/>
    <w:rsid w:val="006C4199"/>
    <w:rsid w:val="006C4E34"/>
    <w:rsid w:val="006C50F5"/>
    <w:rsid w:val="006C5178"/>
    <w:rsid w:val="006C59FF"/>
    <w:rsid w:val="006C5E3B"/>
    <w:rsid w:val="006C5FA0"/>
    <w:rsid w:val="006C634D"/>
    <w:rsid w:val="006C64E3"/>
    <w:rsid w:val="006C6EC1"/>
    <w:rsid w:val="006C7221"/>
    <w:rsid w:val="006C73DF"/>
    <w:rsid w:val="006C7592"/>
    <w:rsid w:val="006D000D"/>
    <w:rsid w:val="006D08D8"/>
    <w:rsid w:val="006D0B6D"/>
    <w:rsid w:val="006D0B8B"/>
    <w:rsid w:val="006D0DEC"/>
    <w:rsid w:val="006D13A1"/>
    <w:rsid w:val="006D140C"/>
    <w:rsid w:val="006D148E"/>
    <w:rsid w:val="006D168E"/>
    <w:rsid w:val="006D1774"/>
    <w:rsid w:val="006D1839"/>
    <w:rsid w:val="006D193A"/>
    <w:rsid w:val="006D1D4D"/>
    <w:rsid w:val="006D1D59"/>
    <w:rsid w:val="006D2630"/>
    <w:rsid w:val="006D2940"/>
    <w:rsid w:val="006D2C35"/>
    <w:rsid w:val="006D2F5F"/>
    <w:rsid w:val="006D3187"/>
    <w:rsid w:val="006D376C"/>
    <w:rsid w:val="006D3D67"/>
    <w:rsid w:val="006D44D3"/>
    <w:rsid w:val="006D55D4"/>
    <w:rsid w:val="006D5926"/>
    <w:rsid w:val="006D65F1"/>
    <w:rsid w:val="006D68F6"/>
    <w:rsid w:val="006D7824"/>
    <w:rsid w:val="006D7DBE"/>
    <w:rsid w:val="006D7F75"/>
    <w:rsid w:val="006E0058"/>
    <w:rsid w:val="006E086A"/>
    <w:rsid w:val="006E0874"/>
    <w:rsid w:val="006E0C32"/>
    <w:rsid w:val="006E14F6"/>
    <w:rsid w:val="006E18B4"/>
    <w:rsid w:val="006E18BD"/>
    <w:rsid w:val="006E19EB"/>
    <w:rsid w:val="006E1D20"/>
    <w:rsid w:val="006E2389"/>
    <w:rsid w:val="006E28F5"/>
    <w:rsid w:val="006E2961"/>
    <w:rsid w:val="006E2C53"/>
    <w:rsid w:val="006E3542"/>
    <w:rsid w:val="006E35FB"/>
    <w:rsid w:val="006E3639"/>
    <w:rsid w:val="006E4304"/>
    <w:rsid w:val="006E4DCE"/>
    <w:rsid w:val="006E4E18"/>
    <w:rsid w:val="006E556D"/>
    <w:rsid w:val="006E55DA"/>
    <w:rsid w:val="006E5A0A"/>
    <w:rsid w:val="006E5A85"/>
    <w:rsid w:val="006E5AB3"/>
    <w:rsid w:val="006E5BDD"/>
    <w:rsid w:val="006E6323"/>
    <w:rsid w:val="006E6581"/>
    <w:rsid w:val="006E695D"/>
    <w:rsid w:val="006E7921"/>
    <w:rsid w:val="006E7D09"/>
    <w:rsid w:val="006F0492"/>
    <w:rsid w:val="006F0A84"/>
    <w:rsid w:val="006F0D33"/>
    <w:rsid w:val="006F0E4D"/>
    <w:rsid w:val="006F0E58"/>
    <w:rsid w:val="006F1161"/>
    <w:rsid w:val="006F1FD6"/>
    <w:rsid w:val="006F258E"/>
    <w:rsid w:val="006F29B1"/>
    <w:rsid w:val="006F2F2A"/>
    <w:rsid w:val="006F31E3"/>
    <w:rsid w:val="006F359A"/>
    <w:rsid w:val="006F3601"/>
    <w:rsid w:val="006F3DF3"/>
    <w:rsid w:val="006F4590"/>
    <w:rsid w:val="006F58B4"/>
    <w:rsid w:val="006F5CA2"/>
    <w:rsid w:val="006F5F29"/>
    <w:rsid w:val="006F6560"/>
    <w:rsid w:val="006F6BE8"/>
    <w:rsid w:val="006F7785"/>
    <w:rsid w:val="006F7966"/>
    <w:rsid w:val="007001C9"/>
    <w:rsid w:val="007003FD"/>
    <w:rsid w:val="007005A2"/>
    <w:rsid w:val="00700AC9"/>
    <w:rsid w:val="00700B4C"/>
    <w:rsid w:val="00700BC9"/>
    <w:rsid w:val="00700EE6"/>
    <w:rsid w:val="00701032"/>
    <w:rsid w:val="0070103E"/>
    <w:rsid w:val="0070166B"/>
    <w:rsid w:val="007018A0"/>
    <w:rsid w:val="00701CA2"/>
    <w:rsid w:val="00701D44"/>
    <w:rsid w:val="00702500"/>
    <w:rsid w:val="007025C5"/>
    <w:rsid w:val="007034D8"/>
    <w:rsid w:val="00703630"/>
    <w:rsid w:val="00704234"/>
    <w:rsid w:val="00704459"/>
    <w:rsid w:val="00704637"/>
    <w:rsid w:val="00704750"/>
    <w:rsid w:val="007047FC"/>
    <w:rsid w:val="00704997"/>
    <w:rsid w:val="007049DD"/>
    <w:rsid w:val="00705069"/>
    <w:rsid w:val="00705479"/>
    <w:rsid w:val="00705A8E"/>
    <w:rsid w:val="00706740"/>
    <w:rsid w:val="00706A57"/>
    <w:rsid w:val="00706AA1"/>
    <w:rsid w:val="00710A2E"/>
    <w:rsid w:val="00710CBB"/>
    <w:rsid w:val="00710D23"/>
    <w:rsid w:val="00710D33"/>
    <w:rsid w:val="00711111"/>
    <w:rsid w:val="00711219"/>
    <w:rsid w:val="00711B4C"/>
    <w:rsid w:val="00712D3C"/>
    <w:rsid w:val="00712D4B"/>
    <w:rsid w:val="00712D59"/>
    <w:rsid w:val="00712EE8"/>
    <w:rsid w:val="007130F6"/>
    <w:rsid w:val="00713149"/>
    <w:rsid w:val="00713701"/>
    <w:rsid w:val="00714270"/>
    <w:rsid w:val="007145F6"/>
    <w:rsid w:val="007146A7"/>
    <w:rsid w:val="00714EBE"/>
    <w:rsid w:val="007153E0"/>
    <w:rsid w:val="00715578"/>
    <w:rsid w:val="0071595D"/>
    <w:rsid w:val="00715E45"/>
    <w:rsid w:val="00716821"/>
    <w:rsid w:val="00716E6F"/>
    <w:rsid w:val="007173FC"/>
    <w:rsid w:val="00717990"/>
    <w:rsid w:val="00717FAB"/>
    <w:rsid w:val="00720FC6"/>
    <w:rsid w:val="00720FD1"/>
    <w:rsid w:val="00721EE4"/>
    <w:rsid w:val="00722D7B"/>
    <w:rsid w:val="00722E2A"/>
    <w:rsid w:val="00722EC8"/>
    <w:rsid w:val="00722F74"/>
    <w:rsid w:val="007232D4"/>
    <w:rsid w:val="007232DA"/>
    <w:rsid w:val="00723AC4"/>
    <w:rsid w:val="00723E37"/>
    <w:rsid w:val="00723FE7"/>
    <w:rsid w:val="0072468D"/>
    <w:rsid w:val="00724A93"/>
    <w:rsid w:val="00724BEA"/>
    <w:rsid w:val="0072643F"/>
    <w:rsid w:val="007265F0"/>
    <w:rsid w:val="0072695D"/>
    <w:rsid w:val="00727202"/>
    <w:rsid w:val="00727231"/>
    <w:rsid w:val="007274C3"/>
    <w:rsid w:val="00727734"/>
    <w:rsid w:val="00727C15"/>
    <w:rsid w:val="00727CCA"/>
    <w:rsid w:val="00727D37"/>
    <w:rsid w:val="007300F9"/>
    <w:rsid w:val="0073018C"/>
    <w:rsid w:val="007304C2"/>
    <w:rsid w:val="0073092F"/>
    <w:rsid w:val="00730B13"/>
    <w:rsid w:val="0073167C"/>
    <w:rsid w:val="00731AE2"/>
    <w:rsid w:val="00731DD8"/>
    <w:rsid w:val="00732320"/>
    <w:rsid w:val="0073238C"/>
    <w:rsid w:val="00733A8A"/>
    <w:rsid w:val="00733A95"/>
    <w:rsid w:val="00733CF5"/>
    <w:rsid w:val="00734C9D"/>
    <w:rsid w:val="00735014"/>
    <w:rsid w:val="0073569C"/>
    <w:rsid w:val="00735782"/>
    <w:rsid w:val="007359FB"/>
    <w:rsid w:val="007360C2"/>
    <w:rsid w:val="007368E6"/>
    <w:rsid w:val="00736B31"/>
    <w:rsid w:val="00736B68"/>
    <w:rsid w:val="007408D9"/>
    <w:rsid w:val="00740953"/>
    <w:rsid w:val="00740BF8"/>
    <w:rsid w:val="0074104A"/>
    <w:rsid w:val="007414AD"/>
    <w:rsid w:val="00741565"/>
    <w:rsid w:val="007419E7"/>
    <w:rsid w:val="00741EF6"/>
    <w:rsid w:val="0074208D"/>
    <w:rsid w:val="0074256D"/>
    <w:rsid w:val="0074273A"/>
    <w:rsid w:val="00742CC0"/>
    <w:rsid w:val="00742ECE"/>
    <w:rsid w:val="007433A3"/>
    <w:rsid w:val="00743EBF"/>
    <w:rsid w:val="00745191"/>
    <w:rsid w:val="0074560D"/>
    <w:rsid w:val="00745916"/>
    <w:rsid w:val="007459FF"/>
    <w:rsid w:val="00745ADC"/>
    <w:rsid w:val="007467CB"/>
    <w:rsid w:val="00746B38"/>
    <w:rsid w:val="007475FF"/>
    <w:rsid w:val="00747BB7"/>
    <w:rsid w:val="0075135C"/>
    <w:rsid w:val="007513C1"/>
    <w:rsid w:val="00751418"/>
    <w:rsid w:val="00751953"/>
    <w:rsid w:val="00751ACD"/>
    <w:rsid w:val="0075217F"/>
    <w:rsid w:val="00752339"/>
    <w:rsid w:val="007523D6"/>
    <w:rsid w:val="00752DD2"/>
    <w:rsid w:val="00752E36"/>
    <w:rsid w:val="00753B7F"/>
    <w:rsid w:val="00754072"/>
    <w:rsid w:val="0075459A"/>
    <w:rsid w:val="00754B1E"/>
    <w:rsid w:val="007550DD"/>
    <w:rsid w:val="00755C72"/>
    <w:rsid w:val="00755C7E"/>
    <w:rsid w:val="00756158"/>
    <w:rsid w:val="00756229"/>
    <w:rsid w:val="00756568"/>
    <w:rsid w:val="007568AB"/>
    <w:rsid w:val="00756A97"/>
    <w:rsid w:val="00756C99"/>
    <w:rsid w:val="007572B3"/>
    <w:rsid w:val="007575BF"/>
    <w:rsid w:val="00757916"/>
    <w:rsid w:val="00757F45"/>
    <w:rsid w:val="00760850"/>
    <w:rsid w:val="00760884"/>
    <w:rsid w:val="00760B0B"/>
    <w:rsid w:val="00760F8F"/>
    <w:rsid w:val="00761352"/>
    <w:rsid w:val="0076176D"/>
    <w:rsid w:val="007618EB"/>
    <w:rsid w:val="00761E6F"/>
    <w:rsid w:val="00762515"/>
    <w:rsid w:val="007625EA"/>
    <w:rsid w:val="00762C1B"/>
    <w:rsid w:val="00762E3C"/>
    <w:rsid w:val="0076319D"/>
    <w:rsid w:val="0076346A"/>
    <w:rsid w:val="007635A2"/>
    <w:rsid w:val="0076364D"/>
    <w:rsid w:val="007638ED"/>
    <w:rsid w:val="00763D95"/>
    <w:rsid w:val="00764394"/>
    <w:rsid w:val="00764502"/>
    <w:rsid w:val="00764AC0"/>
    <w:rsid w:val="00764F94"/>
    <w:rsid w:val="007679F7"/>
    <w:rsid w:val="00767EEA"/>
    <w:rsid w:val="0077063C"/>
    <w:rsid w:val="00770B82"/>
    <w:rsid w:val="00770F4B"/>
    <w:rsid w:val="00771056"/>
    <w:rsid w:val="00771376"/>
    <w:rsid w:val="00771951"/>
    <w:rsid w:val="00771A39"/>
    <w:rsid w:val="00771C05"/>
    <w:rsid w:val="00771E47"/>
    <w:rsid w:val="00772444"/>
    <w:rsid w:val="00773626"/>
    <w:rsid w:val="00773F1E"/>
    <w:rsid w:val="00773FB8"/>
    <w:rsid w:val="0077441E"/>
    <w:rsid w:val="007744E0"/>
    <w:rsid w:val="00774539"/>
    <w:rsid w:val="00774584"/>
    <w:rsid w:val="007747FD"/>
    <w:rsid w:val="00774A13"/>
    <w:rsid w:val="00774CCD"/>
    <w:rsid w:val="0077549C"/>
    <w:rsid w:val="0077553D"/>
    <w:rsid w:val="00775795"/>
    <w:rsid w:val="00775E69"/>
    <w:rsid w:val="007768F1"/>
    <w:rsid w:val="007808D6"/>
    <w:rsid w:val="00780FD3"/>
    <w:rsid w:val="007810B6"/>
    <w:rsid w:val="0078124A"/>
    <w:rsid w:val="00781A90"/>
    <w:rsid w:val="00781B41"/>
    <w:rsid w:val="00782067"/>
    <w:rsid w:val="00782086"/>
    <w:rsid w:val="00782365"/>
    <w:rsid w:val="00782BE3"/>
    <w:rsid w:val="00783114"/>
    <w:rsid w:val="00783AD0"/>
    <w:rsid w:val="00783C22"/>
    <w:rsid w:val="00783EE0"/>
    <w:rsid w:val="007841E3"/>
    <w:rsid w:val="00784526"/>
    <w:rsid w:val="0078470C"/>
    <w:rsid w:val="007847B1"/>
    <w:rsid w:val="0078486E"/>
    <w:rsid w:val="00784B26"/>
    <w:rsid w:val="00784E02"/>
    <w:rsid w:val="00785460"/>
    <w:rsid w:val="00786A58"/>
    <w:rsid w:val="00786F1A"/>
    <w:rsid w:val="0078719A"/>
    <w:rsid w:val="00787406"/>
    <w:rsid w:val="0078753D"/>
    <w:rsid w:val="00787790"/>
    <w:rsid w:val="00787800"/>
    <w:rsid w:val="00787BBF"/>
    <w:rsid w:val="00787E39"/>
    <w:rsid w:val="0079010C"/>
    <w:rsid w:val="00790150"/>
    <w:rsid w:val="0079024E"/>
    <w:rsid w:val="00790493"/>
    <w:rsid w:val="00790A0D"/>
    <w:rsid w:val="00790C94"/>
    <w:rsid w:val="0079192F"/>
    <w:rsid w:val="00791943"/>
    <w:rsid w:val="00791C72"/>
    <w:rsid w:val="00792317"/>
    <w:rsid w:val="00792328"/>
    <w:rsid w:val="00792861"/>
    <w:rsid w:val="00793229"/>
    <w:rsid w:val="0079334B"/>
    <w:rsid w:val="00793FDC"/>
    <w:rsid w:val="007940BA"/>
    <w:rsid w:val="00794B1F"/>
    <w:rsid w:val="00794BE8"/>
    <w:rsid w:val="007954D2"/>
    <w:rsid w:val="007957E8"/>
    <w:rsid w:val="00795EB8"/>
    <w:rsid w:val="0079609A"/>
    <w:rsid w:val="00796127"/>
    <w:rsid w:val="007963A4"/>
    <w:rsid w:val="00796685"/>
    <w:rsid w:val="0079721E"/>
    <w:rsid w:val="0079793C"/>
    <w:rsid w:val="00797AE1"/>
    <w:rsid w:val="007A0304"/>
    <w:rsid w:val="007A094C"/>
    <w:rsid w:val="007A0988"/>
    <w:rsid w:val="007A0BCD"/>
    <w:rsid w:val="007A0DE1"/>
    <w:rsid w:val="007A1261"/>
    <w:rsid w:val="007A1429"/>
    <w:rsid w:val="007A18B1"/>
    <w:rsid w:val="007A25CF"/>
    <w:rsid w:val="007A26D1"/>
    <w:rsid w:val="007A32C8"/>
    <w:rsid w:val="007A32E6"/>
    <w:rsid w:val="007A336D"/>
    <w:rsid w:val="007A357A"/>
    <w:rsid w:val="007A37E5"/>
    <w:rsid w:val="007A414C"/>
    <w:rsid w:val="007A451D"/>
    <w:rsid w:val="007A45F6"/>
    <w:rsid w:val="007A4F30"/>
    <w:rsid w:val="007A4F55"/>
    <w:rsid w:val="007A5135"/>
    <w:rsid w:val="007A54A2"/>
    <w:rsid w:val="007A59E1"/>
    <w:rsid w:val="007A5A61"/>
    <w:rsid w:val="007A6725"/>
    <w:rsid w:val="007A6873"/>
    <w:rsid w:val="007A697F"/>
    <w:rsid w:val="007A74A6"/>
    <w:rsid w:val="007A7549"/>
    <w:rsid w:val="007A778A"/>
    <w:rsid w:val="007A793C"/>
    <w:rsid w:val="007A79DD"/>
    <w:rsid w:val="007B0072"/>
    <w:rsid w:val="007B07F2"/>
    <w:rsid w:val="007B09D4"/>
    <w:rsid w:val="007B16C7"/>
    <w:rsid w:val="007B1CC6"/>
    <w:rsid w:val="007B1DAF"/>
    <w:rsid w:val="007B1F50"/>
    <w:rsid w:val="007B2031"/>
    <w:rsid w:val="007B21A9"/>
    <w:rsid w:val="007B234F"/>
    <w:rsid w:val="007B2515"/>
    <w:rsid w:val="007B2535"/>
    <w:rsid w:val="007B2E3D"/>
    <w:rsid w:val="007B3483"/>
    <w:rsid w:val="007B391E"/>
    <w:rsid w:val="007B3A57"/>
    <w:rsid w:val="007B4221"/>
    <w:rsid w:val="007B4354"/>
    <w:rsid w:val="007B4977"/>
    <w:rsid w:val="007B5013"/>
    <w:rsid w:val="007B5203"/>
    <w:rsid w:val="007B683F"/>
    <w:rsid w:val="007B72CC"/>
    <w:rsid w:val="007B75D3"/>
    <w:rsid w:val="007B7EF7"/>
    <w:rsid w:val="007C02C6"/>
    <w:rsid w:val="007C04E3"/>
    <w:rsid w:val="007C0A99"/>
    <w:rsid w:val="007C0DE2"/>
    <w:rsid w:val="007C0FCD"/>
    <w:rsid w:val="007C134F"/>
    <w:rsid w:val="007C194B"/>
    <w:rsid w:val="007C1BD3"/>
    <w:rsid w:val="007C1FF4"/>
    <w:rsid w:val="007C2124"/>
    <w:rsid w:val="007C21CB"/>
    <w:rsid w:val="007C2785"/>
    <w:rsid w:val="007C2897"/>
    <w:rsid w:val="007C3506"/>
    <w:rsid w:val="007C3741"/>
    <w:rsid w:val="007C4259"/>
    <w:rsid w:val="007C42BF"/>
    <w:rsid w:val="007C48EE"/>
    <w:rsid w:val="007C4C8E"/>
    <w:rsid w:val="007C5EF8"/>
    <w:rsid w:val="007C65C1"/>
    <w:rsid w:val="007C6B14"/>
    <w:rsid w:val="007C71E6"/>
    <w:rsid w:val="007C740C"/>
    <w:rsid w:val="007D0179"/>
    <w:rsid w:val="007D02F2"/>
    <w:rsid w:val="007D05E8"/>
    <w:rsid w:val="007D0917"/>
    <w:rsid w:val="007D0B58"/>
    <w:rsid w:val="007D0CBF"/>
    <w:rsid w:val="007D0E83"/>
    <w:rsid w:val="007D0E8E"/>
    <w:rsid w:val="007D1007"/>
    <w:rsid w:val="007D14ED"/>
    <w:rsid w:val="007D179F"/>
    <w:rsid w:val="007D1CED"/>
    <w:rsid w:val="007D1D56"/>
    <w:rsid w:val="007D2005"/>
    <w:rsid w:val="007D20BD"/>
    <w:rsid w:val="007D2BCB"/>
    <w:rsid w:val="007D2C42"/>
    <w:rsid w:val="007D2CA4"/>
    <w:rsid w:val="007D3914"/>
    <w:rsid w:val="007D3CCE"/>
    <w:rsid w:val="007D439D"/>
    <w:rsid w:val="007D4A07"/>
    <w:rsid w:val="007D502C"/>
    <w:rsid w:val="007D5585"/>
    <w:rsid w:val="007D5FD2"/>
    <w:rsid w:val="007D615E"/>
    <w:rsid w:val="007D6298"/>
    <w:rsid w:val="007D70B5"/>
    <w:rsid w:val="007D7309"/>
    <w:rsid w:val="007D7444"/>
    <w:rsid w:val="007D7CAF"/>
    <w:rsid w:val="007D7EDD"/>
    <w:rsid w:val="007E06F1"/>
    <w:rsid w:val="007E09E1"/>
    <w:rsid w:val="007E152B"/>
    <w:rsid w:val="007E239F"/>
    <w:rsid w:val="007E2BB8"/>
    <w:rsid w:val="007E355B"/>
    <w:rsid w:val="007E3732"/>
    <w:rsid w:val="007E38FF"/>
    <w:rsid w:val="007E40DB"/>
    <w:rsid w:val="007E444D"/>
    <w:rsid w:val="007E50E0"/>
    <w:rsid w:val="007E50FF"/>
    <w:rsid w:val="007E5166"/>
    <w:rsid w:val="007E5195"/>
    <w:rsid w:val="007E5278"/>
    <w:rsid w:val="007E566C"/>
    <w:rsid w:val="007E5763"/>
    <w:rsid w:val="007E578A"/>
    <w:rsid w:val="007E5845"/>
    <w:rsid w:val="007E5BD0"/>
    <w:rsid w:val="007E646A"/>
    <w:rsid w:val="007E6584"/>
    <w:rsid w:val="007E6815"/>
    <w:rsid w:val="007E7041"/>
    <w:rsid w:val="007E70E9"/>
    <w:rsid w:val="007E739F"/>
    <w:rsid w:val="007E77AA"/>
    <w:rsid w:val="007E7F4D"/>
    <w:rsid w:val="007F002C"/>
    <w:rsid w:val="007F021A"/>
    <w:rsid w:val="007F0646"/>
    <w:rsid w:val="007F122B"/>
    <w:rsid w:val="007F125E"/>
    <w:rsid w:val="007F169C"/>
    <w:rsid w:val="007F1CD3"/>
    <w:rsid w:val="007F29F6"/>
    <w:rsid w:val="007F2F60"/>
    <w:rsid w:val="007F38CC"/>
    <w:rsid w:val="007F47BC"/>
    <w:rsid w:val="007F5159"/>
    <w:rsid w:val="007F5300"/>
    <w:rsid w:val="007F55D2"/>
    <w:rsid w:val="007F56A1"/>
    <w:rsid w:val="007F5DFF"/>
    <w:rsid w:val="007F61BF"/>
    <w:rsid w:val="007F749C"/>
    <w:rsid w:val="007F7C7F"/>
    <w:rsid w:val="007F7F81"/>
    <w:rsid w:val="007F7FE1"/>
    <w:rsid w:val="008000BE"/>
    <w:rsid w:val="00800418"/>
    <w:rsid w:val="0080069F"/>
    <w:rsid w:val="00801070"/>
    <w:rsid w:val="008010E1"/>
    <w:rsid w:val="00801987"/>
    <w:rsid w:val="00801F27"/>
    <w:rsid w:val="00802191"/>
    <w:rsid w:val="008022FA"/>
    <w:rsid w:val="008024F6"/>
    <w:rsid w:val="00802639"/>
    <w:rsid w:val="00802850"/>
    <w:rsid w:val="00802863"/>
    <w:rsid w:val="00802F4D"/>
    <w:rsid w:val="0080302D"/>
    <w:rsid w:val="00803061"/>
    <w:rsid w:val="008037DE"/>
    <w:rsid w:val="00803C8E"/>
    <w:rsid w:val="00803F6A"/>
    <w:rsid w:val="008040A4"/>
    <w:rsid w:val="00804219"/>
    <w:rsid w:val="00804607"/>
    <w:rsid w:val="008046C9"/>
    <w:rsid w:val="00804C61"/>
    <w:rsid w:val="00804EA9"/>
    <w:rsid w:val="00806803"/>
    <w:rsid w:val="008068AA"/>
    <w:rsid w:val="00806FCA"/>
    <w:rsid w:val="00807360"/>
    <w:rsid w:val="00807439"/>
    <w:rsid w:val="0080747D"/>
    <w:rsid w:val="008076C9"/>
    <w:rsid w:val="00807C80"/>
    <w:rsid w:val="00807D7B"/>
    <w:rsid w:val="00807E7C"/>
    <w:rsid w:val="00810495"/>
    <w:rsid w:val="00810903"/>
    <w:rsid w:val="00810CEE"/>
    <w:rsid w:val="00810ECD"/>
    <w:rsid w:val="008111F6"/>
    <w:rsid w:val="0081146A"/>
    <w:rsid w:val="00811581"/>
    <w:rsid w:val="008117E6"/>
    <w:rsid w:val="008118DB"/>
    <w:rsid w:val="008120C1"/>
    <w:rsid w:val="008121F5"/>
    <w:rsid w:val="008122BB"/>
    <w:rsid w:val="008122C1"/>
    <w:rsid w:val="00812DB4"/>
    <w:rsid w:val="00813A80"/>
    <w:rsid w:val="00814322"/>
    <w:rsid w:val="008144B7"/>
    <w:rsid w:val="00814828"/>
    <w:rsid w:val="0081489A"/>
    <w:rsid w:val="00814B70"/>
    <w:rsid w:val="008151BF"/>
    <w:rsid w:val="008155D6"/>
    <w:rsid w:val="008158A1"/>
    <w:rsid w:val="00815B36"/>
    <w:rsid w:val="00816362"/>
    <w:rsid w:val="008165DC"/>
    <w:rsid w:val="00816871"/>
    <w:rsid w:val="00816CFA"/>
    <w:rsid w:val="00816FF7"/>
    <w:rsid w:val="00817393"/>
    <w:rsid w:val="008176F6"/>
    <w:rsid w:val="008178A5"/>
    <w:rsid w:val="0082061D"/>
    <w:rsid w:val="008208C3"/>
    <w:rsid w:val="0082136F"/>
    <w:rsid w:val="008213E8"/>
    <w:rsid w:val="00821D0D"/>
    <w:rsid w:val="00822836"/>
    <w:rsid w:val="00822956"/>
    <w:rsid w:val="008229A4"/>
    <w:rsid w:val="00822BDC"/>
    <w:rsid w:val="00822BE6"/>
    <w:rsid w:val="00823B94"/>
    <w:rsid w:val="00823E5F"/>
    <w:rsid w:val="00823ED6"/>
    <w:rsid w:val="008247A4"/>
    <w:rsid w:val="00824A4A"/>
    <w:rsid w:val="00824EF5"/>
    <w:rsid w:val="0082506C"/>
    <w:rsid w:val="00825104"/>
    <w:rsid w:val="00826071"/>
    <w:rsid w:val="00826891"/>
    <w:rsid w:val="008268CB"/>
    <w:rsid w:val="00826B6B"/>
    <w:rsid w:val="00826C1D"/>
    <w:rsid w:val="00826D00"/>
    <w:rsid w:val="008274FA"/>
    <w:rsid w:val="00830482"/>
    <w:rsid w:val="008304E2"/>
    <w:rsid w:val="00830565"/>
    <w:rsid w:val="00830963"/>
    <w:rsid w:val="008313B9"/>
    <w:rsid w:val="008316BF"/>
    <w:rsid w:val="00831E82"/>
    <w:rsid w:val="00831F28"/>
    <w:rsid w:val="0083211D"/>
    <w:rsid w:val="0083236C"/>
    <w:rsid w:val="00832372"/>
    <w:rsid w:val="00832B96"/>
    <w:rsid w:val="00832CB9"/>
    <w:rsid w:val="00832D31"/>
    <w:rsid w:val="00832DF9"/>
    <w:rsid w:val="00832F7C"/>
    <w:rsid w:val="00832FA2"/>
    <w:rsid w:val="008333FD"/>
    <w:rsid w:val="00833413"/>
    <w:rsid w:val="00833697"/>
    <w:rsid w:val="008336D9"/>
    <w:rsid w:val="0083370E"/>
    <w:rsid w:val="0083373C"/>
    <w:rsid w:val="00834092"/>
    <w:rsid w:val="00834669"/>
    <w:rsid w:val="00834D1C"/>
    <w:rsid w:val="00834E81"/>
    <w:rsid w:val="00835118"/>
    <w:rsid w:val="008351D1"/>
    <w:rsid w:val="00835369"/>
    <w:rsid w:val="00835421"/>
    <w:rsid w:val="0083593D"/>
    <w:rsid w:val="00835A40"/>
    <w:rsid w:val="00835DA2"/>
    <w:rsid w:val="00835E38"/>
    <w:rsid w:val="008364D9"/>
    <w:rsid w:val="008367B2"/>
    <w:rsid w:val="008367B8"/>
    <w:rsid w:val="008367DB"/>
    <w:rsid w:val="00836EF3"/>
    <w:rsid w:val="008374B5"/>
    <w:rsid w:val="00837BAE"/>
    <w:rsid w:val="008401C5"/>
    <w:rsid w:val="008408C4"/>
    <w:rsid w:val="00840AC4"/>
    <w:rsid w:val="00841C6A"/>
    <w:rsid w:val="00841EA2"/>
    <w:rsid w:val="00842192"/>
    <w:rsid w:val="0084230E"/>
    <w:rsid w:val="008428E3"/>
    <w:rsid w:val="008430BC"/>
    <w:rsid w:val="00843120"/>
    <w:rsid w:val="00843232"/>
    <w:rsid w:val="00843336"/>
    <w:rsid w:val="0084403D"/>
    <w:rsid w:val="00844210"/>
    <w:rsid w:val="00844304"/>
    <w:rsid w:val="0084446C"/>
    <w:rsid w:val="00844969"/>
    <w:rsid w:val="00844A3E"/>
    <w:rsid w:val="0084563F"/>
    <w:rsid w:val="0084638B"/>
    <w:rsid w:val="00846421"/>
    <w:rsid w:val="00846532"/>
    <w:rsid w:val="008466E9"/>
    <w:rsid w:val="00846748"/>
    <w:rsid w:val="00846C82"/>
    <w:rsid w:val="00847094"/>
    <w:rsid w:val="00847395"/>
    <w:rsid w:val="008473BB"/>
    <w:rsid w:val="0084765A"/>
    <w:rsid w:val="008476DD"/>
    <w:rsid w:val="00847B05"/>
    <w:rsid w:val="00850113"/>
    <w:rsid w:val="00850184"/>
    <w:rsid w:val="008506B1"/>
    <w:rsid w:val="008517A3"/>
    <w:rsid w:val="00851889"/>
    <w:rsid w:val="00851C60"/>
    <w:rsid w:val="00851C7E"/>
    <w:rsid w:val="00851D6E"/>
    <w:rsid w:val="00852093"/>
    <w:rsid w:val="00852157"/>
    <w:rsid w:val="008521CD"/>
    <w:rsid w:val="008525FB"/>
    <w:rsid w:val="0085332F"/>
    <w:rsid w:val="008539C6"/>
    <w:rsid w:val="00853A45"/>
    <w:rsid w:val="00853AEF"/>
    <w:rsid w:val="00853FE9"/>
    <w:rsid w:val="00855348"/>
    <w:rsid w:val="008553AB"/>
    <w:rsid w:val="0085545E"/>
    <w:rsid w:val="00855A0B"/>
    <w:rsid w:val="00855CCA"/>
    <w:rsid w:val="008564E2"/>
    <w:rsid w:val="008565D3"/>
    <w:rsid w:val="00856CC3"/>
    <w:rsid w:val="00857864"/>
    <w:rsid w:val="008579E6"/>
    <w:rsid w:val="00857B0D"/>
    <w:rsid w:val="008600A4"/>
    <w:rsid w:val="00860DB3"/>
    <w:rsid w:val="008614C4"/>
    <w:rsid w:val="0086152F"/>
    <w:rsid w:val="0086157D"/>
    <w:rsid w:val="008616CF"/>
    <w:rsid w:val="00861E58"/>
    <w:rsid w:val="008620CA"/>
    <w:rsid w:val="00862837"/>
    <w:rsid w:val="008628B5"/>
    <w:rsid w:val="00863FE8"/>
    <w:rsid w:val="0086479D"/>
    <w:rsid w:val="00865021"/>
    <w:rsid w:val="00865673"/>
    <w:rsid w:val="00865BD9"/>
    <w:rsid w:val="00865DC2"/>
    <w:rsid w:val="00865E1A"/>
    <w:rsid w:val="008668C8"/>
    <w:rsid w:val="00867AA2"/>
    <w:rsid w:val="008701AF"/>
    <w:rsid w:val="008701FE"/>
    <w:rsid w:val="00870B7F"/>
    <w:rsid w:val="00870D9E"/>
    <w:rsid w:val="0087102E"/>
    <w:rsid w:val="008713E1"/>
    <w:rsid w:val="00871C11"/>
    <w:rsid w:val="008723DE"/>
    <w:rsid w:val="00872D9A"/>
    <w:rsid w:val="00873DA7"/>
    <w:rsid w:val="00873E0A"/>
    <w:rsid w:val="00873E77"/>
    <w:rsid w:val="00874107"/>
    <w:rsid w:val="00874E66"/>
    <w:rsid w:val="008750E5"/>
    <w:rsid w:val="0087562E"/>
    <w:rsid w:val="0087575B"/>
    <w:rsid w:val="00875784"/>
    <w:rsid w:val="008758C8"/>
    <w:rsid w:val="008762CE"/>
    <w:rsid w:val="008763FD"/>
    <w:rsid w:val="00876781"/>
    <w:rsid w:val="00876AEA"/>
    <w:rsid w:val="008771A4"/>
    <w:rsid w:val="008771A5"/>
    <w:rsid w:val="00877F19"/>
    <w:rsid w:val="0088029A"/>
    <w:rsid w:val="0088090F"/>
    <w:rsid w:val="00880CE9"/>
    <w:rsid w:val="00880EC8"/>
    <w:rsid w:val="00880F20"/>
    <w:rsid w:val="0088121B"/>
    <w:rsid w:val="008813D4"/>
    <w:rsid w:val="008819EE"/>
    <w:rsid w:val="00882B4B"/>
    <w:rsid w:val="008832B8"/>
    <w:rsid w:val="008834C0"/>
    <w:rsid w:val="00883588"/>
    <w:rsid w:val="00883666"/>
    <w:rsid w:val="0088380F"/>
    <w:rsid w:val="00883E8F"/>
    <w:rsid w:val="008847D5"/>
    <w:rsid w:val="00884FB7"/>
    <w:rsid w:val="008852D7"/>
    <w:rsid w:val="00885407"/>
    <w:rsid w:val="00885F01"/>
    <w:rsid w:val="00886028"/>
    <w:rsid w:val="0088604E"/>
    <w:rsid w:val="00886924"/>
    <w:rsid w:val="00886A52"/>
    <w:rsid w:val="0088755E"/>
    <w:rsid w:val="008877DC"/>
    <w:rsid w:val="00887D87"/>
    <w:rsid w:val="00887E04"/>
    <w:rsid w:val="008906EA"/>
    <w:rsid w:val="00890CFC"/>
    <w:rsid w:val="0089121B"/>
    <w:rsid w:val="0089122B"/>
    <w:rsid w:val="00891E8C"/>
    <w:rsid w:val="0089207E"/>
    <w:rsid w:val="00892451"/>
    <w:rsid w:val="0089275D"/>
    <w:rsid w:val="00892816"/>
    <w:rsid w:val="00892B0E"/>
    <w:rsid w:val="00892E28"/>
    <w:rsid w:val="0089309E"/>
    <w:rsid w:val="008932E3"/>
    <w:rsid w:val="00893D7F"/>
    <w:rsid w:val="008941C5"/>
    <w:rsid w:val="00894368"/>
    <w:rsid w:val="008943E6"/>
    <w:rsid w:val="0089457F"/>
    <w:rsid w:val="00894626"/>
    <w:rsid w:val="00894A4C"/>
    <w:rsid w:val="0089502D"/>
    <w:rsid w:val="00895285"/>
    <w:rsid w:val="00895399"/>
    <w:rsid w:val="00895996"/>
    <w:rsid w:val="00895E00"/>
    <w:rsid w:val="00895F74"/>
    <w:rsid w:val="00896004"/>
    <w:rsid w:val="008963E4"/>
    <w:rsid w:val="0089670B"/>
    <w:rsid w:val="00896A1D"/>
    <w:rsid w:val="00896EDF"/>
    <w:rsid w:val="008A0216"/>
    <w:rsid w:val="008A0A14"/>
    <w:rsid w:val="008A0BAB"/>
    <w:rsid w:val="008A0C51"/>
    <w:rsid w:val="008A186B"/>
    <w:rsid w:val="008A18EF"/>
    <w:rsid w:val="008A1B77"/>
    <w:rsid w:val="008A1D90"/>
    <w:rsid w:val="008A20D2"/>
    <w:rsid w:val="008A2746"/>
    <w:rsid w:val="008A2959"/>
    <w:rsid w:val="008A302F"/>
    <w:rsid w:val="008A3638"/>
    <w:rsid w:val="008A41A4"/>
    <w:rsid w:val="008A43EB"/>
    <w:rsid w:val="008A45BC"/>
    <w:rsid w:val="008A4C6C"/>
    <w:rsid w:val="008A4E31"/>
    <w:rsid w:val="008A50E3"/>
    <w:rsid w:val="008A521C"/>
    <w:rsid w:val="008A5760"/>
    <w:rsid w:val="008A5AA0"/>
    <w:rsid w:val="008A5AE3"/>
    <w:rsid w:val="008A5C76"/>
    <w:rsid w:val="008A5FCE"/>
    <w:rsid w:val="008A6337"/>
    <w:rsid w:val="008A674D"/>
    <w:rsid w:val="008A6DEE"/>
    <w:rsid w:val="008A7937"/>
    <w:rsid w:val="008A7CB8"/>
    <w:rsid w:val="008A7F64"/>
    <w:rsid w:val="008B027F"/>
    <w:rsid w:val="008B0899"/>
    <w:rsid w:val="008B0C24"/>
    <w:rsid w:val="008B1029"/>
    <w:rsid w:val="008B1576"/>
    <w:rsid w:val="008B1782"/>
    <w:rsid w:val="008B1F5E"/>
    <w:rsid w:val="008B1FD2"/>
    <w:rsid w:val="008B22F1"/>
    <w:rsid w:val="008B3280"/>
    <w:rsid w:val="008B336C"/>
    <w:rsid w:val="008B3478"/>
    <w:rsid w:val="008B49A9"/>
    <w:rsid w:val="008B4B8B"/>
    <w:rsid w:val="008B4F22"/>
    <w:rsid w:val="008B5448"/>
    <w:rsid w:val="008B5752"/>
    <w:rsid w:val="008B625D"/>
    <w:rsid w:val="008B6308"/>
    <w:rsid w:val="008B66E2"/>
    <w:rsid w:val="008B6A65"/>
    <w:rsid w:val="008B70F0"/>
    <w:rsid w:val="008B74C8"/>
    <w:rsid w:val="008B778F"/>
    <w:rsid w:val="008B7929"/>
    <w:rsid w:val="008C0001"/>
    <w:rsid w:val="008C0067"/>
    <w:rsid w:val="008C0B10"/>
    <w:rsid w:val="008C0DA0"/>
    <w:rsid w:val="008C0E3B"/>
    <w:rsid w:val="008C0E45"/>
    <w:rsid w:val="008C0F45"/>
    <w:rsid w:val="008C1551"/>
    <w:rsid w:val="008C16AE"/>
    <w:rsid w:val="008C1E31"/>
    <w:rsid w:val="008C3691"/>
    <w:rsid w:val="008C3714"/>
    <w:rsid w:val="008C3BE4"/>
    <w:rsid w:val="008C3D8C"/>
    <w:rsid w:val="008C3E51"/>
    <w:rsid w:val="008C4BF4"/>
    <w:rsid w:val="008C56B4"/>
    <w:rsid w:val="008C578E"/>
    <w:rsid w:val="008C5B7E"/>
    <w:rsid w:val="008C5C80"/>
    <w:rsid w:val="008C5E50"/>
    <w:rsid w:val="008C6290"/>
    <w:rsid w:val="008C6662"/>
    <w:rsid w:val="008C6813"/>
    <w:rsid w:val="008C6853"/>
    <w:rsid w:val="008C6A6B"/>
    <w:rsid w:val="008C6BAE"/>
    <w:rsid w:val="008C7D72"/>
    <w:rsid w:val="008D0320"/>
    <w:rsid w:val="008D0A8E"/>
    <w:rsid w:val="008D0F65"/>
    <w:rsid w:val="008D13B2"/>
    <w:rsid w:val="008D14F7"/>
    <w:rsid w:val="008D163C"/>
    <w:rsid w:val="008D1A7B"/>
    <w:rsid w:val="008D1E32"/>
    <w:rsid w:val="008D2032"/>
    <w:rsid w:val="008D2374"/>
    <w:rsid w:val="008D2962"/>
    <w:rsid w:val="008D2D25"/>
    <w:rsid w:val="008D3091"/>
    <w:rsid w:val="008D375D"/>
    <w:rsid w:val="008D3C7E"/>
    <w:rsid w:val="008D4BCB"/>
    <w:rsid w:val="008D4C3F"/>
    <w:rsid w:val="008D4C64"/>
    <w:rsid w:val="008D4D2B"/>
    <w:rsid w:val="008D5022"/>
    <w:rsid w:val="008D522A"/>
    <w:rsid w:val="008D5EBF"/>
    <w:rsid w:val="008D5F52"/>
    <w:rsid w:val="008D62C1"/>
    <w:rsid w:val="008D647B"/>
    <w:rsid w:val="008D6902"/>
    <w:rsid w:val="008D6CED"/>
    <w:rsid w:val="008D75D2"/>
    <w:rsid w:val="008D77E8"/>
    <w:rsid w:val="008D79A0"/>
    <w:rsid w:val="008D79C2"/>
    <w:rsid w:val="008D7D66"/>
    <w:rsid w:val="008E00B1"/>
    <w:rsid w:val="008E10C9"/>
    <w:rsid w:val="008E1526"/>
    <w:rsid w:val="008E174F"/>
    <w:rsid w:val="008E201B"/>
    <w:rsid w:val="008E2813"/>
    <w:rsid w:val="008E285E"/>
    <w:rsid w:val="008E2C73"/>
    <w:rsid w:val="008E3478"/>
    <w:rsid w:val="008E3FB6"/>
    <w:rsid w:val="008E489A"/>
    <w:rsid w:val="008E48D1"/>
    <w:rsid w:val="008E4EE8"/>
    <w:rsid w:val="008E5044"/>
    <w:rsid w:val="008E5144"/>
    <w:rsid w:val="008E5199"/>
    <w:rsid w:val="008E5270"/>
    <w:rsid w:val="008E5470"/>
    <w:rsid w:val="008E56A2"/>
    <w:rsid w:val="008E56F7"/>
    <w:rsid w:val="008E599E"/>
    <w:rsid w:val="008E5EAB"/>
    <w:rsid w:val="008E5FCB"/>
    <w:rsid w:val="008E6427"/>
    <w:rsid w:val="008E660A"/>
    <w:rsid w:val="008E6C8D"/>
    <w:rsid w:val="008E6ED5"/>
    <w:rsid w:val="008E73B4"/>
    <w:rsid w:val="008E755E"/>
    <w:rsid w:val="008E78D4"/>
    <w:rsid w:val="008E7BEB"/>
    <w:rsid w:val="008F0551"/>
    <w:rsid w:val="008F0852"/>
    <w:rsid w:val="008F14D6"/>
    <w:rsid w:val="008F1B1A"/>
    <w:rsid w:val="008F1E9F"/>
    <w:rsid w:val="008F259C"/>
    <w:rsid w:val="008F28A6"/>
    <w:rsid w:val="008F311E"/>
    <w:rsid w:val="008F33E4"/>
    <w:rsid w:val="008F3B30"/>
    <w:rsid w:val="008F41A1"/>
    <w:rsid w:val="008F4397"/>
    <w:rsid w:val="008F4481"/>
    <w:rsid w:val="008F52F8"/>
    <w:rsid w:val="008F59BE"/>
    <w:rsid w:val="008F5D63"/>
    <w:rsid w:val="008F5E72"/>
    <w:rsid w:val="008F64F9"/>
    <w:rsid w:val="008F6F9C"/>
    <w:rsid w:val="008F7178"/>
    <w:rsid w:val="008F722C"/>
    <w:rsid w:val="008F72F4"/>
    <w:rsid w:val="008F732B"/>
    <w:rsid w:val="008F7639"/>
    <w:rsid w:val="008F7D94"/>
    <w:rsid w:val="009004A9"/>
    <w:rsid w:val="00900F2A"/>
    <w:rsid w:val="00900F82"/>
    <w:rsid w:val="00901B83"/>
    <w:rsid w:val="00901F96"/>
    <w:rsid w:val="0090245B"/>
    <w:rsid w:val="00902635"/>
    <w:rsid w:val="0090287A"/>
    <w:rsid w:val="00902931"/>
    <w:rsid w:val="00902AAE"/>
    <w:rsid w:val="00902E7F"/>
    <w:rsid w:val="009031E4"/>
    <w:rsid w:val="00903715"/>
    <w:rsid w:val="009040E9"/>
    <w:rsid w:val="00904743"/>
    <w:rsid w:val="009049C3"/>
    <w:rsid w:val="00904F34"/>
    <w:rsid w:val="00905BCE"/>
    <w:rsid w:val="00905E5A"/>
    <w:rsid w:val="009060CF"/>
    <w:rsid w:val="00906821"/>
    <w:rsid w:val="00906839"/>
    <w:rsid w:val="00906900"/>
    <w:rsid w:val="00906ED2"/>
    <w:rsid w:val="009070D0"/>
    <w:rsid w:val="009072F3"/>
    <w:rsid w:val="00907A2F"/>
    <w:rsid w:val="00907A6D"/>
    <w:rsid w:val="009102E9"/>
    <w:rsid w:val="00910540"/>
    <w:rsid w:val="009112E4"/>
    <w:rsid w:val="009114D6"/>
    <w:rsid w:val="009115F9"/>
    <w:rsid w:val="009118D7"/>
    <w:rsid w:val="0091362A"/>
    <w:rsid w:val="009138A2"/>
    <w:rsid w:val="00913B7F"/>
    <w:rsid w:val="00914490"/>
    <w:rsid w:val="00914951"/>
    <w:rsid w:val="00914CD5"/>
    <w:rsid w:val="00916BF8"/>
    <w:rsid w:val="0091722A"/>
    <w:rsid w:val="009176DD"/>
    <w:rsid w:val="0091794A"/>
    <w:rsid w:val="00917C08"/>
    <w:rsid w:val="009203E1"/>
    <w:rsid w:val="0092053F"/>
    <w:rsid w:val="00920AA0"/>
    <w:rsid w:val="00920D09"/>
    <w:rsid w:val="00921043"/>
    <w:rsid w:val="009210DF"/>
    <w:rsid w:val="00921362"/>
    <w:rsid w:val="009216AE"/>
    <w:rsid w:val="00922197"/>
    <w:rsid w:val="009222E7"/>
    <w:rsid w:val="0092274B"/>
    <w:rsid w:val="00922780"/>
    <w:rsid w:val="00922BF3"/>
    <w:rsid w:val="00922CC3"/>
    <w:rsid w:val="0092327A"/>
    <w:rsid w:val="0092359D"/>
    <w:rsid w:val="00923687"/>
    <w:rsid w:val="009236EB"/>
    <w:rsid w:val="00923777"/>
    <w:rsid w:val="00923B75"/>
    <w:rsid w:val="0092409F"/>
    <w:rsid w:val="0092486B"/>
    <w:rsid w:val="0092537B"/>
    <w:rsid w:val="00926525"/>
    <w:rsid w:val="0092657E"/>
    <w:rsid w:val="00926BA3"/>
    <w:rsid w:val="00927ADD"/>
    <w:rsid w:val="00930C71"/>
    <w:rsid w:val="00930F53"/>
    <w:rsid w:val="00931158"/>
    <w:rsid w:val="00931C6C"/>
    <w:rsid w:val="00931CEE"/>
    <w:rsid w:val="00932A10"/>
    <w:rsid w:val="00933221"/>
    <w:rsid w:val="009335D7"/>
    <w:rsid w:val="009338C3"/>
    <w:rsid w:val="00933C64"/>
    <w:rsid w:val="00933FDC"/>
    <w:rsid w:val="00934675"/>
    <w:rsid w:val="00934A97"/>
    <w:rsid w:val="00934C65"/>
    <w:rsid w:val="00936798"/>
    <w:rsid w:val="00936B63"/>
    <w:rsid w:val="00936B90"/>
    <w:rsid w:val="00937007"/>
    <w:rsid w:val="0093745F"/>
    <w:rsid w:val="00937C65"/>
    <w:rsid w:val="00937FD5"/>
    <w:rsid w:val="0094035A"/>
    <w:rsid w:val="0094054F"/>
    <w:rsid w:val="00940E7C"/>
    <w:rsid w:val="00941343"/>
    <w:rsid w:val="00941367"/>
    <w:rsid w:val="00941614"/>
    <w:rsid w:val="00941AC0"/>
    <w:rsid w:val="00941F63"/>
    <w:rsid w:val="00942150"/>
    <w:rsid w:val="00942319"/>
    <w:rsid w:val="00942840"/>
    <w:rsid w:val="00942A5B"/>
    <w:rsid w:val="00943093"/>
    <w:rsid w:val="00943140"/>
    <w:rsid w:val="00943706"/>
    <w:rsid w:val="0094415D"/>
    <w:rsid w:val="00944AD2"/>
    <w:rsid w:val="009452A1"/>
    <w:rsid w:val="0094539A"/>
    <w:rsid w:val="00945789"/>
    <w:rsid w:val="009459E8"/>
    <w:rsid w:val="00945CA9"/>
    <w:rsid w:val="00945FCF"/>
    <w:rsid w:val="00946068"/>
    <w:rsid w:val="00946A81"/>
    <w:rsid w:val="00946D70"/>
    <w:rsid w:val="00946E04"/>
    <w:rsid w:val="009470BE"/>
    <w:rsid w:val="009474FD"/>
    <w:rsid w:val="00947572"/>
    <w:rsid w:val="0094785C"/>
    <w:rsid w:val="00947D42"/>
    <w:rsid w:val="00947FAC"/>
    <w:rsid w:val="009507BA"/>
    <w:rsid w:val="00950FF5"/>
    <w:rsid w:val="00951198"/>
    <w:rsid w:val="009513D9"/>
    <w:rsid w:val="00951430"/>
    <w:rsid w:val="00951A12"/>
    <w:rsid w:val="00951BC3"/>
    <w:rsid w:val="00951C8A"/>
    <w:rsid w:val="00951ED6"/>
    <w:rsid w:val="00952593"/>
    <w:rsid w:val="0095275E"/>
    <w:rsid w:val="00952863"/>
    <w:rsid w:val="00952A8B"/>
    <w:rsid w:val="00953859"/>
    <w:rsid w:val="00953D65"/>
    <w:rsid w:val="00954188"/>
    <w:rsid w:val="00954327"/>
    <w:rsid w:val="00954E0C"/>
    <w:rsid w:val="009553EE"/>
    <w:rsid w:val="0095568F"/>
    <w:rsid w:val="00955738"/>
    <w:rsid w:val="00955F90"/>
    <w:rsid w:val="0095641C"/>
    <w:rsid w:val="00956C4F"/>
    <w:rsid w:val="00957169"/>
    <w:rsid w:val="0095728A"/>
    <w:rsid w:val="0095745E"/>
    <w:rsid w:val="00957C15"/>
    <w:rsid w:val="0096011A"/>
    <w:rsid w:val="009604C2"/>
    <w:rsid w:val="00960B31"/>
    <w:rsid w:val="00961515"/>
    <w:rsid w:val="00961792"/>
    <w:rsid w:val="009617DC"/>
    <w:rsid w:val="00961991"/>
    <w:rsid w:val="00961FFB"/>
    <w:rsid w:val="0096272B"/>
    <w:rsid w:val="00963119"/>
    <w:rsid w:val="009631C3"/>
    <w:rsid w:val="00963510"/>
    <w:rsid w:val="009636EC"/>
    <w:rsid w:val="009637E6"/>
    <w:rsid w:val="009640A7"/>
    <w:rsid w:val="009648EE"/>
    <w:rsid w:val="0096499F"/>
    <w:rsid w:val="00964FC9"/>
    <w:rsid w:val="0096522F"/>
    <w:rsid w:val="009653BD"/>
    <w:rsid w:val="00965420"/>
    <w:rsid w:val="00966162"/>
    <w:rsid w:val="0096634B"/>
    <w:rsid w:val="009664CF"/>
    <w:rsid w:val="009665A9"/>
    <w:rsid w:val="00966B9B"/>
    <w:rsid w:val="00966EA1"/>
    <w:rsid w:val="009670FD"/>
    <w:rsid w:val="009671FD"/>
    <w:rsid w:val="00967531"/>
    <w:rsid w:val="009675B3"/>
    <w:rsid w:val="00967BBD"/>
    <w:rsid w:val="00967F0C"/>
    <w:rsid w:val="009703CE"/>
    <w:rsid w:val="009707B4"/>
    <w:rsid w:val="009715E0"/>
    <w:rsid w:val="0097199C"/>
    <w:rsid w:val="00971D6E"/>
    <w:rsid w:val="009721E9"/>
    <w:rsid w:val="00972286"/>
    <w:rsid w:val="009722FF"/>
    <w:rsid w:val="0097247C"/>
    <w:rsid w:val="00972E11"/>
    <w:rsid w:val="009730F3"/>
    <w:rsid w:val="0097334F"/>
    <w:rsid w:val="00973E02"/>
    <w:rsid w:val="009742AA"/>
    <w:rsid w:val="00974E22"/>
    <w:rsid w:val="00974E81"/>
    <w:rsid w:val="00974EBA"/>
    <w:rsid w:val="0097571A"/>
    <w:rsid w:val="00975894"/>
    <w:rsid w:val="009759AE"/>
    <w:rsid w:val="00975D3E"/>
    <w:rsid w:val="00976041"/>
    <w:rsid w:val="009760C4"/>
    <w:rsid w:val="00976439"/>
    <w:rsid w:val="0097647E"/>
    <w:rsid w:val="009765C2"/>
    <w:rsid w:val="009769DC"/>
    <w:rsid w:val="00976E9C"/>
    <w:rsid w:val="009771CB"/>
    <w:rsid w:val="00977285"/>
    <w:rsid w:val="0097753A"/>
    <w:rsid w:val="0097769C"/>
    <w:rsid w:val="00980383"/>
    <w:rsid w:val="0098042C"/>
    <w:rsid w:val="0098088F"/>
    <w:rsid w:val="00980F42"/>
    <w:rsid w:val="00981056"/>
    <w:rsid w:val="009811E3"/>
    <w:rsid w:val="00981FDB"/>
    <w:rsid w:val="009823E0"/>
    <w:rsid w:val="00982710"/>
    <w:rsid w:val="0098277F"/>
    <w:rsid w:val="00982AE9"/>
    <w:rsid w:val="00982B69"/>
    <w:rsid w:val="009836D4"/>
    <w:rsid w:val="00983FA3"/>
    <w:rsid w:val="00984CBD"/>
    <w:rsid w:val="0098539A"/>
    <w:rsid w:val="00985574"/>
    <w:rsid w:val="00986263"/>
    <w:rsid w:val="009865C9"/>
    <w:rsid w:val="00986D8F"/>
    <w:rsid w:val="0098703A"/>
    <w:rsid w:val="009872FD"/>
    <w:rsid w:val="00987B30"/>
    <w:rsid w:val="00987EE8"/>
    <w:rsid w:val="009906B0"/>
    <w:rsid w:val="00990784"/>
    <w:rsid w:val="0099126F"/>
    <w:rsid w:val="009912CD"/>
    <w:rsid w:val="009914C7"/>
    <w:rsid w:val="00991550"/>
    <w:rsid w:val="009922C1"/>
    <w:rsid w:val="0099327C"/>
    <w:rsid w:val="0099337D"/>
    <w:rsid w:val="009935D6"/>
    <w:rsid w:val="0099369D"/>
    <w:rsid w:val="00994017"/>
    <w:rsid w:val="00994365"/>
    <w:rsid w:val="00994689"/>
    <w:rsid w:val="00994BB5"/>
    <w:rsid w:val="00994CB4"/>
    <w:rsid w:val="009953C9"/>
    <w:rsid w:val="009964FE"/>
    <w:rsid w:val="00996FC0"/>
    <w:rsid w:val="009970DD"/>
    <w:rsid w:val="00997228"/>
    <w:rsid w:val="0099737B"/>
    <w:rsid w:val="009974DF"/>
    <w:rsid w:val="009974EB"/>
    <w:rsid w:val="00997654"/>
    <w:rsid w:val="00997996"/>
    <w:rsid w:val="00997A9B"/>
    <w:rsid w:val="00997BCA"/>
    <w:rsid w:val="00997D1D"/>
    <w:rsid w:val="00997E03"/>
    <w:rsid w:val="009A0366"/>
    <w:rsid w:val="009A045E"/>
    <w:rsid w:val="009A0A31"/>
    <w:rsid w:val="009A13AB"/>
    <w:rsid w:val="009A1A2D"/>
    <w:rsid w:val="009A1ACE"/>
    <w:rsid w:val="009A1BA0"/>
    <w:rsid w:val="009A1F3B"/>
    <w:rsid w:val="009A2041"/>
    <w:rsid w:val="009A2220"/>
    <w:rsid w:val="009A2305"/>
    <w:rsid w:val="009A263F"/>
    <w:rsid w:val="009A2908"/>
    <w:rsid w:val="009A2D0A"/>
    <w:rsid w:val="009A3639"/>
    <w:rsid w:val="009A3881"/>
    <w:rsid w:val="009A3975"/>
    <w:rsid w:val="009A3E77"/>
    <w:rsid w:val="009A3F84"/>
    <w:rsid w:val="009A410E"/>
    <w:rsid w:val="009A45DC"/>
    <w:rsid w:val="009A487B"/>
    <w:rsid w:val="009A4F6F"/>
    <w:rsid w:val="009A50EA"/>
    <w:rsid w:val="009A52BE"/>
    <w:rsid w:val="009A69F3"/>
    <w:rsid w:val="009A6D2E"/>
    <w:rsid w:val="009A6E4E"/>
    <w:rsid w:val="009A6E61"/>
    <w:rsid w:val="009A713D"/>
    <w:rsid w:val="009A7B6B"/>
    <w:rsid w:val="009A7F3F"/>
    <w:rsid w:val="009B0243"/>
    <w:rsid w:val="009B0920"/>
    <w:rsid w:val="009B0E08"/>
    <w:rsid w:val="009B10BE"/>
    <w:rsid w:val="009B17B4"/>
    <w:rsid w:val="009B24E7"/>
    <w:rsid w:val="009B27F6"/>
    <w:rsid w:val="009B2D15"/>
    <w:rsid w:val="009B2E0D"/>
    <w:rsid w:val="009B2FE8"/>
    <w:rsid w:val="009B3B49"/>
    <w:rsid w:val="009B3CF3"/>
    <w:rsid w:val="009B3D4C"/>
    <w:rsid w:val="009B3FA2"/>
    <w:rsid w:val="009B3FCE"/>
    <w:rsid w:val="009B4BC9"/>
    <w:rsid w:val="009B50CC"/>
    <w:rsid w:val="009B5604"/>
    <w:rsid w:val="009B5ADB"/>
    <w:rsid w:val="009B5D47"/>
    <w:rsid w:val="009B5DCA"/>
    <w:rsid w:val="009B6147"/>
    <w:rsid w:val="009B666C"/>
    <w:rsid w:val="009B705E"/>
    <w:rsid w:val="009B77FC"/>
    <w:rsid w:val="009C00F3"/>
    <w:rsid w:val="009C015B"/>
    <w:rsid w:val="009C0935"/>
    <w:rsid w:val="009C0FA3"/>
    <w:rsid w:val="009C19AC"/>
    <w:rsid w:val="009C1A0F"/>
    <w:rsid w:val="009C1BA4"/>
    <w:rsid w:val="009C245D"/>
    <w:rsid w:val="009C2C98"/>
    <w:rsid w:val="009C2F1F"/>
    <w:rsid w:val="009C3891"/>
    <w:rsid w:val="009C3A88"/>
    <w:rsid w:val="009C3FDA"/>
    <w:rsid w:val="009C4B4A"/>
    <w:rsid w:val="009C4CE4"/>
    <w:rsid w:val="009C55F0"/>
    <w:rsid w:val="009C597F"/>
    <w:rsid w:val="009C5D0C"/>
    <w:rsid w:val="009C7012"/>
    <w:rsid w:val="009C74C4"/>
    <w:rsid w:val="009C7603"/>
    <w:rsid w:val="009C7965"/>
    <w:rsid w:val="009C7BE0"/>
    <w:rsid w:val="009C7C1E"/>
    <w:rsid w:val="009D029F"/>
    <w:rsid w:val="009D145A"/>
    <w:rsid w:val="009D1769"/>
    <w:rsid w:val="009D1858"/>
    <w:rsid w:val="009D1E8F"/>
    <w:rsid w:val="009D20A9"/>
    <w:rsid w:val="009D2D1F"/>
    <w:rsid w:val="009D2E7D"/>
    <w:rsid w:val="009D3126"/>
    <w:rsid w:val="009D36CB"/>
    <w:rsid w:val="009D3A76"/>
    <w:rsid w:val="009D3ABD"/>
    <w:rsid w:val="009D3B07"/>
    <w:rsid w:val="009D43EF"/>
    <w:rsid w:val="009D45C2"/>
    <w:rsid w:val="009D4711"/>
    <w:rsid w:val="009D4AC0"/>
    <w:rsid w:val="009D57C1"/>
    <w:rsid w:val="009D6254"/>
    <w:rsid w:val="009D65FC"/>
    <w:rsid w:val="009D695E"/>
    <w:rsid w:val="009D6DD1"/>
    <w:rsid w:val="009D73F6"/>
    <w:rsid w:val="009D787C"/>
    <w:rsid w:val="009D7DB7"/>
    <w:rsid w:val="009D7E8A"/>
    <w:rsid w:val="009E0BEA"/>
    <w:rsid w:val="009E0D30"/>
    <w:rsid w:val="009E0DDE"/>
    <w:rsid w:val="009E113B"/>
    <w:rsid w:val="009E16DC"/>
    <w:rsid w:val="009E20D1"/>
    <w:rsid w:val="009E2688"/>
    <w:rsid w:val="009E2760"/>
    <w:rsid w:val="009E284A"/>
    <w:rsid w:val="009E3326"/>
    <w:rsid w:val="009E342E"/>
    <w:rsid w:val="009E3484"/>
    <w:rsid w:val="009E3874"/>
    <w:rsid w:val="009E3CB5"/>
    <w:rsid w:val="009E4826"/>
    <w:rsid w:val="009E484A"/>
    <w:rsid w:val="009E4A89"/>
    <w:rsid w:val="009E4CE4"/>
    <w:rsid w:val="009E4E39"/>
    <w:rsid w:val="009E4F3B"/>
    <w:rsid w:val="009E5452"/>
    <w:rsid w:val="009E5579"/>
    <w:rsid w:val="009E5B63"/>
    <w:rsid w:val="009E5CFE"/>
    <w:rsid w:val="009E6172"/>
    <w:rsid w:val="009E62A8"/>
    <w:rsid w:val="009E62E0"/>
    <w:rsid w:val="009E63EB"/>
    <w:rsid w:val="009E6401"/>
    <w:rsid w:val="009E68A0"/>
    <w:rsid w:val="009E68D8"/>
    <w:rsid w:val="009E6B62"/>
    <w:rsid w:val="009E6C70"/>
    <w:rsid w:val="009E6C87"/>
    <w:rsid w:val="009E6E27"/>
    <w:rsid w:val="009F05B1"/>
    <w:rsid w:val="009F0B1C"/>
    <w:rsid w:val="009F0C3A"/>
    <w:rsid w:val="009F1075"/>
    <w:rsid w:val="009F1237"/>
    <w:rsid w:val="009F17B7"/>
    <w:rsid w:val="009F18F5"/>
    <w:rsid w:val="009F1962"/>
    <w:rsid w:val="009F214F"/>
    <w:rsid w:val="009F2158"/>
    <w:rsid w:val="009F2255"/>
    <w:rsid w:val="009F24C1"/>
    <w:rsid w:val="009F2647"/>
    <w:rsid w:val="009F289D"/>
    <w:rsid w:val="009F3DE0"/>
    <w:rsid w:val="009F3F05"/>
    <w:rsid w:val="009F441F"/>
    <w:rsid w:val="009F444D"/>
    <w:rsid w:val="009F44B2"/>
    <w:rsid w:val="009F458A"/>
    <w:rsid w:val="009F51F9"/>
    <w:rsid w:val="009F527A"/>
    <w:rsid w:val="009F593E"/>
    <w:rsid w:val="009F5C8C"/>
    <w:rsid w:val="009F5D55"/>
    <w:rsid w:val="009F5DB4"/>
    <w:rsid w:val="009F5F79"/>
    <w:rsid w:val="009F6CA2"/>
    <w:rsid w:val="009F6D35"/>
    <w:rsid w:val="009F74C9"/>
    <w:rsid w:val="009F75F9"/>
    <w:rsid w:val="009F7FF9"/>
    <w:rsid w:val="00A001E0"/>
    <w:rsid w:val="00A003C6"/>
    <w:rsid w:val="00A00764"/>
    <w:rsid w:val="00A011E1"/>
    <w:rsid w:val="00A015A8"/>
    <w:rsid w:val="00A0161F"/>
    <w:rsid w:val="00A01ABB"/>
    <w:rsid w:val="00A02228"/>
    <w:rsid w:val="00A022A7"/>
    <w:rsid w:val="00A0251A"/>
    <w:rsid w:val="00A031A3"/>
    <w:rsid w:val="00A03580"/>
    <w:rsid w:val="00A03BCF"/>
    <w:rsid w:val="00A03CE6"/>
    <w:rsid w:val="00A041AE"/>
    <w:rsid w:val="00A0467F"/>
    <w:rsid w:val="00A04E6A"/>
    <w:rsid w:val="00A05227"/>
    <w:rsid w:val="00A05CDB"/>
    <w:rsid w:val="00A05FA8"/>
    <w:rsid w:val="00A060B8"/>
    <w:rsid w:val="00A06496"/>
    <w:rsid w:val="00A06714"/>
    <w:rsid w:val="00A06BA1"/>
    <w:rsid w:val="00A07474"/>
    <w:rsid w:val="00A07F72"/>
    <w:rsid w:val="00A10251"/>
    <w:rsid w:val="00A107C6"/>
    <w:rsid w:val="00A10819"/>
    <w:rsid w:val="00A10904"/>
    <w:rsid w:val="00A11B19"/>
    <w:rsid w:val="00A11BD1"/>
    <w:rsid w:val="00A11EFE"/>
    <w:rsid w:val="00A11F27"/>
    <w:rsid w:val="00A1256C"/>
    <w:rsid w:val="00A12802"/>
    <w:rsid w:val="00A12CE0"/>
    <w:rsid w:val="00A13B9D"/>
    <w:rsid w:val="00A13ECF"/>
    <w:rsid w:val="00A13F5D"/>
    <w:rsid w:val="00A146B9"/>
    <w:rsid w:val="00A14707"/>
    <w:rsid w:val="00A1474A"/>
    <w:rsid w:val="00A147B1"/>
    <w:rsid w:val="00A14859"/>
    <w:rsid w:val="00A14B72"/>
    <w:rsid w:val="00A14FE7"/>
    <w:rsid w:val="00A15054"/>
    <w:rsid w:val="00A15EF7"/>
    <w:rsid w:val="00A160E3"/>
    <w:rsid w:val="00A166E0"/>
    <w:rsid w:val="00A1672F"/>
    <w:rsid w:val="00A17A26"/>
    <w:rsid w:val="00A17A7D"/>
    <w:rsid w:val="00A200AF"/>
    <w:rsid w:val="00A20B81"/>
    <w:rsid w:val="00A2151E"/>
    <w:rsid w:val="00A2175C"/>
    <w:rsid w:val="00A21982"/>
    <w:rsid w:val="00A220D2"/>
    <w:rsid w:val="00A222F3"/>
    <w:rsid w:val="00A22765"/>
    <w:rsid w:val="00A22A08"/>
    <w:rsid w:val="00A22C63"/>
    <w:rsid w:val="00A22CA3"/>
    <w:rsid w:val="00A22EF3"/>
    <w:rsid w:val="00A23961"/>
    <w:rsid w:val="00A23F2F"/>
    <w:rsid w:val="00A243EE"/>
    <w:rsid w:val="00A24952"/>
    <w:rsid w:val="00A24A57"/>
    <w:rsid w:val="00A24B9E"/>
    <w:rsid w:val="00A25383"/>
    <w:rsid w:val="00A25B29"/>
    <w:rsid w:val="00A25CBC"/>
    <w:rsid w:val="00A26598"/>
    <w:rsid w:val="00A267B3"/>
    <w:rsid w:val="00A26AA3"/>
    <w:rsid w:val="00A271B0"/>
    <w:rsid w:val="00A300D9"/>
    <w:rsid w:val="00A3013F"/>
    <w:rsid w:val="00A30521"/>
    <w:rsid w:val="00A30ADD"/>
    <w:rsid w:val="00A30FC2"/>
    <w:rsid w:val="00A3105F"/>
    <w:rsid w:val="00A3119F"/>
    <w:rsid w:val="00A31214"/>
    <w:rsid w:val="00A314A7"/>
    <w:rsid w:val="00A3171C"/>
    <w:rsid w:val="00A325A4"/>
    <w:rsid w:val="00A329B4"/>
    <w:rsid w:val="00A32A91"/>
    <w:rsid w:val="00A32E5B"/>
    <w:rsid w:val="00A34393"/>
    <w:rsid w:val="00A34783"/>
    <w:rsid w:val="00A348E0"/>
    <w:rsid w:val="00A34DBA"/>
    <w:rsid w:val="00A34DE9"/>
    <w:rsid w:val="00A35694"/>
    <w:rsid w:val="00A35A03"/>
    <w:rsid w:val="00A35E70"/>
    <w:rsid w:val="00A3600A"/>
    <w:rsid w:val="00A3622B"/>
    <w:rsid w:val="00A36A0F"/>
    <w:rsid w:val="00A36CEE"/>
    <w:rsid w:val="00A36E38"/>
    <w:rsid w:val="00A3727C"/>
    <w:rsid w:val="00A3797A"/>
    <w:rsid w:val="00A40B46"/>
    <w:rsid w:val="00A40FC7"/>
    <w:rsid w:val="00A4132D"/>
    <w:rsid w:val="00A41513"/>
    <w:rsid w:val="00A415C6"/>
    <w:rsid w:val="00A419AC"/>
    <w:rsid w:val="00A41F04"/>
    <w:rsid w:val="00A421D0"/>
    <w:rsid w:val="00A42466"/>
    <w:rsid w:val="00A426E0"/>
    <w:rsid w:val="00A42F7C"/>
    <w:rsid w:val="00A430E3"/>
    <w:rsid w:val="00A436D2"/>
    <w:rsid w:val="00A438A6"/>
    <w:rsid w:val="00A43D4D"/>
    <w:rsid w:val="00A43DAD"/>
    <w:rsid w:val="00A4437E"/>
    <w:rsid w:val="00A448F1"/>
    <w:rsid w:val="00A451D5"/>
    <w:rsid w:val="00A45608"/>
    <w:rsid w:val="00A4574C"/>
    <w:rsid w:val="00A45A08"/>
    <w:rsid w:val="00A45A2E"/>
    <w:rsid w:val="00A45D8B"/>
    <w:rsid w:val="00A45FC1"/>
    <w:rsid w:val="00A46BFD"/>
    <w:rsid w:val="00A46CD6"/>
    <w:rsid w:val="00A47834"/>
    <w:rsid w:val="00A47857"/>
    <w:rsid w:val="00A47BFF"/>
    <w:rsid w:val="00A5014B"/>
    <w:rsid w:val="00A5037A"/>
    <w:rsid w:val="00A51C3C"/>
    <w:rsid w:val="00A51DAD"/>
    <w:rsid w:val="00A52F18"/>
    <w:rsid w:val="00A5354F"/>
    <w:rsid w:val="00A53702"/>
    <w:rsid w:val="00A55554"/>
    <w:rsid w:val="00A556B6"/>
    <w:rsid w:val="00A55A5D"/>
    <w:rsid w:val="00A55FB8"/>
    <w:rsid w:val="00A564B4"/>
    <w:rsid w:val="00A56556"/>
    <w:rsid w:val="00A567C4"/>
    <w:rsid w:val="00A56AF4"/>
    <w:rsid w:val="00A5734F"/>
    <w:rsid w:val="00A575E3"/>
    <w:rsid w:val="00A579B2"/>
    <w:rsid w:val="00A57AC5"/>
    <w:rsid w:val="00A57E6E"/>
    <w:rsid w:val="00A60273"/>
    <w:rsid w:val="00A6030D"/>
    <w:rsid w:val="00A603D9"/>
    <w:rsid w:val="00A6082B"/>
    <w:rsid w:val="00A608C4"/>
    <w:rsid w:val="00A60930"/>
    <w:rsid w:val="00A60A6E"/>
    <w:rsid w:val="00A61181"/>
    <w:rsid w:val="00A61EA1"/>
    <w:rsid w:val="00A6296E"/>
    <w:rsid w:val="00A62A7B"/>
    <w:rsid w:val="00A636A1"/>
    <w:rsid w:val="00A64423"/>
    <w:rsid w:val="00A64B99"/>
    <w:rsid w:val="00A65A1E"/>
    <w:rsid w:val="00A66CFD"/>
    <w:rsid w:val="00A672D6"/>
    <w:rsid w:val="00A70083"/>
    <w:rsid w:val="00A7015A"/>
    <w:rsid w:val="00A7041A"/>
    <w:rsid w:val="00A707AE"/>
    <w:rsid w:val="00A707CE"/>
    <w:rsid w:val="00A71047"/>
    <w:rsid w:val="00A71BD1"/>
    <w:rsid w:val="00A72338"/>
    <w:rsid w:val="00A72DFD"/>
    <w:rsid w:val="00A73155"/>
    <w:rsid w:val="00A73AD5"/>
    <w:rsid w:val="00A741A5"/>
    <w:rsid w:val="00A74A51"/>
    <w:rsid w:val="00A74A71"/>
    <w:rsid w:val="00A74FE6"/>
    <w:rsid w:val="00A75044"/>
    <w:rsid w:val="00A753C1"/>
    <w:rsid w:val="00A754CD"/>
    <w:rsid w:val="00A762E1"/>
    <w:rsid w:val="00A7642E"/>
    <w:rsid w:val="00A76911"/>
    <w:rsid w:val="00A774B5"/>
    <w:rsid w:val="00A803DD"/>
    <w:rsid w:val="00A808D6"/>
    <w:rsid w:val="00A80DEC"/>
    <w:rsid w:val="00A80FF0"/>
    <w:rsid w:val="00A81183"/>
    <w:rsid w:val="00A811B0"/>
    <w:rsid w:val="00A8126D"/>
    <w:rsid w:val="00A815D1"/>
    <w:rsid w:val="00A819CA"/>
    <w:rsid w:val="00A81FD6"/>
    <w:rsid w:val="00A82244"/>
    <w:rsid w:val="00A8247B"/>
    <w:rsid w:val="00A8261C"/>
    <w:rsid w:val="00A82863"/>
    <w:rsid w:val="00A82B68"/>
    <w:rsid w:val="00A82DA7"/>
    <w:rsid w:val="00A83179"/>
    <w:rsid w:val="00A833E6"/>
    <w:rsid w:val="00A835AE"/>
    <w:rsid w:val="00A83693"/>
    <w:rsid w:val="00A83C7A"/>
    <w:rsid w:val="00A83D5E"/>
    <w:rsid w:val="00A83D80"/>
    <w:rsid w:val="00A83DD9"/>
    <w:rsid w:val="00A83EAE"/>
    <w:rsid w:val="00A841AE"/>
    <w:rsid w:val="00A84428"/>
    <w:rsid w:val="00A844C1"/>
    <w:rsid w:val="00A85820"/>
    <w:rsid w:val="00A85B7F"/>
    <w:rsid w:val="00A863BB"/>
    <w:rsid w:val="00A8657F"/>
    <w:rsid w:val="00A8674B"/>
    <w:rsid w:val="00A868CE"/>
    <w:rsid w:val="00A86EB3"/>
    <w:rsid w:val="00A870BF"/>
    <w:rsid w:val="00A876E4"/>
    <w:rsid w:val="00A8791D"/>
    <w:rsid w:val="00A87F14"/>
    <w:rsid w:val="00A87F28"/>
    <w:rsid w:val="00A87F9B"/>
    <w:rsid w:val="00A90463"/>
    <w:rsid w:val="00A90798"/>
    <w:rsid w:val="00A90CB3"/>
    <w:rsid w:val="00A91B83"/>
    <w:rsid w:val="00A92304"/>
    <w:rsid w:val="00A924D2"/>
    <w:rsid w:val="00A92A82"/>
    <w:rsid w:val="00A92AC8"/>
    <w:rsid w:val="00A92C6D"/>
    <w:rsid w:val="00A92FCB"/>
    <w:rsid w:val="00A93061"/>
    <w:rsid w:val="00A93142"/>
    <w:rsid w:val="00A938CD"/>
    <w:rsid w:val="00A93D30"/>
    <w:rsid w:val="00A94514"/>
    <w:rsid w:val="00A94BFA"/>
    <w:rsid w:val="00A94DCE"/>
    <w:rsid w:val="00A94DE3"/>
    <w:rsid w:val="00A952BC"/>
    <w:rsid w:val="00A95597"/>
    <w:rsid w:val="00A95777"/>
    <w:rsid w:val="00A95913"/>
    <w:rsid w:val="00A96B2E"/>
    <w:rsid w:val="00A97047"/>
    <w:rsid w:val="00A9734B"/>
    <w:rsid w:val="00A9760C"/>
    <w:rsid w:val="00A976A0"/>
    <w:rsid w:val="00A977D1"/>
    <w:rsid w:val="00A97EA6"/>
    <w:rsid w:val="00AA0229"/>
    <w:rsid w:val="00AA0238"/>
    <w:rsid w:val="00AA042C"/>
    <w:rsid w:val="00AA05AE"/>
    <w:rsid w:val="00AA0947"/>
    <w:rsid w:val="00AA1219"/>
    <w:rsid w:val="00AA16EC"/>
    <w:rsid w:val="00AA19CB"/>
    <w:rsid w:val="00AA1E27"/>
    <w:rsid w:val="00AA214D"/>
    <w:rsid w:val="00AA21ED"/>
    <w:rsid w:val="00AA24AE"/>
    <w:rsid w:val="00AA276A"/>
    <w:rsid w:val="00AA3134"/>
    <w:rsid w:val="00AA4A13"/>
    <w:rsid w:val="00AA505A"/>
    <w:rsid w:val="00AA51C4"/>
    <w:rsid w:val="00AA5B29"/>
    <w:rsid w:val="00AA6101"/>
    <w:rsid w:val="00AA669B"/>
    <w:rsid w:val="00AA66A2"/>
    <w:rsid w:val="00AA6A80"/>
    <w:rsid w:val="00AA6B7B"/>
    <w:rsid w:val="00AA6F78"/>
    <w:rsid w:val="00AA7075"/>
    <w:rsid w:val="00AA722A"/>
    <w:rsid w:val="00AA743F"/>
    <w:rsid w:val="00AA75B2"/>
    <w:rsid w:val="00AA7EBE"/>
    <w:rsid w:val="00AB0285"/>
    <w:rsid w:val="00AB093E"/>
    <w:rsid w:val="00AB0B45"/>
    <w:rsid w:val="00AB0F33"/>
    <w:rsid w:val="00AB1012"/>
    <w:rsid w:val="00AB1122"/>
    <w:rsid w:val="00AB11E3"/>
    <w:rsid w:val="00AB18CB"/>
    <w:rsid w:val="00AB20C2"/>
    <w:rsid w:val="00AB218F"/>
    <w:rsid w:val="00AB23B5"/>
    <w:rsid w:val="00AB2971"/>
    <w:rsid w:val="00AB399C"/>
    <w:rsid w:val="00AB3DF7"/>
    <w:rsid w:val="00AB4CCE"/>
    <w:rsid w:val="00AB4CD8"/>
    <w:rsid w:val="00AB51E0"/>
    <w:rsid w:val="00AB5604"/>
    <w:rsid w:val="00AB576F"/>
    <w:rsid w:val="00AB58C6"/>
    <w:rsid w:val="00AB615E"/>
    <w:rsid w:val="00AB70D2"/>
    <w:rsid w:val="00AB7642"/>
    <w:rsid w:val="00AC043C"/>
    <w:rsid w:val="00AC072C"/>
    <w:rsid w:val="00AC0977"/>
    <w:rsid w:val="00AC0E30"/>
    <w:rsid w:val="00AC0ECF"/>
    <w:rsid w:val="00AC14B7"/>
    <w:rsid w:val="00AC1814"/>
    <w:rsid w:val="00AC1A1D"/>
    <w:rsid w:val="00AC1CCB"/>
    <w:rsid w:val="00AC1F81"/>
    <w:rsid w:val="00AC20B9"/>
    <w:rsid w:val="00AC2621"/>
    <w:rsid w:val="00AC26AB"/>
    <w:rsid w:val="00AC273E"/>
    <w:rsid w:val="00AC3034"/>
    <w:rsid w:val="00AC3680"/>
    <w:rsid w:val="00AC36CB"/>
    <w:rsid w:val="00AC375A"/>
    <w:rsid w:val="00AC3ECC"/>
    <w:rsid w:val="00AC3FC6"/>
    <w:rsid w:val="00AC4311"/>
    <w:rsid w:val="00AC44E9"/>
    <w:rsid w:val="00AC458A"/>
    <w:rsid w:val="00AC4915"/>
    <w:rsid w:val="00AC4A31"/>
    <w:rsid w:val="00AC4AC9"/>
    <w:rsid w:val="00AC4B89"/>
    <w:rsid w:val="00AC4DAC"/>
    <w:rsid w:val="00AC50DE"/>
    <w:rsid w:val="00AC5465"/>
    <w:rsid w:val="00AC56A8"/>
    <w:rsid w:val="00AC57C9"/>
    <w:rsid w:val="00AC6AB7"/>
    <w:rsid w:val="00AC6B94"/>
    <w:rsid w:val="00AC6C32"/>
    <w:rsid w:val="00AC6DBA"/>
    <w:rsid w:val="00AC6E26"/>
    <w:rsid w:val="00AC7380"/>
    <w:rsid w:val="00AC7532"/>
    <w:rsid w:val="00AC779C"/>
    <w:rsid w:val="00AD101B"/>
    <w:rsid w:val="00AD1335"/>
    <w:rsid w:val="00AD17E4"/>
    <w:rsid w:val="00AD1D90"/>
    <w:rsid w:val="00AD2157"/>
    <w:rsid w:val="00AD25A2"/>
    <w:rsid w:val="00AD25DD"/>
    <w:rsid w:val="00AD32F7"/>
    <w:rsid w:val="00AD36B1"/>
    <w:rsid w:val="00AD3714"/>
    <w:rsid w:val="00AD3767"/>
    <w:rsid w:val="00AD3AF9"/>
    <w:rsid w:val="00AD402A"/>
    <w:rsid w:val="00AD4ABE"/>
    <w:rsid w:val="00AD53A3"/>
    <w:rsid w:val="00AD561F"/>
    <w:rsid w:val="00AD5F49"/>
    <w:rsid w:val="00AD624B"/>
    <w:rsid w:val="00AD63D7"/>
    <w:rsid w:val="00AD6447"/>
    <w:rsid w:val="00AD6801"/>
    <w:rsid w:val="00AD6BEC"/>
    <w:rsid w:val="00AD74E7"/>
    <w:rsid w:val="00AD7FC9"/>
    <w:rsid w:val="00AE01CD"/>
    <w:rsid w:val="00AE03D1"/>
    <w:rsid w:val="00AE0AB9"/>
    <w:rsid w:val="00AE0F7F"/>
    <w:rsid w:val="00AE1169"/>
    <w:rsid w:val="00AE1A46"/>
    <w:rsid w:val="00AE1B69"/>
    <w:rsid w:val="00AE247E"/>
    <w:rsid w:val="00AE26A2"/>
    <w:rsid w:val="00AE279E"/>
    <w:rsid w:val="00AE2DC8"/>
    <w:rsid w:val="00AE32DE"/>
    <w:rsid w:val="00AE4256"/>
    <w:rsid w:val="00AE425C"/>
    <w:rsid w:val="00AE45D1"/>
    <w:rsid w:val="00AE4846"/>
    <w:rsid w:val="00AE4961"/>
    <w:rsid w:val="00AE57F7"/>
    <w:rsid w:val="00AE6620"/>
    <w:rsid w:val="00AE66EE"/>
    <w:rsid w:val="00AE697E"/>
    <w:rsid w:val="00AE6C8E"/>
    <w:rsid w:val="00AE6F01"/>
    <w:rsid w:val="00AE715F"/>
    <w:rsid w:val="00AE71C3"/>
    <w:rsid w:val="00AE752D"/>
    <w:rsid w:val="00AE778E"/>
    <w:rsid w:val="00AE7B95"/>
    <w:rsid w:val="00AF04F5"/>
    <w:rsid w:val="00AF066D"/>
    <w:rsid w:val="00AF16E0"/>
    <w:rsid w:val="00AF178F"/>
    <w:rsid w:val="00AF1ABD"/>
    <w:rsid w:val="00AF1B5E"/>
    <w:rsid w:val="00AF242B"/>
    <w:rsid w:val="00AF2497"/>
    <w:rsid w:val="00AF39ED"/>
    <w:rsid w:val="00AF3F54"/>
    <w:rsid w:val="00AF4183"/>
    <w:rsid w:val="00AF44B2"/>
    <w:rsid w:val="00AF4670"/>
    <w:rsid w:val="00AF5135"/>
    <w:rsid w:val="00AF574A"/>
    <w:rsid w:val="00AF5C61"/>
    <w:rsid w:val="00AF6327"/>
    <w:rsid w:val="00AF6894"/>
    <w:rsid w:val="00AF69B3"/>
    <w:rsid w:val="00AF6F3D"/>
    <w:rsid w:val="00AF7AC2"/>
    <w:rsid w:val="00B000CD"/>
    <w:rsid w:val="00B0015C"/>
    <w:rsid w:val="00B008FC"/>
    <w:rsid w:val="00B00B34"/>
    <w:rsid w:val="00B01274"/>
    <w:rsid w:val="00B01286"/>
    <w:rsid w:val="00B01561"/>
    <w:rsid w:val="00B01816"/>
    <w:rsid w:val="00B01E09"/>
    <w:rsid w:val="00B02CDE"/>
    <w:rsid w:val="00B03101"/>
    <w:rsid w:val="00B0313F"/>
    <w:rsid w:val="00B03398"/>
    <w:rsid w:val="00B037DD"/>
    <w:rsid w:val="00B038B1"/>
    <w:rsid w:val="00B03D39"/>
    <w:rsid w:val="00B04E2D"/>
    <w:rsid w:val="00B05905"/>
    <w:rsid w:val="00B05D09"/>
    <w:rsid w:val="00B06D91"/>
    <w:rsid w:val="00B07314"/>
    <w:rsid w:val="00B07512"/>
    <w:rsid w:val="00B1032D"/>
    <w:rsid w:val="00B1085B"/>
    <w:rsid w:val="00B10C57"/>
    <w:rsid w:val="00B10E23"/>
    <w:rsid w:val="00B117BE"/>
    <w:rsid w:val="00B121AC"/>
    <w:rsid w:val="00B12201"/>
    <w:rsid w:val="00B1248C"/>
    <w:rsid w:val="00B12F31"/>
    <w:rsid w:val="00B12F9F"/>
    <w:rsid w:val="00B135E4"/>
    <w:rsid w:val="00B1446E"/>
    <w:rsid w:val="00B1484D"/>
    <w:rsid w:val="00B14BEC"/>
    <w:rsid w:val="00B15408"/>
    <w:rsid w:val="00B156FB"/>
    <w:rsid w:val="00B1573D"/>
    <w:rsid w:val="00B15B16"/>
    <w:rsid w:val="00B15DCF"/>
    <w:rsid w:val="00B15ECB"/>
    <w:rsid w:val="00B1649F"/>
    <w:rsid w:val="00B16ABD"/>
    <w:rsid w:val="00B1783A"/>
    <w:rsid w:val="00B203C1"/>
    <w:rsid w:val="00B2096C"/>
    <w:rsid w:val="00B20CE7"/>
    <w:rsid w:val="00B20F09"/>
    <w:rsid w:val="00B21218"/>
    <w:rsid w:val="00B212BD"/>
    <w:rsid w:val="00B2144B"/>
    <w:rsid w:val="00B21699"/>
    <w:rsid w:val="00B21D40"/>
    <w:rsid w:val="00B22DB8"/>
    <w:rsid w:val="00B238FA"/>
    <w:rsid w:val="00B24119"/>
    <w:rsid w:val="00B2469A"/>
    <w:rsid w:val="00B247A2"/>
    <w:rsid w:val="00B24986"/>
    <w:rsid w:val="00B257FE"/>
    <w:rsid w:val="00B2599C"/>
    <w:rsid w:val="00B25D99"/>
    <w:rsid w:val="00B265E4"/>
    <w:rsid w:val="00B265FD"/>
    <w:rsid w:val="00B266D3"/>
    <w:rsid w:val="00B26853"/>
    <w:rsid w:val="00B27676"/>
    <w:rsid w:val="00B27E96"/>
    <w:rsid w:val="00B30324"/>
    <w:rsid w:val="00B305DA"/>
    <w:rsid w:val="00B308E9"/>
    <w:rsid w:val="00B30BBD"/>
    <w:rsid w:val="00B3144E"/>
    <w:rsid w:val="00B319AC"/>
    <w:rsid w:val="00B31C9C"/>
    <w:rsid w:val="00B324A0"/>
    <w:rsid w:val="00B32807"/>
    <w:rsid w:val="00B33473"/>
    <w:rsid w:val="00B3389F"/>
    <w:rsid w:val="00B340A7"/>
    <w:rsid w:val="00B34243"/>
    <w:rsid w:val="00B34508"/>
    <w:rsid w:val="00B346DE"/>
    <w:rsid w:val="00B3547C"/>
    <w:rsid w:val="00B35A41"/>
    <w:rsid w:val="00B35A78"/>
    <w:rsid w:val="00B35C51"/>
    <w:rsid w:val="00B35CE0"/>
    <w:rsid w:val="00B3641A"/>
    <w:rsid w:val="00B36879"/>
    <w:rsid w:val="00B36AE1"/>
    <w:rsid w:val="00B3705E"/>
    <w:rsid w:val="00B37139"/>
    <w:rsid w:val="00B374A7"/>
    <w:rsid w:val="00B37B07"/>
    <w:rsid w:val="00B37BB4"/>
    <w:rsid w:val="00B4010A"/>
    <w:rsid w:val="00B40262"/>
    <w:rsid w:val="00B404F7"/>
    <w:rsid w:val="00B40D78"/>
    <w:rsid w:val="00B40D97"/>
    <w:rsid w:val="00B41B04"/>
    <w:rsid w:val="00B42029"/>
    <w:rsid w:val="00B4254E"/>
    <w:rsid w:val="00B4281F"/>
    <w:rsid w:val="00B4327A"/>
    <w:rsid w:val="00B434A8"/>
    <w:rsid w:val="00B44BDE"/>
    <w:rsid w:val="00B44F8D"/>
    <w:rsid w:val="00B45198"/>
    <w:rsid w:val="00B45C7F"/>
    <w:rsid w:val="00B45FD5"/>
    <w:rsid w:val="00B4600F"/>
    <w:rsid w:val="00B4602B"/>
    <w:rsid w:val="00B4668C"/>
    <w:rsid w:val="00B469F6"/>
    <w:rsid w:val="00B47236"/>
    <w:rsid w:val="00B47EAC"/>
    <w:rsid w:val="00B47FEC"/>
    <w:rsid w:val="00B5004C"/>
    <w:rsid w:val="00B50067"/>
    <w:rsid w:val="00B50669"/>
    <w:rsid w:val="00B50B05"/>
    <w:rsid w:val="00B51078"/>
    <w:rsid w:val="00B512F1"/>
    <w:rsid w:val="00B523F1"/>
    <w:rsid w:val="00B52483"/>
    <w:rsid w:val="00B52F4F"/>
    <w:rsid w:val="00B5378D"/>
    <w:rsid w:val="00B53972"/>
    <w:rsid w:val="00B53995"/>
    <w:rsid w:val="00B53B1E"/>
    <w:rsid w:val="00B53D79"/>
    <w:rsid w:val="00B5460D"/>
    <w:rsid w:val="00B54D2B"/>
    <w:rsid w:val="00B54E1F"/>
    <w:rsid w:val="00B55092"/>
    <w:rsid w:val="00B55193"/>
    <w:rsid w:val="00B551B5"/>
    <w:rsid w:val="00B55D0D"/>
    <w:rsid w:val="00B55F0A"/>
    <w:rsid w:val="00B56593"/>
    <w:rsid w:val="00B56F08"/>
    <w:rsid w:val="00B576FD"/>
    <w:rsid w:val="00B579F3"/>
    <w:rsid w:val="00B57C6B"/>
    <w:rsid w:val="00B6006C"/>
    <w:rsid w:val="00B600B5"/>
    <w:rsid w:val="00B6120C"/>
    <w:rsid w:val="00B61DAC"/>
    <w:rsid w:val="00B6210A"/>
    <w:rsid w:val="00B6298E"/>
    <w:rsid w:val="00B63B3E"/>
    <w:rsid w:val="00B63C67"/>
    <w:rsid w:val="00B63DF4"/>
    <w:rsid w:val="00B63F43"/>
    <w:rsid w:val="00B63FEC"/>
    <w:rsid w:val="00B641B2"/>
    <w:rsid w:val="00B64384"/>
    <w:rsid w:val="00B65348"/>
    <w:rsid w:val="00B655C6"/>
    <w:rsid w:val="00B656E5"/>
    <w:rsid w:val="00B664C0"/>
    <w:rsid w:val="00B66684"/>
    <w:rsid w:val="00B672B6"/>
    <w:rsid w:val="00B67B43"/>
    <w:rsid w:val="00B70AB7"/>
    <w:rsid w:val="00B70D93"/>
    <w:rsid w:val="00B70E21"/>
    <w:rsid w:val="00B71997"/>
    <w:rsid w:val="00B719D2"/>
    <w:rsid w:val="00B71DE7"/>
    <w:rsid w:val="00B71F7C"/>
    <w:rsid w:val="00B72B46"/>
    <w:rsid w:val="00B72B9F"/>
    <w:rsid w:val="00B73547"/>
    <w:rsid w:val="00B735AF"/>
    <w:rsid w:val="00B73D74"/>
    <w:rsid w:val="00B74422"/>
    <w:rsid w:val="00B75479"/>
    <w:rsid w:val="00B75515"/>
    <w:rsid w:val="00B75A33"/>
    <w:rsid w:val="00B75CCB"/>
    <w:rsid w:val="00B76E24"/>
    <w:rsid w:val="00B770CB"/>
    <w:rsid w:val="00B772C2"/>
    <w:rsid w:val="00B776E3"/>
    <w:rsid w:val="00B77C7D"/>
    <w:rsid w:val="00B80388"/>
    <w:rsid w:val="00B81F2F"/>
    <w:rsid w:val="00B82075"/>
    <w:rsid w:val="00B832D3"/>
    <w:rsid w:val="00B83A19"/>
    <w:rsid w:val="00B83F1D"/>
    <w:rsid w:val="00B83F30"/>
    <w:rsid w:val="00B858E7"/>
    <w:rsid w:val="00B85EE3"/>
    <w:rsid w:val="00B86177"/>
    <w:rsid w:val="00B862EE"/>
    <w:rsid w:val="00B867E4"/>
    <w:rsid w:val="00B86914"/>
    <w:rsid w:val="00B87633"/>
    <w:rsid w:val="00B87E84"/>
    <w:rsid w:val="00B90373"/>
    <w:rsid w:val="00B90445"/>
    <w:rsid w:val="00B9080E"/>
    <w:rsid w:val="00B908B2"/>
    <w:rsid w:val="00B90E1F"/>
    <w:rsid w:val="00B91106"/>
    <w:rsid w:val="00B91152"/>
    <w:rsid w:val="00B91AC2"/>
    <w:rsid w:val="00B91F03"/>
    <w:rsid w:val="00B92031"/>
    <w:rsid w:val="00B9225E"/>
    <w:rsid w:val="00B927B6"/>
    <w:rsid w:val="00B92D5A"/>
    <w:rsid w:val="00B93322"/>
    <w:rsid w:val="00B943F2"/>
    <w:rsid w:val="00B94B7A"/>
    <w:rsid w:val="00B94C32"/>
    <w:rsid w:val="00B95A55"/>
    <w:rsid w:val="00B95B86"/>
    <w:rsid w:val="00B95DC1"/>
    <w:rsid w:val="00B960AD"/>
    <w:rsid w:val="00B9670E"/>
    <w:rsid w:val="00B96CF1"/>
    <w:rsid w:val="00B971DA"/>
    <w:rsid w:val="00B9727C"/>
    <w:rsid w:val="00B97C39"/>
    <w:rsid w:val="00B97C8E"/>
    <w:rsid w:val="00B97D3C"/>
    <w:rsid w:val="00BA0383"/>
    <w:rsid w:val="00BA0D99"/>
    <w:rsid w:val="00BA0E77"/>
    <w:rsid w:val="00BA0ED5"/>
    <w:rsid w:val="00BA152A"/>
    <w:rsid w:val="00BA1673"/>
    <w:rsid w:val="00BA19BF"/>
    <w:rsid w:val="00BA1A4C"/>
    <w:rsid w:val="00BA1C22"/>
    <w:rsid w:val="00BA1E1C"/>
    <w:rsid w:val="00BA1F9A"/>
    <w:rsid w:val="00BA1FC5"/>
    <w:rsid w:val="00BA208B"/>
    <w:rsid w:val="00BA228B"/>
    <w:rsid w:val="00BA292F"/>
    <w:rsid w:val="00BA3276"/>
    <w:rsid w:val="00BA43FA"/>
    <w:rsid w:val="00BA48A0"/>
    <w:rsid w:val="00BA4A25"/>
    <w:rsid w:val="00BA4C9F"/>
    <w:rsid w:val="00BA4CD1"/>
    <w:rsid w:val="00BA4DA2"/>
    <w:rsid w:val="00BA4E72"/>
    <w:rsid w:val="00BA502F"/>
    <w:rsid w:val="00BA5197"/>
    <w:rsid w:val="00BA5449"/>
    <w:rsid w:val="00BA5462"/>
    <w:rsid w:val="00BA558A"/>
    <w:rsid w:val="00BA5660"/>
    <w:rsid w:val="00BA5EF7"/>
    <w:rsid w:val="00BA5F82"/>
    <w:rsid w:val="00BA63FC"/>
    <w:rsid w:val="00BA6461"/>
    <w:rsid w:val="00BA68C1"/>
    <w:rsid w:val="00BA706B"/>
    <w:rsid w:val="00BA734D"/>
    <w:rsid w:val="00BA770A"/>
    <w:rsid w:val="00BA7741"/>
    <w:rsid w:val="00BA7CCC"/>
    <w:rsid w:val="00BB023D"/>
    <w:rsid w:val="00BB0427"/>
    <w:rsid w:val="00BB0B7C"/>
    <w:rsid w:val="00BB130E"/>
    <w:rsid w:val="00BB14EB"/>
    <w:rsid w:val="00BB18AA"/>
    <w:rsid w:val="00BB1BB1"/>
    <w:rsid w:val="00BB20DB"/>
    <w:rsid w:val="00BB2515"/>
    <w:rsid w:val="00BB26D4"/>
    <w:rsid w:val="00BB36CE"/>
    <w:rsid w:val="00BB3A2E"/>
    <w:rsid w:val="00BB3B1F"/>
    <w:rsid w:val="00BB3CFC"/>
    <w:rsid w:val="00BB3F8F"/>
    <w:rsid w:val="00BB4169"/>
    <w:rsid w:val="00BB4A60"/>
    <w:rsid w:val="00BB517F"/>
    <w:rsid w:val="00BB5257"/>
    <w:rsid w:val="00BB5306"/>
    <w:rsid w:val="00BB58F0"/>
    <w:rsid w:val="00BB5CA2"/>
    <w:rsid w:val="00BB5FDA"/>
    <w:rsid w:val="00BB646A"/>
    <w:rsid w:val="00BB6979"/>
    <w:rsid w:val="00BB6C1D"/>
    <w:rsid w:val="00BB747E"/>
    <w:rsid w:val="00BB7B26"/>
    <w:rsid w:val="00BB7BB9"/>
    <w:rsid w:val="00BB7D47"/>
    <w:rsid w:val="00BB7D69"/>
    <w:rsid w:val="00BC047E"/>
    <w:rsid w:val="00BC1341"/>
    <w:rsid w:val="00BC18A3"/>
    <w:rsid w:val="00BC1BD8"/>
    <w:rsid w:val="00BC1ECD"/>
    <w:rsid w:val="00BC22E4"/>
    <w:rsid w:val="00BC2519"/>
    <w:rsid w:val="00BC2591"/>
    <w:rsid w:val="00BC2CE6"/>
    <w:rsid w:val="00BC2E13"/>
    <w:rsid w:val="00BC32F3"/>
    <w:rsid w:val="00BC3665"/>
    <w:rsid w:val="00BC3D35"/>
    <w:rsid w:val="00BC4DA5"/>
    <w:rsid w:val="00BC51AF"/>
    <w:rsid w:val="00BC53A8"/>
    <w:rsid w:val="00BC58C4"/>
    <w:rsid w:val="00BC59A0"/>
    <w:rsid w:val="00BC5A68"/>
    <w:rsid w:val="00BC5AB3"/>
    <w:rsid w:val="00BC612B"/>
    <w:rsid w:val="00BC61C7"/>
    <w:rsid w:val="00BC6B01"/>
    <w:rsid w:val="00BC6E42"/>
    <w:rsid w:val="00BC7187"/>
    <w:rsid w:val="00BC760B"/>
    <w:rsid w:val="00BC7BF2"/>
    <w:rsid w:val="00BD00B8"/>
    <w:rsid w:val="00BD069A"/>
    <w:rsid w:val="00BD0834"/>
    <w:rsid w:val="00BD09EB"/>
    <w:rsid w:val="00BD0A09"/>
    <w:rsid w:val="00BD10B4"/>
    <w:rsid w:val="00BD2266"/>
    <w:rsid w:val="00BD2FD9"/>
    <w:rsid w:val="00BD30D0"/>
    <w:rsid w:val="00BD32E4"/>
    <w:rsid w:val="00BD3426"/>
    <w:rsid w:val="00BD3CD0"/>
    <w:rsid w:val="00BD3D1A"/>
    <w:rsid w:val="00BD3E49"/>
    <w:rsid w:val="00BD4071"/>
    <w:rsid w:val="00BD427D"/>
    <w:rsid w:val="00BD4942"/>
    <w:rsid w:val="00BD4DEE"/>
    <w:rsid w:val="00BD5D2D"/>
    <w:rsid w:val="00BD5D37"/>
    <w:rsid w:val="00BD6110"/>
    <w:rsid w:val="00BD619A"/>
    <w:rsid w:val="00BD6298"/>
    <w:rsid w:val="00BD68DE"/>
    <w:rsid w:val="00BD6D31"/>
    <w:rsid w:val="00BD7CC0"/>
    <w:rsid w:val="00BD7D28"/>
    <w:rsid w:val="00BD7D9C"/>
    <w:rsid w:val="00BE086E"/>
    <w:rsid w:val="00BE166B"/>
    <w:rsid w:val="00BE192E"/>
    <w:rsid w:val="00BE1A34"/>
    <w:rsid w:val="00BE1BD6"/>
    <w:rsid w:val="00BE2C46"/>
    <w:rsid w:val="00BE2CA2"/>
    <w:rsid w:val="00BE2EF2"/>
    <w:rsid w:val="00BE3142"/>
    <w:rsid w:val="00BE3166"/>
    <w:rsid w:val="00BE3443"/>
    <w:rsid w:val="00BE3659"/>
    <w:rsid w:val="00BE3C2F"/>
    <w:rsid w:val="00BE3CD9"/>
    <w:rsid w:val="00BE572D"/>
    <w:rsid w:val="00BE586C"/>
    <w:rsid w:val="00BE6369"/>
    <w:rsid w:val="00BE682B"/>
    <w:rsid w:val="00BE6AAC"/>
    <w:rsid w:val="00BE6D25"/>
    <w:rsid w:val="00BE6D49"/>
    <w:rsid w:val="00BE6DD3"/>
    <w:rsid w:val="00BE7163"/>
    <w:rsid w:val="00BE7303"/>
    <w:rsid w:val="00BE777D"/>
    <w:rsid w:val="00BE77F5"/>
    <w:rsid w:val="00BE7846"/>
    <w:rsid w:val="00BE7900"/>
    <w:rsid w:val="00BE7B8C"/>
    <w:rsid w:val="00BF1A61"/>
    <w:rsid w:val="00BF1D1C"/>
    <w:rsid w:val="00BF1EEF"/>
    <w:rsid w:val="00BF23E0"/>
    <w:rsid w:val="00BF29FE"/>
    <w:rsid w:val="00BF322A"/>
    <w:rsid w:val="00BF337C"/>
    <w:rsid w:val="00BF34A9"/>
    <w:rsid w:val="00BF360E"/>
    <w:rsid w:val="00BF3738"/>
    <w:rsid w:val="00BF3A47"/>
    <w:rsid w:val="00BF3EC2"/>
    <w:rsid w:val="00BF3FE5"/>
    <w:rsid w:val="00BF40D8"/>
    <w:rsid w:val="00BF4517"/>
    <w:rsid w:val="00BF4D0E"/>
    <w:rsid w:val="00BF507E"/>
    <w:rsid w:val="00BF5615"/>
    <w:rsid w:val="00BF5655"/>
    <w:rsid w:val="00BF5BB0"/>
    <w:rsid w:val="00BF5D66"/>
    <w:rsid w:val="00BF6B8C"/>
    <w:rsid w:val="00BF6E57"/>
    <w:rsid w:val="00BF6E7E"/>
    <w:rsid w:val="00BF7324"/>
    <w:rsid w:val="00BF7DAB"/>
    <w:rsid w:val="00BF7E1C"/>
    <w:rsid w:val="00C0062B"/>
    <w:rsid w:val="00C0084E"/>
    <w:rsid w:val="00C00D4A"/>
    <w:rsid w:val="00C00E06"/>
    <w:rsid w:val="00C00E7A"/>
    <w:rsid w:val="00C01BAF"/>
    <w:rsid w:val="00C02390"/>
    <w:rsid w:val="00C02A70"/>
    <w:rsid w:val="00C03599"/>
    <w:rsid w:val="00C035A1"/>
    <w:rsid w:val="00C03F95"/>
    <w:rsid w:val="00C04969"/>
    <w:rsid w:val="00C0498A"/>
    <w:rsid w:val="00C04E0D"/>
    <w:rsid w:val="00C04FC3"/>
    <w:rsid w:val="00C05167"/>
    <w:rsid w:val="00C052A7"/>
    <w:rsid w:val="00C053AD"/>
    <w:rsid w:val="00C0581F"/>
    <w:rsid w:val="00C05823"/>
    <w:rsid w:val="00C05A7E"/>
    <w:rsid w:val="00C0640C"/>
    <w:rsid w:val="00C06D51"/>
    <w:rsid w:val="00C06F65"/>
    <w:rsid w:val="00C07392"/>
    <w:rsid w:val="00C07FE8"/>
    <w:rsid w:val="00C10772"/>
    <w:rsid w:val="00C10996"/>
    <w:rsid w:val="00C1122D"/>
    <w:rsid w:val="00C1180B"/>
    <w:rsid w:val="00C11BF4"/>
    <w:rsid w:val="00C11C59"/>
    <w:rsid w:val="00C11DB6"/>
    <w:rsid w:val="00C11EC3"/>
    <w:rsid w:val="00C123AD"/>
    <w:rsid w:val="00C12506"/>
    <w:rsid w:val="00C12521"/>
    <w:rsid w:val="00C12D01"/>
    <w:rsid w:val="00C12F2D"/>
    <w:rsid w:val="00C13793"/>
    <w:rsid w:val="00C13923"/>
    <w:rsid w:val="00C139E7"/>
    <w:rsid w:val="00C13CB5"/>
    <w:rsid w:val="00C14092"/>
    <w:rsid w:val="00C14364"/>
    <w:rsid w:val="00C1460F"/>
    <w:rsid w:val="00C15D3F"/>
    <w:rsid w:val="00C15E47"/>
    <w:rsid w:val="00C16673"/>
    <w:rsid w:val="00C16A07"/>
    <w:rsid w:val="00C16A95"/>
    <w:rsid w:val="00C16F42"/>
    <w:rsid w:val="00C170BB"/>
    <w:rsid w:val="00C17572"/>
    <w:rsid w:val="00C17866"/>
    <w:rsid w:val="00C17C7C"/>
    <w:rsid w:val="00C17E35"/>
    <w:rsid w:val="00C2088B"/>
    <w:rsid w:val="00C210AB"/>
    <w:rsid w:val="00C21FD6"/>
    <w:rsid w:val="00C21FE5"/>
    <w:rsid w:val="00C2320A"/>
    <w:rsid w:val="00C233C8"/>
    <w:rsid w:val="00C23937"/>
    <w:rsid w:val="00C23D49"/>
    <w:rsid w:val="00C24065"/>
    <w:rsid w:val="00C24653"/>
    <w:rsid w:val="00C24786"/>
    <w:rsid w:val="00C24C47"/>
    <w:rsid w:val="00C24E44"/>
    <w:rsid w:val="00C24EC6"/>
    <w:rsid w:val="00C25301"/>
    <w:rsid w:val="00C254C4"/>
    <w:rsid w:val="00C26C42"/>
    <w:rsid w:val="00C26FF4"/>
    <w:rsid w:val="00C277A8"/>
    <w:rsid w:val="00C27B91"/>
    <w:rsid w:val="00C27EAD"/>
    <w:rsid w:val="00C30048"/>
    <w:rsid w:val="00C306CB"/>
    <w:rsid w:val="00C30B13"/>
    <w:rsid w:val="00C30F9E"/>
    <w:rsid w:val="00C3289B"/>
    <w:rsid w:val="00C32B87"/>
    <w:rsid w:val="00C330A3"/>
    <w:rsid w:val="00C333D8"/>
    <w:rsid w:val="00C3351A"/>
    <w:rsid w:val="00C33636"/>
    <w:rsid w:val="00C342B3"/>
    <w:rsid w:val="00C34AE7"/>
    <w:rsid w:val="00C34E11"/>
    <w:rsid w:val="00C34F17"/>
    <w:rsid w:val="00C36073"/>
    <w:rsid w:val="00C3738A"/>
    <w:rsid w:val="00C4062D"/>
    <w:rsid w:val="00C408ED"/>
    <w:rsid w:val="00C40D64"/>
    <w:rsid w:val="00C40D96"/>
    <w:rsid w:val="00C410F3"/>
    <w:rsid w:val="00C41563"/>
    <w:rsid w:val="00C41EF6"/>
    <w:rsid w:val="00C4247C"/>
    <w:rsid w:val="00C424CF"/>
    <w:rsid w:val="00C427BC"/>
    <w:rsid w:val="00C42D4D"/>
    <w:rsid w:val="00C436C9"/>
    <w:rsid w:val="00C44121"/>
    <w:rsid w:val="00C446EB"/>
    <w:rsid w:val="00C457FA"/>
    <w:rsid w:val="00C45BCA"/>
    <w:rsid w:val="00C45CD5"/>
    <w:rsid w:val="00C45DC7"/>
    <w:rsid w:val="00C461F7"/>
    <w:rsid w:val="00C463E6"/>
    <w:rsid w:val="00C467C3"/>
    <w:rsid w:val="00C46B27"/>
    <w:rsid w:val="00C46CB7"/>
    <w:rsid w:val="00C470E5"/>
    <w:rsid w:val="00C473ED"/>
    <w:rsid w:val="00C476C7"/>
    <w:rsid w:val="00C476DE"/>
    <w:rsid w:val="00C479E8"/>
    <w:rsid w:val="00C47A18"/>
    <w:rsid w:val="00C47D55"/>
    <w:rsid w:val="00C50130"/>
    <w:rsid w:val="00C508FA"/>
    <w:rsid w:val="00C509A0"/>
    <w:rsid w:val="00C50A12"/>
    <w:rsid w:val="00C50AC6"/>
    <w:rsid w:val="00C5101E"/>
    <w:rsid w:val="00C51358"/>
    <w:rsid w:val="00C5165C"/>
    <w:rsid w:val="00C5217B"/>
    <w:rsid w:val="00C529B4"/>
    <w:rsid w:val="00C52CB9"/>
    <w:rsid w:val="00C52CF3"/>
    <w:rsid w:val="00C52DAA"/>
    <w:rsid w:val="00C53172"/>
    <w:rsid w:val="00C534BB"/>
    <w:rsid w:val="00C5386D"/>
    <w:rsid w:val="00C541E1"/>
    <w:rsid w:val="00C54A68"/>
    <w:rsid w:val="00C54E0E"/>
    <w:rsid w:val="00C55127"/>
    <w:rsid w:val="00C554F6"/>
    <w:rsid w:val="00C561C7"/>
    <w:rsid w:val="00C56354"/>
    <w:rsid w:val="00C56486"/>
    <w:rsid w:val="00C56A67"/>
    <w:rsid w:val="00C56A72"/>
    <w:rsid w:val="00C56BF4"/>
    <w:rsid w:val="00C56D10"/>
    <w:rsid w:val="00C57316"/>
    <w:rsid w:val="00C57EB7"/>
    <w:rsid w:val="00C6050C"/>
    <w:rsid w:val="00C60681"/>
    <w:rsid w:val="00C6091F"/>
    <w:rsid w:val="00C610B3"/>
    <w:rsid w:val="00C6139B"/>
    <w:rsid w:val="00C61468"/>
    <w:rsid w:val="00C61714"/>
    <w:rsid w:val="00C61725"/>
    <w:rsid w:val="00C61961"/>
    <w:rsid w:val="00C61D9C"/>
    <w:rsid w:val="00C62DB3"/>
    <w:rsid w:val="00C6337C"/>
    <w:rsid w:val="00C63CF5"/>
    <w:rsid w:val="00C64425"/>
    <w:rsid w:val="00C651A2"/>
    <w:rsid w:val="00C6562F"/>
    <w:rsid w:val="00C658A5"/>
    <w:rsid w:val="00C667F9"/>
    <w:rsid w:val="00C668E2"/>
    <w:rsid w:val="00C67A5B"/>
    <w:rsid w:val="00C70260"/>
    <w:rsid w:val="00C704C7"/>
    <w:rsid w:val="00C70599"/>
    <w:rsid w:val="00C7069E"/>
    <w:rsid w:val="00C709D4"/>
    <w:rsid w:val="00C70BA9"/>
    <w:rsid w:val="00C70ED3"/>
    <w:rsid w:val="00C71326"/>
    <w:rsid w:val="00C716FF"/>
    <w:rsid w:val="00C71DBD"/>
    <w:rsid w:val="00C71E6F"/>
    <w:rsid w:val="00C71F20"/>
    <w:rsid w:val="00C7236F"/>
    <w:rsid w:val="00C73091"/>
    <w:rsid w:val="00C730AF"/>
    <w:rsid w:val="00C7346F"/>
    <w:rsid w:val="00C735E4"/>
    <w:rsid w:val="00C7369A"/>
    <w:rsid w:val="00C73758"/>
    <w:rsid w:val="00C73D45"/>
    <w:rsid w:val="00C7403F"/>
    <w:rsid w:val="00C74346"/>
    <w:rsid w:val="00C748F5"/>
    <w:rsid w:val="00C74F7A"/>
    <w:rsid w:val="00C75415"/>
    <w:rsid w:val="00C75691"/>
    <w:rsid w:val="00C7591E"/>
    <w:rsid w:val="00C75B63"/>
    <w:rsid w:val="00C75EFA"/>
    <w:rsid w:val="00C76C10"/>
    <w:rsid w:val="00C76C13"/>
    <w:rsid w:val="00C76E84"/>
    <w:rsid w:val="00C76EE3"/>
    <w:rsid w:val="00C776B7"/>
    <w:rsid w:val="00C77DA7"/>
    <w:rsid w:val="00C77E13"/>
    <w:rsid w:val="00C80312"/>
    <w:rsid w:val="00C80610"/>
    <w:rsid w:val="00C806AF"/>
    <w:rsid w:val="00C8097E"/>
    <w:rsid w:val="00C80C71"/>
    <w:rsid w:val="00C8102D"/>
    <w:rsid w:val="00C811FF"/>
    <w:rsid w:val="00C8156B"/>
    <w:rsid w:val="00C8176E"/>
    <w:rsid w:val="00C81EF5"/>
    <w:rsid w:val="00C81F46"/>
    <w:rsid w:val="00C8254F"/>
    <w:rsid w:val="00C8287F"/>
    <w:rsid w:val="00C82A0F"/>
    <w:rsid w:val="00C82AC6"/>
    <w:rsid w:val="00C82CBA"/>
    <w:rsid w:val="00C83747"/>
    <w:rsid w:val="00C8384E"/>
    <w:rsid w:val="00C840F5"/>
    <w:rsid w:val="00C849B9"/>
    <w:rsid w:val="00C84BCC"/>
    <w:rsid w:val="00C85127"/>
    <w:rsid w:val="00C85197"/>
    <w:rsid w:val="00C85220"/>
    <w:rsid w:val="00C85543"/>
    <w:rsid w:val="00C859E0"/>
    <w:rsid w:val="00C85C1E"/>
    <w:rsid w:val="00C85EF0"/>
    <w:rsid w:val="00C865D7"/>
    <w:rsid w:val="00C867E8"/>
    <w:rsid w:val="00C87142"/>
    <w:rsid w:val="00C87771"/>
    <w:rsid w:val="00C877C3"/>
    <w:rsid w:val="00C8795E"/>
    <w:rsid w:val="00C902DA"/>
    <w:rsid w:val="00C90586"/>
    <w:rsid w:val="00C91AFE"/>
    <w:rsid w:val="00C92215"/>
    <w:rsid w:val="00C92732"/>
    <w:rsid w:val="00C935F4"/>
    <w:rsid w:val="00C94450"/>
    <w:rsid w:val="00C94A88"/>
    <w:rsid w:val="00C94BAF"/>
    <w:rsid w:val="00C956B1"/>
    <w:rsid w:val="00C969F4"/>
    <w:rsid w:val="00C96B87"/>
    <w:rsid w:val="00C96E39"/>
    <w:rsid w:val="00C96F58"/>
    <w:rsid w:val="00C97040"/>
    <w:rsid w:val="00C9723F"/>
    <w:rsid w:val="00C977B2"/>
    <w:rsid w:val="00CA009B"/>
    <w:rsid w:val="00CA0529"/>
    <w:rsid w:val="00CA1478"/>
    <w:rsid w:val="00CA2400"/>
    <w:rsid w:val="00CA2997"/>
    <w:rsid w:val="00CA2C89"/>
    <w:rsid w:val="00CA2F85"/>
    <w:rsid w:val="00CA3052"/>
    <w:rsid w:val="00CA3070"/>
    <w:rsid w:val="00CA315A"/>
    <w:rsid w:val="00CA3177"/>
    <w:rsid w:val="00CA3658"/>
    <w:rsid w:val="00CA3ED8"/>
    <w:rsid w:val="00CA4076"/>
    <w:rsid w:val="00CA43DA"/>
    <w:rsid w:val="00CA4AEC"/>
    <w:rsid w:val="00CA4F27"/>
    <w:rsid w:val="00CA4F3A"/>
    <w:rsid w:val="00CA54B9"/>
    <w:rsid w:val="00CA5816"/>
    <w:rsid w:val="00CA58C2"/>
    <w:rsid w:val="00CA6030"/>
    <w:rsid w:val="00CA65AE"/>
    <w:rsid w:val="00CA6E5B"/>
    <w:rsid w:val="00CB0870"/>
    <w:rsid w:val="00CB0BAE"/>
    <w:rsid w:val="00CB1337"/>
    <w:rsid w:val="00CB1905"/>
    <w:rsid w:val="00CB1995"/>
    <w:rsid w:val="00CB19AE"/>
    <w:rsid w:val="00CB1C30"/>
    <w:rsid w:val="00CB1C83"/>
    <w:rsid w:val="00CB1F3C"/>
    <w:rsid w:val="00CB2164"/>
    <w:rsid w:val="00CB2B83"/>
    <w:rsid w:val="00CB2C0E"/>
    <w:rsid w:val="00CB3045"/>
    <w:rsid w:val="00CB3087"/>
    <w:rsid w:val="00CB339B"/>
    <w:rsid w:val="00CB3A59"/>
    <w:rsid w:val="00CB3CCE"/>
    <w:rsid w:val="00CB4569"/>
    <w:rsid w:val="00CB48D4"/>
    <w:rsid w:val="00CB4A04"/>
    <w:rsid w:val="00CB4AEF"/>
    <w:rsid w:val="00CB4F13"/>
    <w:rsid w:val="00CB4FC3"/>
    <w:rsid w:val="00CB5255"/>
    <w:rsid w:val="00CB57B2"/>
    <w:rsid w:val="00CB5989"/>
    <w:rsid w:val="00CB5BDF"/>
    <w:rsid w:val="00CB5EF1"/>
    <w:rsid w:val="00CB62E0"/>
    <w:rsid w:val="00CB650E"/>
    <w:rsid w:val="00CB66A6"/>
    <w:rsid w:val="00CB7660"/>
    <w:rsid w:val="00CB7936"/>
    <w:rsid w:val="00CB7BE7"/>
    <w:rsid w:val="00CC01B3"/>
    <w:rsid w:val="00CC0DDC"/>
    <w:rsid w:val="00CC122F"/>
    <w:rsid w:val="00CC129D"/>
    <w:rsid w:val="00CC1315"/>
    <w:rsid w:val="00CC170C"/>
    <w:rsid w:val="00CC1893"/>
    <w:rsid w:val="00CC19B9"/>
    <w:rsid w:val="00CC256A"/>
    <w:rsid w:val="00CC268B"/>
    <w:rsid w:val="00CC2A6D"/>
    <w:rsid w:val="00CC3255"/>
    <w:rsid w:val="00CC34DC"/>
    <w:rsid w:val="00CC36CE"/>
    <w:rsid w:val="00CC3C7D"/>
    <w:rsid w:val="00CC3FCD"/>
    <w:rsid w:val="00CC3FED"/>
    <w:rsid w:val="00CC4005"/>
    <w:rsid w:val="00CC4134"/>
    <w:rsid w:val="00CC4163"/>
    <w:rsid w:val="00CC424E"/>
    <w:rsid w:val="00CC45C6"/>
    <w:rsid w:val="00CC4614"/>
    <w:rsid w:val="00CC4819"/>
    <w:rsid w:val="00CC4E57"/>
    <w:rsid w:val="00CC4F9D"/>
    <w:rsid w:val="00CC539E"/>
    <w:rsid w:val="00CC53A0"/>
    <w:rsid w:val="00CC54BE"/>
    <w:rsid w:val="00CC5680"/>
    <w:rsid w:val="00CC5796"/>
    <w:rsid w:val="00CC5E04"/>
    <w:rsid w:val="00CC607A"/>
    <w:rsid w:val="00CC6093"/>
    <w:rsid w:val="00CC653D"/>
    <w:rsid w:val="00CC6745"/>
    <w:rsid w:val="00CC68D7"/>
    <w:rsid w:val="00CC6B42"/>
    <w:rsid w:val="00CC7891"/>
    <w:rsid w:val="00CC7911"/>
    <w:rsid w:val="00CC7932"/>
    <w:rsid w:val="00CC7BB2"/>
    <w:rsid w:val="00CC7E0E"/>
    <w:rsid w:val="00CC7EC0"/>
    <w:rsid w:val="00CD0C96"/>
    <w:rsid w:val="00CD10B2"/>
    <w:rsid w:val="00CD130E"/>
    <w:rsid w:val="00CD16DD"/>
    <w:rsid w:val="00CD18FE"/>
    <w:rsid w:val="00CD1D4C"/>
    <w:rsid w:val="00CD1E6A"/>
    <w:rsid w:val="00CD24D4"/>
    <w:rsid w:val="00CD2D5E"/>
    <w:rsid w:val="00CD2DF7"/>
    <w:rsid w:val="00CD3314"/>
    <w:rsid w:val="00CD39F7"/>
    <w:rsid w:val="00CD3F71"/>
    <w:rsid w:val="00CD4084"/>
    <w:rsid w:val="00CD4307"/>
    <w:rsid w:val="00CD4E32"/>
    <w:rsid w:val="00CD4E68"/>
    <w:rsid w:val="00CD574B"/>
    <w:rsid w:val="00CD5981"/>
    <w:rsid w:val="00CD5F80"/>
    <w:rsid w:val="00CD61B1"/>
    <w:rsid w:val="00CD6234"/>
    <w:rsid w:val="00CD62FB"/>
    <w:rsid w:val="00CD6752"/>
    <w:rsid w:val="00CD7158"/>
    <w:rsid w:val="00CD798D"/>
    <w:rsid w:val="00CD7C90"/>
    <w:rsid w:val="00CD7DA2"/>
    <w:rsid w:val="00CE0330"/>
    <w:rsid w:val="00CE0853"/>
    <w:rsid w:val="00CE0A9D"/>
    <w:rsid w:val="00CE0AC3"/>
    <w:rsid w:val="00CE0DF7"/>
    <w:rsid w:val="00CE0F51"/>
    <w:rsid w:val="00CE0F68"/>
    <w:rsid w:val="00CE1180"/>
    <w:rsid w:val="00CE127A"/>
    <w:rsid w:val="00CE1973"/>
    <w:rsid w:val="00CE22AA"/>
    <w:rsid w:val="00CE255D"/>
    <w:rsid w:val="00CE2604"/>
    <w:rsid w:val="00CE2FC5"/>
    <w:rsid w:val="00CE302E"/>
    <w:rsid w:val="00CE30C0"/>
    <w:rsid w:val="00CE361F"/>
    <w:rsid w:val="00CE380C"/>
    <w:rsid w:val="00CE3854"/>
    <w:rsid w:val="00CE39A6"/>
    <w:rsid w:val="00CE3F25"/>
    <w:rsid w:val="00CE43D2"/>
    <w:rsid w:val="00CE492D"/>
    <w:rsid w:val="00CE4C38"/>
    <w:rsid w:val="00CE4EEA"/>
    <w:rsid w:val="00CE535B"/>
    <w:rsid w:val="00CE58B1"/>
    <w:rsid w:val="00CE6947"/>
    <w:rsid w:val="00CE6DD0"/>
    <w:rsid w:val="00CE70D6"/>
    <w:rsid w:val="00CE7C2A"/>
    <w:rsid w:val="00CE7E94"/>
    <w:rsid w:val="00CE7F14"/>
    <w:rsid w:val="00CF0110"/>
    <w:rsid w:val="00CF0A28"/>
    <w:rsid w:val="00CF0F84"/>
    <w:rsid w:val="00CF17F6"/>
    <w:rsid w:val="00CF20AE"/>
    <w:rsid w:val="00CF21CE"/>
    <w:rsid w:val="00CF21FF"/>
    <w:rsid w:val="00CF2511"/>
    <w:rsid w:val="00CF2AE3"/>
    <w:rsid w:val="00CF32D2"/>
    <w:rsid w:val="00CF3766"/>
    <w:rsid w:val="00CF3942"/>
    <w:rsid w:val="00CF4010"/>
    <w:rsid w:val="00CF4409"/>
    <w:rsid w:val="00CF453D"/>
    <w:rsid w:val="00CF4719"/>
    <w:rsid w:val="00CF482A"/>
    <w:rsid w:val="00CF52A6"/>
    <w:rsid w:val="00CF5397"/>
    <w:rsid w:val="00CF5C63"/>
    <w:rsid w:val="00CF5E63"/>
    <w:rsid w:val="00CF5E91"/>
    <w:rsid w:val="00CF61D5"/>
    <w:rsid w:val="00CF6368"/>
    <w:rsid w:val="00CF63E3"/>
    <w:rsid w:val="00CF66E8"/>
    <w:rsid w:val="00CF68DC"/>
    <w:rsid w:val="00CF6E09"/>
    <w:rsid w:val="00CF6F87"/>
    <w:rsid w:val="00CF739D"/>
    <w:rsid w:val="00CF7B55"/>
    <w:rsid w:val="00D0042F"/>
    <w:rsid w:val="00D006F9"/>
    <w:rsid w:val="00D01643"/>
    <w:rsid w:val="00D01AF9"/>
    <w:rsid w:val="00D01FDB"/>
    <w:rsid w:val="00D02288"/>
    <w:rsid w:val="00D02575"/>
    <w:rsid w:val="00D02679"/>
    <w:rsid w:val="00D02CF5"/>
    <w:rsid w:val="00D030DD"/>
    <w:rsid w:val="00D0337B"/>
    <w:rsid w:val="00D03396"/>
    <w:rsid w:val="00D03851"/>
    <w:rsid w:val="00D03C32"/>
    <w:rsid w:val="00D03D04"/>
    <w:rsid w:val="00D04773"/>
    <w:rsid w:val="00D04B63"/>
    <w:rsid w:val="00D05818"/>
    <w:rsid w:val="00D05A06"/>
    <w:rsid w:val="00D0644D"/>
    <w:rsid w:val="00D0664E"/>
    <w:rsid w:val="00D06860"/>
    <w:rsid w:val="00D06AAC"/>
    <w:rsid w:val="00D074FA"/>
    <w:rsid w:val="00D10388"/>
    <w:rsid w:val="00D1063E"/>
    <w:rsid w:val="00D1064B"/>
    <w:rsid w:val="00D10904"/>
    <w:rsid w:val="00D10B97"/>
    <w:rsid w:val="00D10CBC"/>
    <w:rsid w:val="00D10CE5"/>
    <w:rsid w:val="00D111F8"/>
    <w:rsid w:val="00D11695"/>
    <w:rsid w:val="00D1192C"/>
    <w:rsid w:val="00D122F9"/>
    <w:rsid w:val="00D12496"/>
    <w:rsid w:val="00D12D06"/>
    <w:rsid w:val="00D13E47"/>
    <w:rsid w:val="00D14865"/>
    <w:rsid w:val="00D14A24"/>
    <w:rsid w:val="00D1521B"/>
    <w:rsid w:val="00D1542E"/>
    <w:rsid w:val="00D1550A"/>
    <w:rsid w:val="00D15773"/>
    <w:rsid w:val="00D15BC7"/>
    <w:rsid w:val="00D16192"/>
    <w:rsid w:val="00D162A4"/>
    <w:rsid w:val="00D164B1"/>
    <w:rsid w:val="00D167B5"/>
    <w:rsid w:val="00D16DB0"/>
    <w:rsid w:val="00D16DE9"/>
    <w:rsid w:val="00D170E7"/>
    <w:rsid w:val="00D17306"/>
    <w:rsid w:val="00D17506"/>
    <w:rsid w:val="00D17DBE"/>
    <w:rsid w:val="00D17DDE"/>
    <w:rsid w:val="00D2014E"/>
    <w:rsid w:val="00D20E3C"/>
    <w:rsid w:val="00D215C1"/>
    <w:rsid w:val="00D216E0"/>
    <w:rsid w:val="00D21BF1"/>
    <w:rsid w:val="00D222EF"/>
    <w:rsid w:val="00D22796"/>
    <w:rsid w:val="00D229AA"/>
    <w:rsid w:val="00D229D1"/>
    <w:rsid w:val="00D23035"/>
    <w:rsid w:val="00D23059"/>
    <w:rsid w:val="00D23089"/>
    <w:rsid w:val="00D233EB"/>
    <w:rsid w:val="00D23729"/>
    <w:rsid w:val="00D245CD"/>
    <w:rsid w:val="00D2465A"/>
    <w:rsid w:val="00D24A13"/>
    <w:rsid w:val="00D24C9F"/>
    <w:rsid w:val="00D25653"/>
    <w:rsid w:val="00D25B32"/>
    <w:rsid w:val="00D26AA4"/>
    <w:rsid w:val="00D26ACE"/>
    <w:rsid w:val="00D26BE5"/>
    <w:rsid w:val="00D2731B"/>
    <w:rsid w:val="00D2738E"/>
    <w:rsid w:val="00D30553"/>
    <w:rsid w:val="00D308AD"/>
    <w:rsid w:val="00D30B42"/>
    <w:rsid w:val="00D30E03"/>
    <w:rsid w:val="00D30F33"/>
    <w:rsid w:val="00D30FE1"/>
    <w:rsid w:val="00D3112E"/>
    <w:rsid w:val="00D311DF"/>
    <w:rsid w:val="00D31804"/>
    <w:rsid w:val="00D31D82"/>
    <w:rsid w:val="00D32020"/>
    <w:rsid w:val="00D3224A"/>
    <w:rsid w:val="00D3240C"/>
    <w:rsid w:val="00D3249B"/>
    <w:rsid w:val="00D32D28"/>
    <w:rsid w:val="00D32F61"/>
    <w:rsid w:val="00D33A09"/>
    <w:rsid w:val="00D33C7F"/>
    <w:rsid w:val="00D33DBB"/>
    <w:rsid w:val="00D33DD1"/>
    <w:rsid w:val="00D34325"/>
    <w:rsid w:val="00D34C0F"/>
    <w:rsid w:val="00D34C5D"/>
    <w:rsid w:val="00D35F26"/>
    <w:rsid w:val="00D3606B"/>
    <w:rsid w:val="00D36179"/>
    <w:rsid w:val="00D369D8"/>
    <w:rsid w:val="00D36A59"/>
    <w:rsid w:val="00D3716C"/>
    <w:rsid w:val="00D40246"/>
    <w:rsid w:val="00D402A9"/>
    <w:rsid w:val="00D402C6"/>
    <w:rsid w:val="00D40363"/>
    <w:rsid w:val="00D40A45"/>
    <w:rsid w:val="00D40B0C"/>
    <w:rsid w:val="00D40CA4"/>
    <w:rsid w:val="00D40CB8"/>
    <w:rsid w:val="00D40CE0"/>
    <w:rsid w:val="00D40F33"/>
    <w:rsid w:val="00D4164A"/>
    <w:rsid w:val="00D41C52"/>
    <w:rsid w:val="00D41CA4"/>
    <w:rsid w:val="00D42004"/>
    <w:rsid w:val="00D42274"/>
    <w:rsid w:val="00D4236A"/>
    <w:rsid w:val="00D42D01"/>
    <w:rsid w:val="00D42D13"/>
    <w:rsid w:val="00D42D85"/>
    <w:rsid w:val="00D43022"/>
    <w:rsid w:val="00D43AF5"/>
    <w:rsid w:val="00D43B84"/>
    <w:rsid w:val="00D43DD8"/>
    <w:rsid w:val="00D4415B"/>
    <w:rsid w:val="00D44404"/>
    <w:rsid w:val="00D446C6"/>
    <w:rsid w:val="00D44763"/>
    <w:rsid w:val="00D44AFC"/>
    <w:rsid w:val="00D45051"/>
    <w:rsid w:val="00D4508B"/>
    <w:rsid w:val="00D45540"/>
    <w:rsid w:val="00D457E5"/>
    <w:rsid w:val="00D45B2B"/>
    <w:rsid w:val="00D45F5B"/>
    <w:rsid w:val="00D4641B"/>
    <w:rsid w:val="00D47305"/>
    <w:rsid w:val="00D479AF"/>
    <w:rsid w:val="00D47B6F"/>
    <w:rsid w:val="00D47C47"/>
    <w:rsid w:val="00D47D87"/>
    <w:rsid w:val="00D5023E"/>
    <w:rsid w:val="00D502CC"/>
    <w:rsid w:val="00D509E4"/>
    <w:rsid w:val="00D50A32"/>
    <w:rsid w:val="00D51A6D"/>
    <w:rsid w:val="00D51A7B"/>
    <w:rsid w:val="00D51BBA"/>
    <w:rsid w:val="00D5203D"/>
    <w:rsid w:val="00D52A1C"/>
    <w:rsid w:val="00D52B18"/>
    <w:rsid w:val="00D5310E"/>
    <w:rsid w:val="00D532D2"/>
    <w:rsid w:val="00D538FB"/>
    <w:rsid w:val="00D53981"/>
    <w:rsid w:val="00D539CD"/>
    <w:rsid w:val="00D53A31"/>
    <w:rsid w:val="00D540FC"/>
    <w:rsid w:val="00D54537"/>
    <w:rsid w:val="00D54845"/>
    <w:rsid w:val="00D54EC9"/>
    <w:rsid w:val="00D55AAD"/>
    <w:rsid w:val="00D55F0D"/>
    <w:rsid w:val="00D55F1B"/>
    <w:rsid w:val="00D562E4"/>
    <w:rsid w:val="00D564D3"/>
    <w:rsid w:val="00D5692F"/>
    <w:rsid w:val="00D56A50"/>
    <w:rsid w:val="00D56EC7"/>
    <w:rsid w:val="00D57106"/>
    <w:rsid w:val="00D571A1"/>
    <w:rsid w:val="00D572A5"/>
    <w:rsid w:val="00D5733E"/>
    <w:rsid w:val="00D579E3"/>
    <w:rsid w:val="00D6006C"/>
    <w:rsid w:val="00D60328"/>
    <w:rsid w:val="00D603D5"/>
    <w:rsid w:val="00D60451"/>
    <w:rsid w:val="00D60BA7"/>
    <w:rsid w:val="00D60C74"/>
    <w:rsid w:val="00D60C92"/>
    <w:rsid w:val="00D610F7"/>
    <w:rsid w:val="00D616ED"/>
    <w:rsid w:val="00D61BC9"/>
    <w:rsid w:val="00D61F02"/>
    <w:rsid w:val="00D626B0"/>
    <w:rsid w:val="00D62D6B"/>
    <w:rsid w:val="00D62DFC"/>
    <w:rsid w:val="00D62F1C"/>
    <w:rsid w:val="00D6338B"/>
    <w:rsid w:val="00D63CF5"/>
    <w:rsid w:val="00D63D1F"/>
    <w:rsid w:val="00D6456D"/>
    <w:rsid w:val="00D64D29"/>
    <w:rsid w:val="00D64F8F"/>
    <w:rsid w:val="00D6559B"/>
    <w:rsid w:val="00D659E9"/>
    <w:rsid w:val="00D65CE2"/>
    <w:rsid w:val="00D66063"/>
    <w:rsid w:val="00D66446"/>
    <w:rsid w:val="00D66455"/>
    <w:rsid w:val="00D66987"/>
    <w:rsid w:val="00D66D7F"/>
    <w:rsid w:val="00D66D82"/>
    <w:rsid w:val="00D66F1D"/>
    <w:rsid w:val="00D66FF7"/>
    <w:rsid w:val="00D679C8"/>
    <w:rsid w:val="00D703E0"/>
    <w:rsid w:val="00D709F2"/>
    <w:rsid w:val="00D70AFF"/>
    <w:rsid w:val="00D7125B"/>
    <w:rsid w:val="00D71825"/>
    <w:rsid w:val="00D71D1A"/>
    <w:rsid w:val="00D71D90"/>
    <w:rsid w:val="00D71ECB"/>
    <w:rsid w:val="00D71FB4"/>
    <w:rsid w:val="00D720B2"/>
    <w:rsid w:val="00D72390"/>
    <w:rsid w:val="00D725AE"/>
    <w:rsid w:val="00D72993"/>
    <w:rsid w:val="00D72A47"/>
    <w:rsid w:val="00D7311E"/>
    <w:rsid w:val="00D731A2"/>
    <w:rsid w:val="00D73213"/>
    <w:rsid w:val="00D732CF"/>
    <w:rsid w:val="00D732FC"/>
    <w:rsid w:val="00D73C3F"/>
    <w:rsid w:val="00D73C97"/>
    <w:rsid w:val="00D740AE"/>
    <w:rsid w:val="00D747DA"/>
    <w:rsid w:val="00D748D0"/>
    <w:rsid w:val="00D74AE6"/>
    <w:rsid w:val="00D74B0C"/>
    <w:rsid w:val="00D74B38"/>
    <w:rsid w:val="00D74EA3"/>
    <w:rsid w:val="00D75429"/>
    <w:rsid w:val="00D75FBD"/>
    <w:rsid w:val="00D75FFB"/>
    <w:rsid w:val="00D76495"/>
    <w:rsid w:val="00D7736E"/>
    <w:rsid w:val="00D77475"/>
    <w:rsid w:val="00D775FF"/>
    <w:rsid w:val="00D7782C"/>
    <w:rsid w:val="00D77A08"/>
    <w:rsid w:val="00D77BBB"/>
    <w:rsid w:val="00D77FD9"/>
    <w:rsid w:val="00D803FD"/>
    <w:rsid w:val="00D808EB"/>
    <w:rsid w:val="00D81209"/>
    <w:rsid w:val="00D81871"/>
    <w:rsid w:val="00D8197A"/>
    <w:rsid w:val="00D819D2"/>
    <w:rsid w:val="00D8289A"/>
    <w:rsid w:val="00D82D60"/>
    <w:rsid w:val="00D83C31"/>
    <w:rsid w:val="00D83EBA"/>
    <w:rsid w:val="00D83F6F"/>
    <w:rsid w:val="00D846F4"/>
    <w:rsid w:val="00D84777"/>
    <w:rsid w:val="00D84E3F"/>
    <w:rsid w:val="00D84F1C"/>
    <w:rsid w:val="00D8571D"/>
    <w:rsid w:val="00D85838"/>
    <w:rsid w:val="00D858F6"/>
    <w:rsid w:val="00D85D3A"/>
    <w:rsid w:val="00D86241"/>
    <w:rsid w:val="00D863E4"/>
    <w:rsid w:val="00D865B3"/>
    <w:rsid w:val="00D86AB0"/>
    <w:rsid w:val="00D86C16"/>
    <w:rsid w:val="00D87145"/>
    <w:rsid w:val="00D87931"/>
    <w:rsid w:val="00D87DB5"/>
    <w:rsid w:val="00D87EF4"/>
    <w:rsid w:val="00D90173"/>
    <w:rsid w:val="00D905F8"/>
    <w:rsid w:val="00D90FEC"/>
    <w:rsid w:val="00D927A2"/>
    <w:rsid w:val="00D92802"/>
    <w:rsid w:val="00D92892"/>
    <w:rsid w:val="00D929DD"/>
    <w:rsid w:val="00D935D2"/>
    <w:rsid w:val="00D93658"/>
    <w:rsid w:val="00D93A31"/>
    <w:rsid w:val="00D93AC1"/>
    <w:rsid w:val="00D93B75"/>
    <w:rsid w:val="00D93DDD"/>
    <w:rsid w:val="00D940E7"/>
    <w:rsid w:val="00D9466C"/>
    <w:rsid w:val="00D94782"/>
    <w:rsid w:val="00D94A07"/>
    <w:rsid w:val="00D95033"/>
    <w:rsid w:val="00D952C5"/>
    <w:rsid w:val="00D95362"/>
    <w:rsid w:val="00D95417"/>
    <w:rsid w:val="00D9558E"/>
    <w:rsid w:val="00D95EA5"/>
    <w:rsid w:val="00D95F88"/>
    <w:rsid w:val="00D9644E"/>
    <w:rsid w:val="00D966D3"/>
    <w:rsid w:val="00D973E4"/>
    <w:rsid w:val="00D97E9E"/>
    <w:rsid w:val="00D97F09"/>
    <w:rsid w:val="00DA0436"/>
    <w:rsid w:val="00DA0454"/>
    <w:rsid w:val="00DA07A3"/>
    <w:rsid w:val="00DA1164"/>
    <w:rsid w:val="00DA11F9"/>
    <w:rsid w:val="00DA158C"/>
    <w:rsid w:val="00DA18C6"/>
    <w:rsid w:val="00DA19E2"/>
    <w:rsid w:val="00DA20C1"/>
    <w:rsid w:val="00DA2CA9"/>
    <w:rsid w:val="00DA2ECC"/>
    <w:rsid w:val="00DA313F"/>
    <w:rsid w:val="00DA3512"/>
    <w:rsid w:val="00DA372C"/>
    <w:rsid w:val="00DA382E"/>
    <w:rsid w:val="00DA387D"/>
    <w:rsid w:val="00DA3C41"/>
    <w:rsid w:val="00DA3D6C"/>
    <w:rsid w:val="00DA3EA1"/>
    <w:rsid w:val="00DA412A"/>
    <w:rsid w:val="00DA45F3"/>
    <w:rsid w:val="00DA4744"/>
    <w:rsid w:val="00DA4FEE"/>
    <w:rsid w:val="00DA52D8"/>
    <w:rsid w:val="00DA52F2"/>
    <w:rsid w:val="00DA53F7"/>
    <w:rsid w:val="00DA544B"/>
    <w:rsid w:val="00DA54DF"/>
    <w:rsid w:val="00DA5504"/>
    <w:rsid w:val="00DA5994"/>
    <w:rsid w:val="00DA5D61"/>
    <w:rsid w:val="00DA5F97"/>
    <w:rsid w:val="00DA64AE"/>
    <w:rsid w:val="00DA65FC"/>
    <w:rsid w:val="00DA66BD"/>
    <w:rsid w:val="00DA69EC"/>
    <w:rsid w:val="00DA6D53"/>
    <w:rsid w:val="00DA6FAB"/>
    <w:rsid w:val="00DA7257"/>
    <w:rsid w:val="00DB0279"/>
    <w:rsid w:val="00DB057D"/>
    <w:rsid w:val="00DB05A9"/>
    <w:rsid w:val="00DB083E"/>
    <w:rsid w:val="00DB0918"/>
    <w:rsid w:val="00DB0A90"/>
    <w:rsid w:val="00DB0F4F"/>
    <w:rsid w:val="00DB1A1C"/>
    <w:rsid w:val="00DB1C37"/>
    <w:rsid w:val="00DB1CD9"/>
    <w:rsid w:val="00DB2CFD"/>
    <w:rsid w:val="00DB2E7E"/>
    <w:rsid w:val="00DB2F35"/>
    <w:rsid w:val="00DB310F"/>
    <w:rsid w:val="00DB4266"/>
    <w:rsid w:val="00DB44B8"/>
    <w:rsid w:val="00DB4591"/>
    <w:rsid w:val="00DB4FD8"/>
    <w:rsid w:val="00DB52F6"/>
    <w:rsid w:val="00DB5E8B"/>
    <w:rsid w:val="00DB63A3"/>
    <w:rsid w:val="00DB6471"/>
    <w:rsid w:val="00DB6EA4"/>
    <w:rsid w:val="00DB73B5"/>
    <w:rsid w:val="00DB7523"/>
    <w:rsid w:val="00DB7B5F"/>
    <w:rsid w:val="00DB7C27"/>
    <w:rsid w:val="00DC0003"/>
    <w:rsid w:val="00DC0196"/>
    <w:rsid w:val="00DC0681"/>
    <w:rsid w:val="00DC0A9F"/>
    <w:rsid w:val="00DC1562"/>
    <w:rsid w:val="00DC15E5"/>
    <w:rsid w:val="00DC16B0"/>
    <w:rsid w:val="00DC1E83"/>
    <w:rsid w:val="00DC1F91"/>
    <w:rsid w:val="00DC2187"/>
    <w:rsid w:val="00DC27A8"/>
    <w:rsid w:val="00DC28A0"/>
    <w:rsid w:val="00DC2AB9"/>
    <w:rsid w:val="00DC2FBD"/>
    <w:rsid w:val="00DC3263"/>
    <w:rsid w:val="00DC38A2"/>
    <w:rsid w:val="00DC4382"/>
    <w:rsid w:val="00DC4557"/>
    <w:rsid w:val="00DC45DF"/>
    <w:rsid w:val="00DC46E8"/>
    <w:rsid w:val="00DC4A8C"/>
    <w:rsid w:val="00DC4B9F"/>
    <w:rsid w:val="00DC4F4C"/>
    <w:rsid w:val="00DC5013"/>
    <w:rsid w:val="00DC5484"/>
    <w:rsid w:val="00DC56C8"/>
    <w:rsid w:val="00DC5729"/>
    <w:rsid w:val="00DC58DF"/>
    <w:rsid w:val="00DC60E3"/>
    <w:rsid w:val="00DC6567"/>
    <w:rsid w:val="00DC685E"/>
    <w:rsid w:val="00DC6883"/>
    <w:rsid w:val="00DC6A51"/>
    <w:rsid w:val="00DC70D9"/>
    <w:rsid w:val="00DC76B6"/>
    <w:rsid w:val="00DC7C6A"/>
    <w:rsid w:val="00DC7CFB"/>
    <w:rsid w:val="00DD0072"/>
    <w:rsid w:val="00DD04E7"/>
    <w:rsid w:val="00DD086C"/>
    <w:rsid w:val="00DD0B1D"/>
    <w:rsid w:val="00DD0FDA"/>
    <w:rsid w:val="00DD1988"/>
    <w:rsid w:val="00DD19A9"/>
    <w:rsid w:val="00DD1A06"/>
    <w:rsid w:val="00DD1A9D"/>
    <w:rsid w:val="00DD1BBA"/>
    <w:rsid w:val="00DD21FE"/>
    <w:rsid w:val="00DD2263"/>
    <w:rsid w:val="00DD2800"/>
    <w:rsid w:val="00DD2D31"/>
    <w:rsid w:val="00DD2DF6"/>
    <w:rsid w:val="00DD2E17"/>
    <w:rsid w:val="00DD2E32"/>
    <w:rsid w:val="00DD2FF9"/>
    <w:rsid w:val="00DD30CF"/>
    <w:rsid w:val="00DD3763"/>
    <w:rsid w:val="00DD3875"/>
    <w:rsid w:val="00DD38B7"/>
    <w:rsid w:val="00DD42C9"/>
    <w:rsid w:val="00DD47DF"/>
    <w:rsid w:val="00DD4877"/>
    <w:rsid w:val="00DD5043"/>
    <w:rsid w:val="00DD549F"/>
    <w:rsid w:val="00DD5BE4"/>
    <w:rsid w:val="00DD63AD"/>
    <w:rsid w:val="00DD645F"/>
    <w:rsid w:val="00DD6485"/>
    <w:rsid w:val="00DD6A7B"/>
    <w:rsid w:val="00DD6EB3"/>
    <w:rsid w:val="00DD719E"/>
    <w:rsid w:val="00DD71C3"/>
    <w:rsid w:val="00DD7978"/>
    <w:rsid w:val="00DE0BE1"/>
    <w:rsid w:val="00DE124D"/>
    <w:rsid w:val="00DE14F0"/>
    <w:rsid w:val="00DE1928"/>
    <w:rsid w:val="00DE1AC7"/>
    <w:rsid w:val="00DE2376"/>
    <w:rsid w:val="00DE293B"/>
    <w:rsid w:val="00DE2C73"/>
    <w:rsid w:val="00DE2C7F"/>
    <w:rsid w:val="00DE31D5"/>
    <w:rsid w:val="00DE4146"/>
    <w:rsid w:val="00DE416C"/>
    <w:rsid w:val="00DE45E5"/>
    <w:rsid w:val="00DE4749"/>
    <w:rsid w:val="00DE4884"/>
    <w:rsid w:val="00DE4886"/>
    <w:rsid w:val="00DE48A0"/>
    <w:rsid w:val="00DE4A18"/>
    <w:rsid w:val="00DE5407"/>
    <w:rsid w:val="00DE575A"/>
    <w:rsid w:val="00DE67F0"/>
    <w:rsid w:val="00DE6C10"/>
    <w:rsid w:val="00DE6CCC"/>
    <w:rsid w:val="00DE7521"/>
    <w:rsid w:val="00DE7B56"/>
    <w:rsid w:val="00DF0297"/>
    <w:rsid w:val="00DF0778"/>
    <w:rsid w:val="00DF0B32"/>
    <w:rsid w:val="00DF0ED6"/>
    <w:rsid w:val="00DF1013"/>
    <w:rsid w:val="00DF10BF"/>
    <w:rsid w:val="00DF1818"/>
    <w:rsid w:val="00DF1FBB"/>
    <w:rsid w:val="00DF21AB"/>
    <w:rsid w:val="00DF23DE"/>
    <w:rsid w:val="00DF2935"/>
    <w:rsid w:val="00DF31CF"/>
    <w:rsid w:val="00DF3241"/>
    <w:rsid w:val="00DF38AE"/>
    <w:rsid w:val="00DF464C"/>
    <w:rsid w:val="00DF4A5B"/>
    <w:rsid w:val="00DF4F92"/>
    <w:rsid w:val="00DF53AF"/>
    <w:rsid w:val="00DF576F"/>
    <w:rsid w:val="00DF5B4B"/>
    <w:rsid w:val="00DF5D6D"/>
    <w:rsid w:val="00DF6069"/>
    <w:rsid w:val="00DF6AF3"/>
    <w:rsid w:val="00DF6C15"/>
    <w:rsid w:val="00DF6C55"/>
    <w:rsid w:val="00DF7215"/>
    <w:rsid w:val="00DF7373"/>
    <w:rsid w:val="00DF7DA8"/>
    <w:rsid w:val="00DF7EE1"/>
    <w:rsid w:val="00E0001D"/>
    <w:rsid w:val="00E0038B"/>
    <w:rsid w:val="00E0053D"/>
    <w:rsid w:val="00E00827"/>
    <w:rsid w:val="00E00F77"/>
    <w:rsid w:val="00E01139"/>
    <w:rsid w:val="00E01458"/>
    <w:rsid w:val="00E02497"/>
    <w:rsid w:val="00E02CA1"/>
    <w:rsid w:val="00E03270"/>
    <w:rsid w:val="00E036E8"/>
    <w:rsid w:val="00E037BC"/>
    <w:rsid w:val="00E03BF6"/>
    <w:rsid w:val="00E046BD"/>
    <w:rsid w:val="00E04DC9"/>
    <w:rsid w:val="00E05375"/>
    <w:rsid w:val="00E05B85"/>
    <w:rsid w:val="00E05E07"/>
    <w:rsid w:val="00E05EC9"/>
    <w:rsid w:val="00E074C5"/>
    <w:rsid w:val="00E07570"/>
    <w:rsid w:val="00E075C7"/>
    <w:rsid w:val="00E07F91"/>
    <w:rsid w:val="00E10173"/>
    <w:rsid w:val="00E102B0"/>
    <w:rsid w:val="00E107F1"/>
    <w:rsid w:val="00E1181F"/>
    <w:rsid w:val="00E129EE"/>
    <w:rsid w:val="00E12FDD"/>
    <w:rsid w:val="00E1303A"/>
    <w:rsid w:val="00E134D0"/>
    <w:rsid w:val="00E13778"/>
    <w:rsid w:val="00E13F8D"/>
    <w:rsid w:val="00E1414C"/>
    <w:rsid w:val="00E14186"/>
    <w:rsid w:val="00E14C6B"/>
    <w:rsid w:val="00E14CE0"/>
    <w:rsid w:val="00E15684"/>
    <w:rsid w:val="00E15B8C"/>
    <w:rsid w:val="00E15CD5"/>
    <w:rsid w:val="00E15FFB"/>
    <w:rsid w:val="00E1750A"/>
    <w:rsid w:val="00E2032C"/>
    <w:rsid w:val="00E20EF4"/>
    <w:rsid w:val="00E211BC"/>
    <w:rsid w:val="00E21928"/>
    <w:rsid w:val="00E21F64"/>
    <w:rsid w:val="00E21F80"/>
    <w:rsid w:val="00E22091"/>
    <w:rsid w:val="00E23E2B"/>
    <w:rsid w:val="00E2405F"/>
    <w:rsid w:val="00E24193"/>
    <w:rsid w:val="00E24B1F"/>
    <w:rsid w:val="00E24B5F"/>
    <w:rsid w:val="00E2570C"/>
    <w:rsid w:val="00E25C37"/>
    <w:rsid w:val="00E25D46"/>
    <w:rsid w:val="00E25ED9"/>
    <w:rsid w:val="00E25F1B"/>
    <w:rsid w:val="00E260A6"/>
    <w:rsid w:val="00E261F2"/>
    <w:rsid w:val="00E2638A"/>
    <w:rsid w:val="00E26530"/>
    <w:rsid w:val="00E26570"/>
    <w:rsid w:val="00E265A5"/>
    <w:rsid w:val="00E2669C"/>
    <w:rsid w:val="00E2773C"/>
    <w:rsid w:val="00E27F6B"/>
    <w:rsid w:val="00E27F7A"/>
    <w:rsid w:val="00E27FF3"/>
    <w:rsid w:val="00E30C72"/>
    <w:rsid w:val="00E30E59"/>
    <w:rsid w:val="00E314F2"/>
    <w:rsid w:val="00E31FBA"/>
    <w:rsid w:val="00E32EEC"/>
    <w:rsid w:val="00E3355D"/>
    <w:rsid w:val="00E336A2"/>
    <w:rsid w:val="00E33868"/>
    <w:rsid w:val="00E33A8B"/>
    <w:rsid w:val="00E33D19"/>
    <w:rsid w:val="00E33F16"/>
    <w:rsid w:val="00E34189"/>
    <w:rsid w:val="00E3522E"/>
    <w:rsid w:val="00E35584"/>
    <w:rsid w:val="00E35843"/>
    <w:rsid w:val="00E358C5"/>
    <w:rsid w:val="00E3599E"/>
    <w:rsid w:val="00E35B78"/>
    <w:rsid w:val="00E36103"/>
    <w:rsid w:val="00E362C2"/>
    <w:rsid w:val="00E36451"/>
    <w:rsid w:val="00E368B5"/>
    <w:rsid w:val="00E369AD"/>
    <w:rsid w:val="00E36AAF"/>
    <w:rsid w:val="00E36B60"/>
    <w:rsid w:val="00E36C63"/>
    <w:rsid w:val="00E36E68"/>
    <w:rsid w:val="00E37410"/>
    <w:rsid w:val="00E374F6"/>
    <w:rsid w:val="00E37A33"/>
    <w:rsid w:val="00E37D94"/>
    <w:rsid w:val="00E37DD9"/>
    <w:rsid w:val="00E40039"/>
    <w:rsid w:val="00E4075A"/>
    <w:rsid w:val="00E40EB3"/>
    <w:rsid w:val="00E41CDB"/>
    <w:rsid w:val="00E41D07"/>
    <w:rsid w:val="00E43245"/>
    <w:rsid w:val="00E432E2"/>
    <w:rsid w:val="00E43457"/>
    <w:rsid w:val="00E4355C"/>
    <w:rsid w:val="00E44A55"/>
    <w:rsid w:val="00E45000"/>
    <w:rsid w:val="00E45091"/>
    <w:rsid w:val="00E4512E"/>
    <w:rsid w:val="00E45145"/>
    <w:rsid w:val="00E451C2"/>
    <w:rsid w:val="00E45670"/>
    <w:rsid w:val="00E458C2"/>
    <w:rsid w:val="00E46245"/>
    <w:rsid w:val="00E463BC"/>
    <w:rsid w:val="00E469B5"/>
    <w:rsid w:val="00E46D4E"/>
    <w:rsid w:val="00E46D79"/>
    <w:rsid w:val="00E478A8"/>
    <w:rsid w:val="00E47D4C"/>
    <w:rsid w:val="00E47FE4"/>
    <w:rsid w:val="00E50226"/>
    <w:rsid w:val="00E5072E"/>
    <w:rsid w:val="00E50BE4"/>
    <w:rsid w:val="00E50E09"/>
    <w:rsid w:val="00E512C6"/>
    <w:rsid w:val="00E51330"/>
    <w:rsid w:val="00E5156E"/>
    <w:rsid w:val="00E517C6"/>
    <w:rsid w:val="00E51BE3"/>
    <w:rsid w:val="00E51C21"/>
    <w:rsid w:val="00E5230B"/>
    <w:rsid w:val="00E52B1D"/>
    <w:rsid w:val="00E52F0D"/>
    <w:rsid w:val="00E53A40"/>
    <w:rsid w:val="00E54216"/>
    <w:rsid w:val="00E542B9"/>
    <w:rsid w:val="00E55221"/>
    <w:rsid w:val="00E556A8"/>
    <w:rsid w:val="00E556F3"/>
    <w:rsid w:val="00E557C1"/>
    <w:rsid w:val="00E559E6"/>
    <w:rsid w:val="00E56293"/>
    <w:rsid w:val="00E56A30"/>
    <w:rsid w:val="00E56BC8"/>
    <w:rsid w:val="00E56DA3"/>
    <w:rsid w:val="00E56F56"/>
    <w:rsid w:val="00E572BB"/>
    <w:rsid w:val="00E6002F"/>
    <w:rsid w:val="00E6033C"/>
    <w:rsid w:val="00E6089A"/>
    <w:rsid w:val="00E608FD"/>
    <w:rsid w:val="00E6229E"/>
    <w:rsid w:val="00E624A1"/>
    <w:rsid w:val="00E62B2C"/>
    <w:rsid w:val="00E62C17"/>
    <w:rsid w:val="00E62D00"/>
    <w:rsid w:val="00E62E62"/>
    <w:rsid w:val="00E638D7"/>
    <w:rsid w:val="00E65C23"/>
    <w:rsid w:val="00E662FC"/>
    <w:rsid w:val="00E66BE1"/>
    <w:rsid w:val="00E66DFC"/>
    <w:rsid w:val="00E67A53"/>
    <w:rsid w:val="00E701CA"/>
    <w:rsid w:val="00E70278"/>
    <w:rsid w:val="00E705D6"/>
    <w:rsid w:val="00E7061B"/>
    <w:rsid w:val="00E70865"/>
    <w:rsid w:val="00E70B27"/>
    <w:rsid w:val="00E70CFB"/>
    <w:rsid w:val="00E70D13"/>
    <w:rsid w:val="00E71398"/>
    <w:rsid w:val="00E71F34"/>
    <w:rsid w:val="00E73136"/>
    <w:rsid w:val="00E7324C"/>
    <w:rsid w:val="00E7342F"/>
    <w:rsid w:val="00E736C4"/>
    <w:rsid w:val="00E73B0E"/>
    <w:rsid w:val="00E73CBB"/>
    <w:rsid w:val="00E741A6"/>
    <w:rsid w:val="00E746BC"/>
    <w:rsid w:val="00E74949"/>
    <w:rsid w:val="00E74CF8"/>
    <w:rsid w:val="00E74DFF"/>
    <w:rsid w:val="00E7579B"/>
    <w:rsid w:val="00E760B8"/>
    <w:rsid w:val="00E761D2"/>
    <w:rsid w:val="00E7684B"/>
    <w:rsid w:val="00E772D6"/>
    <w:rsid w:val="00E773DE"/>
    <w:rsid w:val="00E779AA"/>
    <w:rsid w:val="00E77A3C"/>
    <w:rsid w:val="00E77BD1"/>
    <w:rsid w:val="00E77CF8"/>
    <w:rsid w:val="00E8002C"/>
    <w:rsid w:val="00E80A47"/>
    <w:rsid w:val="00E81268"/>
    <w:rsid w:val="00E815D1"/>
    <w:rsid w:val="00E82B5E"/>
    <w:rsid w:val="00E841B7"/>
    <w:rsid w:val="00E84661"/>
    <w:rsid w:val="00E84A09"/>
    <w:rsid w:val="00E84B36"/>
    <w:rsid w:val="00E84F99"/>
    <w:rsid w:val="00E858DD"/>
    <w:rsid w:val="00E85A21"/>
    <w:rsid w:val="00E85C5D"/>
    <w:rsid w:val="00E85E48"/>
    <w:rsid w:val="00E8622F"/>
    <w:rsid w:val="00E8631E"/>
    <w:rsid w:val="00E8735E"/>
    <w:rsid w:val="00E873A7"/>
    <w:rsid w:val="00E87795"/>
    <w:rsid w:val="00E91DAB"/>
    <w:rsid w:val="00E91F3C"/>
    <w:rsid w:val="00E92929"/>
    <w:rsid w:val="00E92E3A"/>
    <w:rsid w:val="00E92EEC"/>
    <w:rsid w:val="00E93560"/>
    <w:rsid w:val="00E93605"/>
    <w:rsid w:val="00E9365D"/>
    <w:rsid w:val="00E93C07"/>
    <w:rsid w:val="00E9476F"/>
    <w:rsid w:val="00E94B3A"/>
    <w:rsid w:val="00E94BD9"/>
    <w:rsid w:val="00E95423"/>
    <w:rsid w:val="00E962FC"/>
    <w:rsid w:val="00E963F0"/>
    <w:rsid w:val="00E96581"/>
    <w:rsid w:val="00E967A7"/>
    <w:rsid w:val="00E96923"/>
    <w:rsid w:val="00E970F1"/>
    <w:rsid w:val="00E97461"/>
    <w:rsid w:val="00E975F8"/>
    <w:rsid w:val="00E97809"/>
    <w:rsid w:val="00E979A5"/>
    <w:rsid w:val="00E97A52"/>
    <w:rsid w:val="00E97E1E"/>
    <w:rsid w:val="00EA06CF"/>
    <w:rsid w:val="00EA0A31"/>
    <w:rsid w:val="00EA0CBF"/>
    <w:rsid w:val="00EA1372"/>
    <w:rsid w:val="00EA16D8"/>
    <w:rsid w:val="00EA177A"/>
    <w:rsid w:val="00EA1ADF"/>
    <w:rsid w:val="00EA1D58"/>
    <w:rsid w:val="00EA214A"/>
    <w:rsid w:val="00EA251D"/>
    <w:rsid w:val="00EA2881"/>
    <w:rsid w:val="00EA28B0"/>
    <w:rsid w:val="00EA2C10"/>
    <w:rsid w:val="00EA2DBD"/>
    <w:rsid w:val="00EA3203"/>
    <w:rsid w:val="00EA340F"/>
    <w:rsid w:val="00EA3457"/>
    <w:rsid w:val="00EA354C"/>
    <w:rsid w:val="00EA36B7"/>
    <w:rsid w:val="00EA386C"/>
    <w:rsid w:val="00EA411D"/>
    <w:rsid w:val="00EA46A2"/>
    <w:rsid w:val="00EA4847"/>
    <w:rsid w:val="00EA49C4"/>
    <w:rsid w:val="00EA4A20"/>
    <w:rsid w:val="00EA4ED9"/>
    <w:rsid w:val="00EA5A4E"/>
    <w:rsid w:val="00EA5DD7"/>
    <w:rsid w:val="00EA5E2E"/>
    <w:rsid w:val="00EA68D5"/>
    <w:rsid w:val="00EA7151"/>
    <w:rsid w:val="00EA71CD"/>
    <w:rsid w:val="00EA72D6"/>
    <w:rsid w:val="00EA74FF"/>
    <w:rsid w:val="00EA7638"/>
    <w:rsid w:val="00EA7B06"/>
    <w:rsid w:val="00EB008C"/>
    <w:rsid w:val="00EB0097"/>
    <w:rsid w:val="00EB01B2"/>
    <w:rsid w:val="00EB03AB"/>
    <w:rsid w:val="00EB0861"/>
    <w:rsid w:val="00EB0F2A"/>
    <w:rsid w:val="00EB13D9"/>
    <w:rsid w:val="00EB14B5"/>
    <w:rsid w:val="00EB2A24"/>
    <w:rsid w:val="00EB30A3"/>
    <w:rsid w:val="00EB3389"/>
    <w:rsid w:val="00EB39EF"/>
    <w:rsid w:val="00EB4557"/>
    <w:rsid w:val="00EB4AA0"/>
    <w:rsid w:val="00EB504A"/>
    <w:rsid w:val="00EB56AF"/>
    <w:rsid w:val="00EB5C8C"/>
    <w:rsid w:val="00EB643F"/>
    <w:rsid w:val="00EB64C3"/>
    <w:rsid w:val="00EB6615"/>
    <w:rsid w:val="00EB6A8A"/>
    <w:rsid w:val="00EB6D41"/>
    <w:rsid w:val="00EB6FC8"/>
    <w:rsid w:val="00EC070F"/>
    <w:rsid w:val="00EC0A8C"/>
    <w:rsid w:val="00EC0F1D"/>
    <w:rsid w:val="00EC113F"/>
    <w:rsid w:val="00EC173F"/>
    <w:rsid w:val="00EC248D"/>
    <w:rsid w:val="00EC2B5E"/>
    <w:rsid w:val="00EC2D25"/>
    <w:rsid w:val="00EC2EF9"/>
    <w:rsid w:val="00EC2F41"/>
    <w:rsid w:val="00EC3883"/>
    <w:rsid w:val="00EC418B"/>
    <w:rsid w:val="00EC42CB"/>
    <w:rsid w:val="00EC4EB7"/>
    <w:rsid w:val="00EC4F77"/>
    <w:rsid w:val="00EC4F82"/>
    <w:rsid w:val="00EC50F2"/>
    <w:rsid w:val="00EC5BE4"/>
    <w:rsid w:val="00EC5F4F"/>
    <w:rsid w:val="00EC6019"/>
    <w:rsid w:val="00EC6418"/>
    <w:rsid w:val="00EC66A3"/>
    <w:rsid w:val="00EC6DD0"/>
    <w:rsid w:val="00EC7142"/>
    <w:rsid w:val="00EC7290"/>
    <w:rsid w:val="00EC7425"/>
    <w:rsid w:val="00EC77DC"/>
    <w:rsid w:val="00EC794F"/>
    <w:rsid w:val="00ED06B3"/>
    <w:rsid w:val="00ED070B"/>
    <w:rsid w:val="00ED0C82"/>
    <w:rsid w:val="00ED0E9B"/>
    <w:rsid w:val="00ED1127"/>
    <w:rsid w:val="00ED13F4"/>
    <w:rsid w:val="00ED2402"/>
    <w:rsid w:val="00ED2674"/>
    <w:rsid w:val="00ED2AA8"/>
    <w:rsid w:val="00ED2B3F"/>
    <w:rsid w:val="00ED2F09"/>
    <w:rsid w:val="00ED3369"/>
    <w:rsid w:val="00ED3433"/>
    <w:rsid w:val="00ED3915"/>
    <w:rsid w:val="00ED3ADE"/>
    <w:rsid w:val="00ED3EDE"/>
    <w:rsid w:val="00ED45F7"/>
    <w:rsid w:val="00ED5F2B"/>
    <w:rsid w:val="00ED5F58"/>
    <w:rsid w:val="00ED6C31"/>
    <w:rsid w:val="00ED6CB7"/>
    <w:rsid w:val="00ED7249"/>
    <w:rsid w:val="00ED7BEB"/>
    <w:rsid w:val="00ED7BEC"/>
    <w:rsid w:val="00ED7D5C"/>
    <w:rsid w:val="00EE06C7"/>
    <w:rsid w:val="00EE0C31"/>
    <w:rsid w:val="00EE0D85"/>
    <w:rsid w:val="00EE16BC"/>
    <w:rsid w:val="00EE1707"/>
    <w:rsid w:val="00EE245E"/>
    <w:rsid w:val="00EE2B34"/>
    <w:rsid w:val="00EE3244"/>
    <w:rsid w:val="00EE384A"/>
    <w:rsid w:val="00EE3BF3"/>
    <w:rsid w:val="00EE3EA9"/>
    <w:rsid w:val="00EE4823"/>
    <w:rsid w:val="00EE4A3B"/>
    <w:rsid w:val="00EE4DAA"/>
    <w:rsid w:val="00EE5FD7"/>
    <w:rsid w:val="00EE60C9"/>
    <w:rsid w:val="00EE626C"/>
    <w:rsid w:val="00EE63FE"/>
    <w:rsid w:val="00EE650B"/>
    <w:rsid w:val="00EE676C"/>
    <w:rsid w:val="00EE6BCB"/>
    <w:rsid w:val="00EE7120"/>
    <w:rsid w:val="00EE71B7"/>
    <w:rsid w:val="00EE75EF"/>
    <w:rsid w:val="00EE7713"/>
    <w:rsid w:val="00EE7AF6"/>
    <w:rsid w:val="00EE7B37"/>
    <w:rsid w:val="00EE7C83"/>
    <w:rsid w:val="00EF0708"/>
    <w:rsid w:val="00EF0A0C"/>
    <w:rsid w:val="00EF0ABE"/>
    <w:rsid w:val="00EF0DEE"/>
    <w:rsid w:val="00EF1071"/>
    <w:rsid w:val="00EF17A8"/>
    <w:rsid w:val="00EF1F7A"/>
    <w:rsid w:val="00EF20ED"/>
    <w:rsid w:val="00EF27CE"/>
    <w:rsid w:val="00EF2B44"/>
    <w:rsid w:val="00EF3400"/>
    <w:rsid w:val="00EF4894"/>
    <w:rsid w:val="00EF5660"/>
    <w:rsid w:val="00EF5F81"/>
    <w:rsid w:val="00EF629F"/>
    <w:rsid w:val="00EF6933"/>
    <w:rsid w:val="00EF6944"/>
    <w:rsid w:val="00EF6B98"/>
    <w:rsid w:val="00EF6B9A"/>
    <w:rsid w:val="00EF6DE3"/>
    <w:rsid w:val="00EF7241"/>
    <w:rsid w:val="00EF7547"/>
    <w:rsid w:val="00EF7A87"/>
    <w:rsid w:val="00EF7A8E"/>
    <w:rsid w:val="00EF7E53"/>
    <w:rsid w:val="00EF7F2D"/>
    <w:rsid w:val="00F004B3"/>
    <w:rsid w:val="00F00824"/>
    <w:rsid w:val="00F00D3E"/>
    <w:rsid w:val="00F00DEA"/>
    <w:rsid w:val="00F00EF8"/>
    <w:rsid w:val="00F00F84"/>
    <w:rsid w:val="00F01494"/>
    <w:rsid w:val="00F02FD8"/>
    <w:rsid w:val="00F03042"/>
    <w:rsid w:val="00F0310D"/>
    <w:rsid w:val="00F03112"/>
    <w:rsid w:val="00F03180"/>
    <w:rsid w:val="00F0331E"/>
    <w:rsid w:val="00F0363D"/>
    <w:rsid w:val="00F03BBB"/>
    <w:rsid w:val="00F03E3C"/>
    <w:rsid w:val="00F0484B"/>
    <w:rsid w:val="00F053F5"/>
    <w:rsid w:val="00F05C0C"/>
    <w:rsid w:val="00F05DF4"/>
    <w:rsid w:val="00F0637C"/>
    <w:rsid w:val="00F0670B"/>
    <w:rsid w:val="00F0761B"/>
    <w:rsid w:val="00F10204"/>
    <w:rsid w:val="00F10B62"/>
    <w:rsid w:val="00F11481"/>
    <w:rsid w:val="00F119E7"/>
    <w:rsid w:val="00F11C05"/>
    <w:rsid w:val="00F12113"/>
    <w:rsid w:val="00F12954"/>
    <w:rsid w:val="00F12AC7"/>
    <w:rsid w:val="00F140AE"/>
    <w:rsid w:val="00F141E6"/>
    <w:rsid w:val="00F14974"/>
    <w:rsid w:val="00F14EDC"/>
    <w:rsid w:val="00F15608"/>
    <w:rsid w:val="00F15F6F"/>
    <w:rsid w:val="00F16995"/>
    <w:rsid w:val="00F16D0D"/>
    <w:rsid w:val="00F1702B"/>
    <w:rsid w:val="00F175A0"/>
    <w:rsid w:val="00F1796E"/>
    <w:rsid w:val="00F20211"/>
    <w:rsid w:val="00F20222"/>
    <w:rsid w:val="00F203B2"/>
    <w:rsid w:val="00F20E1F"/>
    <w:rsid w:val="00F20E9F"/>
    <w:rsid w:val="00F2119B"/>
    <w:rsid w:val="00F21458"/>
    <w:rsid w:val="00F21878"/>
    <w:rsid w:val="00F218E1"/>
    <w:rsid w:val="00F222F4"/>
    <w:rsid w:val="00F229AC"/>
    <w:rsid w:val="00F22D74"/>
    <w:rsid w:val="00F234DE"/>
    <w:rsid w:val="00F23B74"/>
    <w:rsid w:val="00F23CDB"/>
    <w:rsid w:val="00F23DF3"/>
    <w:rsid w:val="00F243A9"/>
    <w:rsid w:val="00F24686"/>
    <w:rsid w:val="00F2469F"/>
    <w:rsid w:val="00F24C2D"/>
    <w:rsid w:val="00F254AC"/>
    <w:rsid w:val="00F25664"/>
    <w:rsid w:val="00F258CA"/>
    <w:rsid w:val="00F25A65"/>
    <w:rsid w:val="00F260AA"/>
    <w:rsid w:val="00F260C2"/>
    <w:rsid w:val="00F262C8"/>
    <w:rsid w:val="00F26347"/>
    <w:rsid w:val="00F26664"/>
    <w:rsid w:val="00F27129"/>
    <w:rsid w:val="00F2715A"/>
    <w:rsid w:val="00F27716"/>
    <w:rsid w:val="00F27EC3"/>
    <w:rsid w:val="00F304D1"/>
    <w:rsid w:val="00F30875"/>
    <w:rsid w:val="00F31452"/>
    <w:rsid w:val="00F316F5"/>
    <w:rsid w:val="00F3192F"/>
    <w:rsid w:val="00F31FE2"/>
    <w:rsid w:val="00F32B32"/>
    <w:rsid w:val="00F32C65"/>
    <w:rsid w:val="00F33060"/>
    <w:rsid w:val="00F33442"/>
    <w:rsid w:val="00F3375C"/>
    <w:rsid w:val="00F33F0A"/>
    <w:rsid w:val="00F34359"/>
    <w:rsid w:val="00F34500"/>
    <w:rsid w:val="00F34564"/>
    <w:rsid w:val="00F34580"/>
    <w:rsid w:val="00F34E54"/>
    <w:rsid w:val="00F350F9"/>
    <w:rsid w:val="00F3520A"/>
    <w:rsid w:val="00F35211"/>
    <w:rsid w:val="00F35C46"/>
    <w:rsid w:val="00F35D30"/>
    <w:rsid w:val="00F35F44"/>
    <w:rsid w:val="00F362BC"/>
    <w:rsid w:val="00F36CAA"/>
    <w:rsid w:val="00F36E1A"/>
    <w:rsid w:val="00F37CF9"/>
    <w:rsid w:val="00F37D90"/>
    <w:rsid w:val="00F40A4B"/>
    <w:rsid w:val="00F40EE1"/>
    <w:rsid w:val="00F41025"/>
    <w:rsid w:val="00F41111"/>
    <w:rsid w:val="00F4140C"/>
    <w:rsid w:val="00F41B56"/>
    <w:rsid w:val="00F41CE5"/>
    <w:rsid w:val="00F421F4"/>
    <w:rsid w:val="00F42269"/>
    <w:rsid w:val="00F42ECF"/>
    <w:rsid w:val="00F42FC2"/>
    <w:rsid w:val="00F43707"/>
    <w:rsid w:val="00F444C1"/>
    <w:rsid w:val="00F4450C"/>
    <w:rsid w:val="00F4455B"/>
    <w:rsid w:val="00F446B9"/>
    <w:rsid w:val="00F44C62"/>
    <w:rsid w:val="00F44C65"/>
    <w:rsid w:val="00F44C94"/>
    <w:rsid w:val="00F45E61"/>
    <w:rsid w:val="00F460D6"/>
    <w:rsid w:val="00F467FE"/>
    <w:rsid w:val="00F46B97"/>
    <w:rsid w:val="00F46C44"/>
    <w:rsid w:val="00F47390"/>
    <w:rsid w:val="00F47403"/>
    <w:rsid w:val="00F4745C"/>
    <w:rsid w:val="00F47B67"/>
    <w:rsid w:val="00F50E52"/>
    <w:rsid w:val="00F5179D"/>
    <w:rsid w:val="00F518DB"/>
    <w:rsid w:val="00F51905"/>
    <w:rsid w:val="00F51FF7"/>
    <w:rsid w:val="00F52712"/>
    <w:rsid w:val="00F5283D"/>
    <w:rsid w:val="00F52A3A"/>
    <w:rsid w:val="00F52B65"/>
    <w:rsid w:val="00F52B89"/>
    <w:rsid w:val="00F5355B"/>
    <w:rsid w:val="00F55D8D"/>
    <w:rsid w:val="00F56503"/>
    <w:rsid w:val="00F56D0C"/>
    <w:rsid w:val="00F57487"/>
    <w:rsid w:val="00F5773A"/>
    <w:rsid w:val="00F57B57"/>
    <w:rsid w:val="00F6040D"/>
    <w:rsid w:val="00F608B6"/>
    <w:rsid w:val="00F6097F"/>
    <w:rsid w:val="00F60D59"/>
    <w:rsid w:val="00F6117D"/>
    <w:rsid w:val="00F611B9"/>
    <w:rsid w:val="00F612C1"/>
    <w:rsid w:val="00F61D32"/>
    <w:rsid w:val="00F6331B"/>
    <w:rsid w:val="00F635D5"/>
    <w:rsid w:val="00F63BB4"/>
    <w:rsid w:val="00F64495"/>
    <w:rsid w:val="00F64906"/>
    <w:rsid w:val="00F64D76"/>
    <w:rsid w:val="00F64E63"/>
    <w:rsid w:val="00F64F0D"/>
    <w:rsid w:val="00F654FA"/>
    <w:rsid w:val="00F655C2"/>
    <w:rsid w:val="00F65A67"/>
    <w:rsid w:val="00F65B07"/>
    <w:rsid w:val="00F674B6"/>
    <w:rsid w:val="00F67D5E"/>
    <w:rsid w:val="00F70A96"/>
    <w:rsid w:val="00F719E9"/>
    <w:rsid w:val="00F71E2E"/>
    <w:rsid w:val="00F71FDF"/>
    <w:rsid w:val="00F72210"/>
    <w:rsid w:val="00F72F3B"/>
    <w:rsid w:val="00F7325F"/>
    <w:rsid w:val="00F734D1"/>
    <w:rsid w:val="00F73509"/>
    <w:rsid w:val="00F735EC"/>
    <w:rsid w:val="00F739D0"/>
    <w:rsid w:val="00F74141"/>
    <w:rsid w:val="00F74981"/>
    <w:rsid w:val="00F74C88"/>
    <w:rsid w:val="00F75DF0"/>
    <w:rsid w:val="00F76995"/>
    <w:rsid w:val="00F76C89"/>
    <w:rsid w:val="00F76D49"/>
    <w:rsid w:val="00F76EA7"/>
    <w:rsid w:val="00F7750F"/>
    <w:rsid w:val="00F77E1E"/>
    <w:rsid w:val="00F77E20"/>
    <w:rsid w:val="00F80440"/>
    <w:rsid w:val="00F80500"/>
    <w:rsid w:val="00F80701"/>
    <w:rsid w:val="00F80BD4"/>
    <w:rsid w:val="00F813F3"/>
    <w:rsid w:val="00F81FD4"/>
    <w:rsid w:val="00F8206A"/>
    <w:rsid w:val="00F82437"/>
    <w:rsid w:val="00F824B7"/>
    <w:rsid w:val="00F82915"/>
    <w:rsid w:val="00F82AF5"/>
    <w:rsid w:val="00F83864"/>
    <w:rsid w:val="00F843E4"/>
    <w:rsid w:val="00F844A6"/>
    <w:rsid w:val="00F84572"/>
    <w:rsid w:val="00F8476C"/>
    <w:rsid w:val="00F84893"/>
    <w:rsid w:val="00F84BBB"/>
    <w:rsid w:val="00F84E1A"/>
    <w:rsid w:val="00F85E87"/>
    <w:rsid w:val="00F85EE2"/>
    <w:rsid w:val="00F8650F"/>
    <w:rsid w:val="00F86517"/>
    <w:rsid w:val="00F86608"/>
    <w:rsid w:val="00F86CE0"/>
    <w:rsid w:val="00F87DFC"/>
    <w:rsid w:val="00F907CF"/>
    <w:rsid w:val="00F90B36"/>
    <w:rsid w:val="00F90D67"/>
    <w:rsid w:val="00F91E6A"/>
    <w:rsid w:val="00F91E8F"/>
    <w:rsid w:val="00F92270"/>
    <w:rsid w:val="00F925BD"/>
    <w:rsid w:val="00F928DD"/>
    <w:rsid w:val="00F932E8"/>
    <w:rsid w:val="00F938FC"/>
    <w:rsid w:val="00F93B47"/>
    <w:rsid w:val="00F93D6E"/>
    <w:rsid w:val="00F93EC1"/>
    <w:rsid w:val="00F94124"/>
    <w:rsid w:val="00F94571"/>
    <w:rsid w:val="00F9478E"/>
    <w:rsid w:val="00F953CF"/>
    <w:rsid w:val="00F95834"/>
    <w:rsid w:val="00F96502"/>
    <w:rsid w:val="00F96635"/>
    <w:rsid w:val="00F9696B"/>
    <w:rsid w:val="00F9741F"/>
    <w:rsid w:val="00F975FD"/>
    <w:rsid w:val="00F97B26"/>
    <w:rsid w:val="00F97B7C"/>
    <w:rsid w:val="00F97C3B"/>
    <w:rsid w:val="00F97FDA"/>
    <w:rsid w:val="00FA0BCA"/>
    <w:rsid w:val="00FA0C8C"/>
    <w:rsid w:val="00FA15EB"/>
    <w:rsid w:val="00FA1B10"/>
    <w:rsid w:val="00FA1DB2"/>
    <w:rsid w:val="00FA22BB"/>
    <w:rsid w:val="00FA26F1"/>
    <w:rsid w:val="00FA2A8A"/>
    <w:rsid w:val="00FA33B7"/>
    <w:rsid w:val="00FA3B60"/>
    <w:rsid w:val="00FA3CCD"/>
    <w:rsid w:val="00FA4236"/>
    <w:rsid w:val="00FA436B"/>
    <w:rsid w:val="00FA438C"/>
    <w:rsid w:val="00FA43FB"/>
    <w:rsid w:val="00FA490D"/>
    <w:rsid w:val="00FA4AEB"/>
    <w:rsid w:val="00FA4F2F"/>
    <w:rsid w:val="00FA534B"/>
    <w:rsid w:val="00FA5761"/>
    <w:rsid w:val="00FA5D20"/>
    <w:rsid w:val="00FA5E46"/>
    <w:rsid w:val="00FA5E47"/>
    <w:rsid w:val="00FA5EE8"/>
    <w:rsid w:val="00FA6022"/>
    <w:rsid w:val="00FA6499"/>
    <w:rsid w:val="00FA6560"/>
    <w:rsid w:val="00FA6AB3"/>
    <w:rsid w:val="00FA6CB0"/>
    <w:rsid w:val="00FA6DE1"/>
    <w:rsid w:val="00FA7DE8"/>
    <w:rsid w:val="00FB00E3"/>
    <w:rsid w:val="00FB01D1"/>
    <w:rsid w:val="00FB04DE"/>
    <w:rsid w:val="00FB0538"/>
    <w:rsid w:val="00FB0590"/>
    <w:rsid w:val="00FB08D5"/>
    <w:rsid w:val="00FB0C9A"/>
    <w:rsid w:val="00FB134C"/>
    <w:rsid w:val="00FB13E3"/>
    <w:rsid w:val="00FB15A9"/>
    <w:rsid w:val="00FB1FBF"/>
    <w:rsid w:val="00FB1FDE"/>
    <w:rsid w:val="00FB2288"/>
    <w:rsid w:val="00FB2491"/>
    <w:rsid w:val="00FB3387"/>
    <w:rsid w:val="00FB33AC"/>
    <w:rsid w:val="00FB33B3"/>
    <w:rsid w:val="00FB3864"/>
    <w:rsid w:val="00FB38B2"/>
    <w:rsid w:val="00FB3DA3"/>
    <w:rsid w:val="00FB42A8"/>
    <w:rsid w:val="00FB45A2"/>
    <w:rsid w:val="00FB488F"/>
    <w:rsid w:val="00FB50A0"/>
    <w:rsid w:val="00FB52E0"/>
    <w:rsid w:val="00FB5857"/>
    <w:rsid w:val="00FB5AF4"/>
    <w:rsid w:val="00FB5E53"/>
    <w:rsid w:val="00FB5FA2"/>
    <w:rsid w:val="00FB61F5"/>
    <w:rsid w:val="00FB655C"/>
    <w:rsid w:val="00FB6649"/>
    <w:rsid w:val="00FB6BDB"/>
    <w:rsid w:val="00FB6F9C"/>
    <w:rsid w:val="00FB700C"/>
    <w:rsid w:val="00FB72D2"/>
    <w:rsid w:val="00FB794B"/>
    <w:rsid w:val="00FB7AF1"/>
    <w:rsid w:val="00FC0044"/>
    <w:rsid w:val="00FC04B0"/>
    <w:rsid w:val="00FC061B"/>
    <w:rsid w:val="00FC0A84"/>
    <w:rsid w:val="00FC0E4E"/>
    <w:rsid w:val="00FC1271"/>
    <w:rsid w:val="00FC1326"/>
    <w:rsid w:val="00FC1967"/>
    <w:rsid w:val="00FC1CF8"/>
    <w:rsid w:val="00FC207E"/>
    <w:rsid w:val="00FC2088"/>
    <w:rsid w:val="00FC2291"/>
    <w:rsid w:val="00FC23D9"/>
    <w:rsid w:val="00FC2C86"/>
    <w:rsid w:val="00FC2CF7"/>
    <w:rsid w:val="00FC2F0E"/>
    <w:rsid w:val="00FC3143"/>
    <w:rsid w:val="00FC3C5D"/>
    <w:rsid w:val="00FC4065"/>
    <w:rsid w:val="00FC4397"/>
    <w:rsid w:val="00FC4B13"/>
    <w:rsid w:val="00FC4EAF"/>
    <w:rsid w:val="00FC507E"/>
    <w:rsid w:val="00FC569F"/>
    <w:rsid w:val="00FC57A0"/>
    <w:rsid w:val="00FC6309"/>
    <w:rsid w:val="00FC6347"/>
    <w:rsid w:val="00FC6383"/>
    <w:rsid w:val="00FC6A55"/>
    <w:rsid w:val="00FC6FC1"/>
    <w:rsid w:val="00FC704D"/>
    <w:rsid w:val="00FC7054"/>
    <w:rsid w:val="00FC76F9"/>
    <w:rsid w:val="00FC7AAD"/>
    <w:rsid w:val="00FC7C2F"/>
    <w:rsid w:val="00FC7C71"/>
    <w:rsid w:val="00FC7FA8"/>
    <w:rsid w:val="00FD0399"/>
    <w:rsid w:val="00FD0A49"/>
    <w:rsid w:val="00FD0BF5"/>
    <w:rsid w:val="00FD1528"/>
    <w:rsid w:val="00FD23A3"/>
    <w:rsid w:val="00FD240F"/>
    <w:rsid w:val="00FD259D"/>
    <w:rsid w:val="00FD265B"/>
    <w:rsid w:val="00FD2D4C"/>
    <w:rsid w:val="00FD3077"/>
    <w:rsid w:val="00FD3F3A"/>
    <w:rsid w:val="00FD4D27"/>
    <w:rsid w:val="00FD5641"/>
    <w:rsid w:val="00FD5725"/>
    <w:rsid w:val="00FD57C0"/>
    <w:rsid w:val="00FD5944"/>
    <w:rsid w:val="00FD5951"/>
    <w:rsid w:val="00FD5A0E"/>
    <w:rsid w:val="00FD5AB2"/>
    <w:rsid w:val="00FD5C6A"/>
    <w:rsid w:val="00FD5FD4"/>
    <w:rsid w:val="00FD68BF"/>
    <w:rsid w:val="00FD697E"/>
    <w:rsid w:val="00FD71ED"/>
    <w:rsid w:val="00FD737A"/>
    <w:rsid w:val="00FD79A9"/>
    <w:rsid w:val="00FE0012"/>
    <w:rsid w:val="00FE0041"/>
    <w:rsid w:val="00FE033B"/>
    <w:rsid w:val="00FE0412"/>
    <w:rsid w:val="00FE0B02"/>
    <w:rsid w:val="00FE0E5E"/>
    <w:rsid w:val="00FE1B8C"/>
    <w:rsid w:val="00FE1CBD"/>
    <w:rsid w:val="00FE2645"/>
    <w:rsid w:val="00FE2A90"/>
    <w:rsid w:val="00FE2B92"/>
    <w:rsid w:val="00FE2CE7"/>
    <w:rsid w:val="00FE31DE"/>
    <w:rsid w:val="00FE3385"/>
    <w:rsid w:val="00FE3FCF"/>
    <w:rsid w:val="00FE4939"/>
    <w:rsid w:val="00FE4A4C"/>
    <w:rsid w:val="00FE4BD3"/>
    <w:rsid w:val="00FE4E79"/>
    <w:rsid w:val="00FE510E"/>
    <w:rsid w:val="00FE69DD"/>
    <w:rsid w:val="00FE6CE5"/>
    <w:rsid w:val="00FE7E83"/>
    <w:rsid w:val="00FF022E"/>
    <w:rsid w:val="00FF0332"/>
    <w:rsid w:val="00FF0393"/>
    <w:rsid w:val="00FF0E94"/>
    <w:rsid w:val="00FF11BF"/>
    <w:rsid w:val="00FF125B"/>
    <w:rsid w:val="00FF1544"/>
    <w:rsid w:val="00FF1575"/>
    <w:rsid w:val="00FF1673"/>
    <w:rsid w:val="00FF1C9C"/>
    <w:rsid w:val="00FF200C"/>
    <w:rsid w:val="00FF25A4"/>
    <w:rsid w:val="00FF2BC4"/>
    <w:rsid w:val="00FF2C3B"/>
    <w:rsid w:val="00FF329A"/>
    <w:rsid w:val="00FF32D0"/>
    <w:rsid w:val="00FF3755"/>
    <w:rsid w:val="00FF3A47"/>
    <w:rsid w:val="00FF3BA2"/>
    <w:rsid w:val="00FF59EF"/>
    <w:rsid w:val="00FF610D"/>
    <w:rsid w:val="00FF6238"/>
    <w:rsid w:val="00FF63F0"/>
    <w:rsid w:val="00FF762F"/>
    <w:rsid w:val="00FF7727"/>
    <w:rsid w:val="00FF7D38"/>
    <w:rsid w:val="00FF7E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AFD3B2"/>
  <w15:docId w15:val="{B6A723FA-4C26-4C93-813F-C05172F7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01DC8"/>
    <w:pPr>
      <w:overflowPunct w:val="0"/>
      <w:autoSpaceDE w:val="0"/>
      <w:autoSpaceDN w:val="0"/>
      <w:adjustRightInd w:val="0"/>
      <w:textAlignment w:val="baseline"/>
    </w:pPr>
  </w:style>
  <w:style w:type="paragraph" w:styleId="Nadpis1">
    <w:name w:val="heading 1"/>
    <w:aliases w:val="h1,H1,Nadpis 1-Nadpis smlouvy,Základní kapitola,V_Head1,Záhlaví 1,0Überschrift 1,1Überschrift 1,2Überschrift 1,3Überschrift 1,4Überschrift 1,5Überschrift 1,6Überschrift 1,7Überschrift 1,8Überschrift 1,9Überschrift 1,10Überschrift 1,Clanek1"/>
    <w:basedOn w:val="Normln"/>
    <w:next w:val="Normln"/>
    <w:link w:val="Nadpis1Char"/>
    <w:uiPriority w:val="9"/>
    <w:qFormat/>
    <w:rsid w:val="000816D8"/>
    <w:pPr>
      <w:keepNext/>
      <w:pageBreakBefore/>
      <w:numPr>
        <w:numId w:val="1"/>
      </w:numPr>
      <w:overflowPunct/>
      <w:autoSpaceDE/>
      <w:autoSpaceDN/>
      <w:adjustRightInd/>
      <w:spacing w:before="120" w:after="240" w:line="276" w:lineRule="auto"/>
      <w:ind w:left="432"/>
      <w:jc w:val="both"/>
      <w:textAlignment w:val="auto"/>
      <w:outlineLvl w:val="0"/>
    </w:pPr>
    <w:rPr>
      <w:rFonts w:ascii="Calibri" w:hAnsi="Calibri"/>
      <w:b/>
      <w:bCs/>
      <w:smallCaps/>
      <w:kern w:val="32"/>
      <w:sz w:val="28"/>
      <w:szCs w:val="32"/>
    </w:rPr>
  </w:style>
  <w:style w:type="paragraph" w:styleId="Nadpis2">
    <w:name w:val="heading 2"/>
    <w:basedOn w:val="Normln"/>
    <w:next w:val="Normln"/>
    <w:link w:val="Nadpis2Char"/>
    <w:qFormat/>
    <w:rsid w:val="00EF5F81"/>
    <w:pPr>
      <w:keepNext/>
      <w:numPr>
        <w:ilvl w:val="1"/>
        <w:numId w:val="1"/>
      </w:numPr>
      <w:overflowPunct/>
      <w:autoSpaceDE/>
      <w:autoSpaceDN/>
      <w:adjustRightInd/>
      <w:spacing w:before="240" w:after="240" w:line="276" w:lineRule="auto"/>
      <w:jc w:val="both"/>
      <w:textAlignment w:val="auto"/>
      <w:outlineLvl w:val="1"/>
    </w:pPr>
    <w:rPr>
      <w:rFonts w:ascii="Calibri" w:hAnsi="Calibri"/>
      <w:b/>
      <w:bCs/>
      <w:iCs/>
      <w:sz w:val="26"/>
      <w:szCs w:val="28"/>
    </w:rPr>
  </w:style>
  <w:style w:type="paragraph" w:styleId="Nadpis3">
    <w:name w:val="heading 3"/>
    <w:basedOn w:val="Normln"/>
    <w:next w:val="Normln"/>
    <w:link w:val="Nadpis3Char"/>
    <w:uiPriority w:val="9"/>
    <w:qFormat/>
    <w:rsid w:val="00EA3457"/>
    <w:pPr>
      <w:keepNext/>
      <w:keepLines/>
      <w:numPr>
        <w:ilvl w:val="2"/>
        <w:numId w:val="1"/>
      </w:numPr>
      <w:overflowPunct/>
      <w:autoSpaceDE/>
      <w:autoSpaceDN/>
      <w:adjustRightInd/>
      <w:spacing w:before="240" w:after="240" w:line="276" w:lineRule="auto"/>
      <w:jc w:val="both"/>
      <w:textAlignment w:val="auto"/>
      <w:outlineLvl w:val="2"/>
    </w:pPr>
    <w:rPr>
      <w:rFonts w:ascii="Calibri" w:hAnsi="Calibri"/>
      <w:b/>
      <w:bCs/>
      <w:color w:val="365F91"/>
      <w:sz w:val="24"/>
    </w:rPr>
  </w:style>
  <w:style w:type="paragraph" w:styleId="Nadpis4">
    <w:name w:val="heading 4"/>
    <w:basedOn w:val="Normln"/>
    <w:next w:val="Normln"/>
    <w:link w:val="Nadpis4Char"/>
    <w:uiPriority w:val="9"/>
    <w:qFormat/>
    <w:rsid w:val="00B53D79"/>
    <w:pPr>
      <w:keepNext/>
      <w:keepLines/>
      <w:numPr>
        <w:ilvl w:val="3"/>
        <w:numId w:val="1"/>
      </w:numPr>
      <w:overflowPunct/>
      <w:autoSpaceDE/>
      <w:autoSpaceDN/>
      <w:adjustRightInd/>
      <w:spacing w:before="360" w:after="120" w:line="276" w:lineRule="auto"/>
      <w:jc w:val="both"/>
      <w:textAlignment w:val="auto"/>
      <w:outlineLvl w:val="3"/>
    </w:pPr>
    <w:rPr>
      <w:rFonts w:ascii="Calibri" w:hAnsi="Calibri"/>
      <w:b/>
      <w:bCs/>
      <w:i/>
      <w:iCs/>
      <w:sz w:val="24"/>
    </w:rPr>
  </w:style>
  <w:style w:type="paragraph" w:styleId="Nadpis5">
    <w:name w:val="heading 5"/>
    <w:basedOn w:val="Normln"/>
    <w:next w:val="Normln"/>
    <w:link w:val="Nadpis5Char"/>
    <w:uiPriority w:val="9"/>
    <w:qFormat/>
    <w:rsid w:val="008F72F4"/>
    <w:pPr>
      <w:keepNext/>
      <w:keepLines/>
      <w:numPr>
        <w:ilvl w:val="4"/>
        <w:numId w:val="1"/>
      </w:numPr>
      <w:overflowPunct/>
      <w:autoSpaceDE/>
      <w:autoSpaceDN/>
      <w:adjustRightInd/>
      <w:spacing w:before="200" w:after="120" w:line="276" w:lineRule="auto"/>
      <w:jc w:val="both"/>
      <w:textAlignment w:val="auto"/>
      <w:outlineLvl w:val="4"/>
    </w:pPr>
    <w:rPr>
      <w:rFonts w:ascii="Calibri" w:hAnsi="Calibri"/>
      <w:color w:val="365F91"/>
      <w:sz w:val="24"/>
    </w:rPr>
  </w:style>
  <w:style w:type="paragraph" w:styleId="Nadpis6">
    <w:name w:val="heading 6"/>
    <w:basedOn w:val="Normln"/>
    <w:next w:val="Normln"/>
    <w:link w:val="Nadpis6Char"/>
    <w:uiPriority w:val="9"/>
    <w:qFormat/>
    <w:rsid w:val="00F03E3C"/>
    <w:pPr>
      <w:keepNext/>
      <w:keepLines/>
      <w:numPr>
        <w:ilvl w:val="5"/>
        <w:numId w:val="1"/>
      </w:numPr>
      <w:overflowPunct/>
      <w:autoSpaceDE/>
      <w:autoSpaceDN/>
      <w:adjustRightInd/>
      <w:spacing w:before="200" w:line="276" w:lineRule="auto"/>
      <w:jc w:val="both"/>
      <w:textAlignment w:val="auto"/>
      <w:outlineLvl w:val="5"/>
    </w:pPr>
    <w:rPr>
      <w:rFonts w:ascii="Cambria" w:hAnsi="Cambria"/>
      <w:i/>
      <w:iCs/>
      <w:color w:val="243F60"/>
      <w:sz w:val="24"/>
    </w:rPr>
  </w:style>
  <w:style w:type="paragraph" w:styleId="Nadpis7">
    <w:name w:val="heading 7"/>
    <w:basedOn w:val="Normln"/>
    <w:next w:val="Normln"/>
    <w:link w:val="Nadpis7Char"/>
    <w:uiPriority w:val="9"/>
    <w:qFormat/>
    <w:rsid w:val="00F03E3C"/>
    <w:pPr>
      <w:keepNext/>
      <w:keepLines/>
      <w:numPr>
        <w:ilvl w:val="6"/>
        <w:numId w:val="1"/>
      </w:numPr>
      <w:overflowPunct/>
      <w:autoSpaceDE/>
      <w:autoSpaceDN/>
      <w:adjustRightInd/>
      <w:spacing w:before="200" w:line="276" w:lineRule="auto"/>
      <w:jc w:val="both"/>
      <w:textAlignment w:val="auto"/>
      <w:outlineLvl w:val="6"/>
    </w:pPr>
    <w:rPr>
      <w:rFonts w:ascii="Cambria" w:hAnsi="Cambria"/>
      <w:i/>
      <w:iCs/>
      <w:color w:val="404040"/>
      <w:sz w:val="24"/>
    </w:rPr>
  </w:style>
  <w:style w:type="paragraph" w:styleId="Nadpis8">
    <w:name w:val="heading 8"/>
    <w:basedOn w:val="Normln"/>
    <w:next w:val="Normln"/>
    <w:link w:val="Nadpis8Char"/>
    <w:uiPriority w:val="9"/>
    <w:qFormat/>
    <w:rsid w:val="00F03E3C"/>
    <w:pPr>
      <w:keepNext/>
      <w:keepLines/>
      <w:numPr>
        <w:ilvl w:val="7"/>
        <w:numId w:val="1"/>
      </w:numPr>
      <w:overflowPunct/>
      <w:autoSpaceDE/>
      <w:autoSpaceDN/>
      <w:adjustRightInd/>
      <w:spacing w:before="200" w:line="276" w:lineRule="auto"/>
      <w:jc w:val="both"/>
      <w:textAlignment w:val="auto"/>
      <w:outlineLvl w:val="7"/>
    </w:pPr>
    <w:rPr>
      <w:rFonts w:ascii="Cambria" w:hAnsi="Cambria"/>
      <w:color w:val="404040"/>
    </w:rPr>
  </w:style>
  <w:style w:type="paragraph" w:styleId="Nadpis9">
    <w:name w:val="heading 9"/>
    <w:basedOn w:val="Normln"/>
    <w:next w:val="Normln"/>
    <w:link w:val="Nadpis9Char"/>
    <w:uiPriority w:val="9"/>
    <w:qFormat/>
    <w:rsid w:val="00F03E3C"/>
    <w:pPr>
      <w:keepNext/>
      <w:keepLines/>
      <w:numPr>
        <w:ilvl w:val="8"/>
        <w:numId w:val="1"/>
      </w:numPr>
      <w:overflowPunct/>
      <w:autoSpaceDE/>
      <w:autoSpaceDN/>
      <w:adjustRightInd/>
      <w:spacing w:before="200" w:line="276" w:lineRule="auto"/>
      <w:jc w:val="both"/>
      <w:textAlignment w:val="auto"/>
      <w:outlineLvl w:val="8"/>
    </w:pPr>
    <w:rPr>
      <w:rFonts w:ascii="Cambria" w:hAnsi="Cambria"/>
      <w:i/>
      <w:iCs/>
      <w:color w:val="4040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H1 Char,Nadpis 1-Nadpis smlouvy Char,Základní kapitola Char,V_Head1 Char,Záhlaví 1 Char,0Überschrift 1 Char,1Überschrift 1 Char,2Überschrift 1 Char,3Überschrift 1 Char,4Überschrift 1 Char,5Überschrift 1 Char,6Überschrift 1 Char"/>
    <w:link w:val="Nadpis1"/>
    <w:uiPriority w:val="9"/>
    <w:rsid w:val="000816D8"/>
    <w:rPr>
      <w:rFonts w:ascii="Calibri" w:hAnsi="Calibri"/>
      <w:b/>
      <w:bCs/>
      <w:smallCaps/>
      <w:kern w:val="32"/>
      <w:sz w:val="28"/>
      <w:szCs w:val="32"/>
    </w:rPr>
  </w:style>
  <w:style w:type="character" w:customStyle="1" w:styleId="Nadpis2Char">
    <w:name w:val="Nadpis 2 Char"/>
    <w:link w:val="Nadpis2"/>
    <w:rsid w:val="00EF5F81"/>
    <w:rPr>
      <w:rFonts w:ascii="Calibri" w:hAnsi="Calibri"/>
      <w:b/>
      <w:bCs/>
      <w:iCs/>
      <w:sz w:val="26"/>
      <w:szCs w:val="28"/>
    </w:rPr>
  </w:style>
  <w:style w:type="character" w:customStyle="1" w:styleId="Nadpis3Char">
    <w:name w:val="Nadpis 3 Char"/>
    <w:link w:val="Nadpis3"/>
    <w:uiPriority w:val="9"/>
    <w:rsid w:val="00EA3457"/>
    <w:rPr>
      <w:rFonts w:ascii="Calibri" w:hAnsi="Calibri"/>
      <w:b/>
      <w:bCs/>
      <w:color w:val="365F91"/>
      <w:sz w:val="24"/>
    </w:rPr>
  </w:style>
  <w:style w:type="character" w:customStyle="1" w:styleId="Nadpis4Char">
    <w:name w:val="Nadpis 4 Char"/>
    <w:link w:val="Nadpis4"/>
    <w:uiPriority w:val="9"/>
    <w:rsid w:val="00B53D79"/>
    <w:rPr>
      <w:rFonts w:ascii="Calibri" w:hAnsi="Calibri"/>
      <w:b/>
      <w:bCs/>
      <w:i/>
      <w:iCs/>
      <w:sz w:val="24"/>
    </w:rPr>
  </w:style>
  <w:style w:type="character" w:customStyle="1" w:styleId="Nadpis5Char">
    <w:name w:val="Nadpis 5 Char"/>
    <w:link w:val="Nadpis5"/>
    <w:uiPriority w:val="9"/>
    <w:rsid w:val="008F72F4"/>
    <w:rPr>
      <w:rFonts w:ascii="Calibri" w:hAnsi="Calibri"/>
      <w:color w:val="365F91"/>
      <w:sz w:val="24"/>
    </w:rPr>
  </w:style>
  <w:style w:type="character" w:customStyle="1" w:styleId="Nadpis6Char">
    <w:name w:val="Nadpis 6 Char"/>
    <w:link w:val="Nadpis6"/>
    <w:uiPriority w:val="9"/>
    <w:rsid w:val="00F03E3C"/>
    <w:rPr>
      <w:rFonts w:ascii="Cambria" w:hAnsi="Cambria"/>
      <w:i/>
      <w:iCs/>
      <w:color w:val="243F60"/>
      <w:sz w:val="24"/>
    </w:rPr>
  </w:style>
  <w:style w:type="character" w:customStyle="1" w:styleId="Nadpis7Char">
    <w:name w:val="Nadpis 7 Char"/>
    <w:link w:val="Nadpis7"/>
    <w:uiPriority w:val="9"/>
    <w:rsid w:val="00F03E3C"/>
    <w:rPr>
      <w:rFonts w:ascii="Cambria" w:hAnsi="Cambria"/>
      <w:i/>
      <w:iCs/>
      <w:color w:val="404040"/>
      <w:sz w:val="24"/>
    </w:rPr>
  </w:style>
  <w:style w:type="character" w:customStyle="1" w:styleId="Nadpis8Char">
    <w:name w:val="Nadpis 8 Char"/>
    <w:link w:val="Nadpis8"/>
    <w:uiPriority w:val="9"/>
    <w:rsid w:val="00F03E3C"/>
    <w:rPr>
      <w:rFonts w:ascii="Cambria" w:hAnsi="Cambria"/>
      <w:color w:val="404040"/>
    </w:rPr>
  </w:style>
  <w:style w:type="character" w:customStyle="1" w:styleId="Nadpis9Char">
    <w:name w:val="Nadpis 9 Char"/>
    <w:link w:val="Nadpis9"/>
    <w:uiPriority w:val="9"/>
    <w:rsid w:val="00F03E3C"/>
    <w:rPr>
      <w:rFonts w:ascii="Cambria" w:hAnsi="Cambria"/>
      <w:i/>
      <w:iCs/>
      <w:color w:val="404040"/>
    </w:rPr>
  </w:style>
  <w:style w:type="paragraph" w:customStyle="1" w:styleId="Odstavecseseznamem1">
    <w:name w:val="Odstavec se seznamem1"/>
    <w:aliases w:val="Odstavec_muj"/>
    <w:basedOn w:val="Normln"/>
    <w:link w:val="OdstavecseseznamemChar"/>
    <w:uiPriority w:val="99"/>
    <w:qFormat/>
    <w:rsid w:val="00FB5FA2"/>
    <w:pPr>
      <w:ind w:left="720"/>
      <w:contextualSpacing/>
    </w:pPr>
  </w:style>
  <w:style w:type="paragraph" w:styleId="Titulek">
    <w:name w:val="caption"/>
    <w:basedOn w:val="Normln"/>
    <w:next w:val="Normln"/>
    <w:qFormat/>
    <w:rsid w:val="007C3506"/>
    <w:pPr>
      <w:spacing w:before="240" w:after="120"/>
      <w:jc w:val="both"/>
    </w:pPr>
    <w:rPr>
      <w:rFonts w:ascii="Calibri" w:hAnsi="Calibri"/>
      <w:b/>
      <w:bCs/>
      <w:color w:val="4F81BD"/>
      <w:sz w:val="24"/>
      <w:szCs w:val="18"/>
    </w:rPr>
  </w:style>
  <w:style w:type="character" w:styleId="Znakapoznpodarou">
    <w:name w:val="footnote reference"/>
    <w:aliases w:val="BVI fnr,Footnote symbol,Footnote Reference Number,PGI Fußnote Ziffer,Footnote Reference Superscript,Appel note de bas de p,Appel note de bas de page,Légende,Char Car Car Car Car,Voetnootverwijzing,Légende;Char Car Car Car Car,fr"/>
    <w:uiPriority w:val="99"/>
    <w:rsid w:val="00F03E3C"/>
    <w:rPr>
      <w:vertAlign w:val="superscript"/>
    </w:rPr>
  </w:style>
  <w:style w:type="character" w:customStyle="1" w:styleId="ZkladntextChar">
    <w:name w:val="Základní text Char"/>
    <w:aliases w:val="Standard paragraph Char,Body Text1 Char,Char1 Char,Základní text Char Char Char Char Char Char Char"/>
    <w:link w:val="Zkladntext"/>
    <w:locked/>
    <w:rsid w:val="00F03E3C"/>
    <w:rPr>
      <w:b/>
      <w:bCs/>
      <w:sz w:val="24"/>
    </w:rPr>
  </w:style>
  <w:style w:type="paragraph" w:styleId="Zkladntext">
    <w:name w:val="Body Text"/>
    <w:aliases w:val="Standard paragraph,Body Text1,Char1,Základní text Char Char Char Char Char Char"/>
    <w:basedOn w:val="Normln"/>
    <w:link w:val="ZkladntextChar"/>
    <w:unhideWhenUsed/>
    <w:rsid w:val="00F03E3C"/>
    <w:pPr>
      <w:jc w:val="both"/>
      <w:textAlignment w:val="auto"/>
    </w:pPr>
    <w:rPr>
      <w:b/>
      <w:bCs/>
      <w:sz w:val="24"/>
    </w:rPr>
  </w:style>
  <w:style w:type="character" w:customStyle="1" w:styleId="ZkladntextChar1">
    <w:name w:val="Základní text Char1"/>
    <w:basedOn w:val="Standardnpsmoodstavce"/>
    <w:uiPriority w:val="99"/>
    <w:semiHidden/>
    <w:rsid w:val="00F03E3C"/>
  </w:style>
  <w:style w:type="paragraph" w:styleId="Obsah1">
    <w:name w:val="toc 1"/>
    <w:basedOn w:val="Normln"/>
    <w:next w:val="Normln"/>
    <w:autoRedefine/>
    <w:uiPriority w:val="39"/>
    <w:unhideWhenUsed/>
    <w:rsid w:val="002E4CA7"/>
    <w:pPr>
      <w:overflowPunct/>
      <w:autoSpaceDE/>
      <w:autoSpaceDN/>
      <w:adjustRightInd/>
      <w:spacing w:before="200" w:after="100" w:line="276" w:lineRule="auto"/>
      <w:jc w:val="both"/>
      <w:textAlignment w:val="auto"/>
    </w:pPr>
    <w:rPr>
      <w:rFonts w:ascii="Calibri" w:hAnsi="Calibri"/>
      <w:b/>
      <w:sz w:val="24"/>
    </w:rPr>
  </w:style>
  <w:style w:type="paragraph" w:styleId="Obsah3">
    <w:name w:val="toc 3"/>
    <w:basedOn w:val="Normln"/>
    <w:next w:val="Normln"/>
    <w:autoRedefine/>
    <w:uiPriority w:val="39"/>
    <w:unhideWhenUsed/>
    <w:rsid w:val="009031E4"/>
    <w:pPr>
      <w:tabs>
        <w:tab w:val="left" w:pos="1320"/>
        <w:tab w:val="right" w:leader="dot" w:pos="9202"/>
      </w:tabs>
      <w:overflowPunct/>
      <w:autoSpaceDE/>
      <w:autoSpaceDN/>
      <w:adjustRightInd/>
      <w:spacing w:before="200" w:after="100" w:line="276" w:lineRule="auto"/>
      <w:ind w:left="480"/>
      <w:jc w:val="both"/>
      <w:textAlignment w:val="auto"/>
    </w:pPr>
    <w:rPr>
      <w:rFonts w:ascii="Calibri" w:hAnsi="Calibri"/>
      <w:i/>
      <w:noProof/>
      <w:sz w:val="24"/>
    </w:rPr>
  </w:style>
  <w:style w:type="paragraph" w:styleId="Obsah2">
    <w:name w:val="toc 2"/>
    <w:basedOn w:val="Normln"/>
    <w:next w:val="Normln"/>
    <w:autoRedefine/>
    <w:uiPriority w:val="39"/>
    <w:unhideWhenUsed/>
    <w:rsid w:val="00F03E3C"/>
    <w:pPr>
      <w:overflowPunct/>
      <w:autoSpaceDE/>
      <w:autoSpaceDN/>
      <w:adjustRightInd/>
      <w:spacing w:before="200" w:after="100" w:line="276" w:lineRule="auto"/>
      <w:ind w:left="240"/>
      <w:jc w:val="both"/>
      <w:textAlignment w:val="auto"/>
    </w:pPr>
    <w:rPr>
      <w:rFonts w:ascii="Calibri" w:hAnsi="Calibri"/>
      <w:sz w:val="24"/>
    </w:rPr>
  </w:style>
  <w:style w:type="character" w:styleId="Hypertextovodkaz">
    <w:name w:val="Hyperlink"/>
    <w:uiPriority w:val="99"/>
    <w:unhideWhenUsed/>
    <w:rsid w:val="00F03E3C"/>
    <w:rPr>
      <w:color w:val="0000FF"/>
      <w:u w:val="single"/>
    </w:rPr>
  </w:style>
  <w:style w:type="paragraph" w:customStyle="1" w:styleId="Point0number">
    <w:name w:val="Point 0 (number)"/>
    <w:basedOn w:val="Normln"/>
    <w:rsid w:val="00F03E3C"/>
    <w:pPr>
      <w:tabs>
        <w:tab w:val="num" w:pos="850"/>
      </w:tabs>
      <w:overflowPunct/>
      <w:autoSpaceDE/>
      <w:autoSpaceDN/>
      <w:adjustRightInd/>
      <w:spacing w:before="120" w:after="120"/>
      <w:ind w:left="850" w:hanging="850"/>
      <w:jc w:val="both"/>
      <w:textAlignment w:val="auto"/>
    </w:pPr>
    <w:rPr>
      <w:sz w:val="24"/>
      <w:szCs w:val="24"/>
      <w:lang w:val="en-GB" w:eastAsia="en-US"/>
    </w:rPr>
  </w:style>
  <w:style w:type="paragraph" w:customStyle="1" w:styleId="Point1number">
    <w:name w:val="Point 1 (number)"/>
    <w:basedOn w:val="Normln"/>
    <w:rsid w:val="00F03E3C"/>
    <w:pPr>
      <w:tabs>
        <w:tab w:val="num" w:pos="1417"/>
      </w:tabs>
      <w:overflowPunct/>
      <w:autoSpaceDE/>
      <w:autoSpaceDN/>
      <w:adjustRightInd/>
      <w:spacing w:before="120" w:after="120"/>
      <w:ind w:left="1417" w:hanging="567"/>
      <w:jc w:val="both"/>
      <w:textAlignment w:val="auto"/>
    </w:pPr>
    <w:rPr>
      <w:sz w:val="24"/>
      <w:szCs w:val="24"/>
      <w:lang w:val="en-GB" w:eastAsia="en-US"/>
    </w:rPr>
  </w:style>
  <w:style w:type="paragraph" w:customStyle="1" w:styleId="Point2number">
    <w:name w:val="Point 2 (number)"/>
    <w:basedOn w:val="Normln"/>
    <w:rsid w:val="00F03E3C"/>
    <w:pPr>
      <w:tabs>
        <w:tab w:val="num" w:pos="1984"/>
      </w:tabs>
      <w:overflowPunct/>
      <w:autoSpaceDE/>
      <w:autoSpaceDN/>
      <w:adjustRightInd/>
      <w:spacing w:before="120" w:after="120"/>
      <w:ind w:left="1984" w:hanging="567"/>
      <w:jc w:val="both"/>
      <w:textAlignment w:val="auto"/>
    </w:pPr>
    <w:rPr>
      <w:sz w:val="24"/>
      <w:szCs w:val="24"/>
      <w:lang w:val="en-GB" w:eastAsia="en-US"/>
    </w:rPr>
  </w:style>
  <w:style w:type="paragraph" w:customStyle="1" w:styleId="Point3number">
    <w:name w:val="Point 3 (number)"/>
    <w:basedOn w:val="Normln"/>
    <w:rsid w:val="00F03E3C"/>
    <w:pPr>
      <w:tabs>
        <w:tab w:val="num" w:pos="2551"/>
      </w:tabs>
      <w:overflowPunct/>
      <w:autoSpaceDE/>
      <w:autoSpaceDN/>
      <w:adjustRightInd/>
      <w:spacing w:before="120" w:after="120"/>
      <w:ind w:left="2551" w:hanging="567"/>
      <w:jc w:val="both"/>
      <w:textAlignment w:val="auto"/>
    </w:pPr>
    <w:rPr>
      <w:sz w:val="24"/>
      <w:szCs w:val="24"/>
      <w:lang w:val="en-GB" w:eastAsia="en-US"/>
    </w:rPr>
  </w:style>
  <w:style w:type="paragraph" w:customStyle="1" w:styleId="Point0letter">
    <w:name w:val="Point 0 (letter)"/>
    <w:basedOn w:val="Normln"/>
    <w:rsid w:val="00F03E3C"/>
    <w:pPr>
      <w:tabs>
        <w:tab w:val="num" w:pos="850"/>
      </w:tabs>
      <w:overflowPunct/>
      <w:autoSpaceDE/>
      <w:autoSpaceDN/>
      <w:adjustRightInd/>
      <w:spacing w:before="120" w:after="120"/>
      <w:ind w:left="850" w:hanging="850"/>
      <w:jc w:val="both"/>
      <w:textAlignment w:val="auto"/>
    </w:pPr>
    <w:rPr>
      <w:sz w:val="24"/>
      <w:szCs w:val="24"/>
      <w:lang w:val="en-GB" w:eastAsia="en-US"/>
    </w:rPr>
  </w:style>
  <w:style w:type="paragraph" w:customStyle="1" w:styleId="Point1letter">
    <w:name w:val="Point 1 (letter)"/>
    <w:basedOn w:val="Normln"/>
    <w:rsid w:val="00F03E3C"/>
    <w:pPr>
      <w:tabs>
        <w:tab w:val="num" w:pos="1417"/>
      </w:tabs>
      <w:overflowPunct/>
      <w:autoSpaceDE/>
      <w:autoSpaceDN/>
      <w:adjustRightInd/>
      <w:spacing w:before="120" w:after="120"/>
      <w:ind w:left="1417" w:hanging="567"/>
      <w:jc w:val="both"/>
      <w:textAlignment w:val="auto"/>
    </w:pPr>
    <w:rPr>
      <w:sz w:val="24"/>
      <w:szCs w:val="24"/>
      <w:lang w:val="en-GB" w:eastAsia="en-US"/>
    </w:rPr>
  </w:style>
  <w:style w:type="paragraph" w:customStyle="1" w:styleId="Point2letter">
    <w:name w:val="Point 2 (letter)"/>
    <w:basedOn w:val="Normln"/>
    <w:rsid w:val="00F03E3C"/>
    <w:pPr>
      <w:tabs>
        <w:tab w:val="num" w:pos="1984"/>
      </w:tabs>
      <w:overflowPunct/>
      <w:autoSpaceDE/>
      <w:autoSpaceDN/>
      <w:adjustRightInd/>
      <w:spacing w:before="120" w:after="120"/>
      <w:ind w:left="1984" w:hanging="567"/>
      <w:jc w:val="both"/>
      <w:textAlignment w:val="auto"/>
    </w:pPr>
    <w:rPr>
      <w:sz w:val="24"/>
      <w:szCs w:val="24"/>
      <w:lang w:val="en-GB" w:eastAsia="en-US"/>
    </w:rPr>
  </w:style>
  <w:style w:type="paragraph" w:customStyle="1" w:styleId="Point3letter">
    <w:name w:val="Point 3 (letter)"/>
    <w:basedOn w:val="Normln"/>
    <w:rsid w:val="00F03E3C"/>
    <w:pPr>
      <w:tabs>
        <w:tab w:val="num" w:pos="2551"/>
      </w:tabs>
      <w:overflowPunct/>
      <w:autoSpaceDE/>
      <w:autoSpaceDN/>
      <w:adjustRightInd/>
      <w:spacing w:before="120" w:after="120"/>
      <w:ind w:left="2551" w:hanging="567"/>
      <w:jc w:val="both"/>
      <w:textAlignment w:val="auto"/>
    </w:pPr>
    <w:rPr>
      <w:sz w:val="24"/>
      <w:szCs w:val="24"/>
      <w:lang w:val="en-GB" w:eastAsia="en-US"/>
    </w:rPr>
  </w:style>
  <w:style w:type="paragraph" w:customStyle="1" w:styleId="Point4letter">
    <w:name w:val="Point 4 (letter)"/>
    <w:basedOn w:val="Normln"/>
    <w:rsid w:val="00F03E3C"/>
    <w:pPr>
      <w:tabs>
        <w:tab w:val="num" w:pos="3118"/>
      </w:tabs>
      <w:overflowPunct/>
      <w:autoSpaceDE/>
      <w:autoSpaceDN/>
      <w:adjustRightInd/>
      <w:spacing w:before="120" w:after="120"/>
      <w:ind w:left="3118" w:hanging="567"/>
      <w:jc w:val="both"/>
      <w:textAlignment w:val="auto"/>
    </w:pPr>
    <w:rPr>
      <w:sz w:val="24"/>
      <w:szCs w:val="24"/>
      <w:lang w:val="en-GB" w:eastAsia="en-US"/>
    </w:rPr>
  </w:style>
  <w:style w:type="paragraph" w:styleId="Normlnweb">
    <w:name w:val="Normal (Web)"/>
    <w:basedOn w:val="Normln"/>
    <w:uiPriority w:val="99"/>
    <w:unhideWhenUsed/>
    <w:rsid w:val="00F03E3C"/>
    <w:pPr>
      <w:overflowPunct/>
      <w:autoSpaceDE/>
      <w:autoSpaceDN/>
      <w:adjustRightInd/>
      <w:spacing w:before="100" w:beforeAutospacing="1" w:after="100" w:afterAutospacing="1"/>
      <w:textAlignment w:val="auto"/>
    </w:pPr>
    <w:rPr>
      <w:sz w:val="24"/>
      <w:szCs w:val="24"/>
    </w:rPr>
  </w:style>
  <w:style w:type="paragraph" w:customStyle="1" w:styleId="beznytext">
    <w:name w:val="bezny_text"/>
    <w:basedOn w:val="Normln"/>
    <w:rsid w:val="00F03E3C"/>
    <w:pPr>
      <w:overflowPunct/>
      <w:autoSpaceDE/>
      <w:autoSpaceDN/>
      <w:adjustRightInd/>
      <w:spacing w:before="100" w:beforeAutospacing="1" w:after="100" w:afterAutospacing="1"/>
      <w:textAlignment w:val="auto"/>
    </w:pPr>
    <w:rPr>
      <w:sz w:val="24"/>
      <w:szCs w:val="24"/>
    </w:rPr>
  </w:style>
  <w:style w:type="paragraph" w:styleId="Bezmezer">
    <w:name w:val="No Spacing"/>
    <w:link w:val="BezmezerChar"/>
    <w:uiPriority w:val="1"/>
    <w:qFormat/>
    <w:rsid w:val="00F03E3C"/>
    <w:rPr>
      <w:rFonts w:ascii="Calibri" w:hAnsi="Calibri"/>
      <w:sz w:val="22"/>
      <w:szCs w:val="22"/>
    </w:rPr>
  </w:style>
  <w:style w:type="character" w:customStyle="1" w:styleId="BezmezerChar">
    <w:name w:val="Bez mezer Char"/>
    <w:link w:val="Bezmezer"/>
    <w:uiPriority w:val="1"/>
    <w:rsid w:val="00F03E3C"/>
    <w:rPr>
      <w:rFonts w:ascii="Calibri" w:hAnsi="Calibri"/>
      <w:sz w:val="22"/>
      <w:szCs w:val="22"/>
      <w:lang w:bidi="ar-SA"/>
    </w:rPr>
  </w:style>
  <w:style w:type="paragraph" w:styleId="Zhlav">
    <w:name w:val="header"/>
    <w:basedOn w:val="Normln"/>
    <w:link w:val="ZhlavChar"/>
    <w:uiPriority w:val="99"/>
    <w:unhideWhenUsed/>
    <w:rsid w:val="00F03E3C"/>
    <w:pPr>
      <w:tabs>
        <w:tab w:val="center" w:pos="4536"/>
        <w:tab w:val="right" w:pos="9072"/>
      </w:tabs>
      <w:overflowPunct/>
      <w:autoSpaceDE/>
      <w:autoSpaceDN/>
      <w:adjustRightInd/>
      <w:jc w:val="both"/>
      <w:textAlignment w:val="auto"/>
    </w:pPr>
    <w:rPr>
      <w:rFonts w:ascii="Calibri" w:hAnsi="Calibri"/>
      <w:sz w:val="24"/>
    </w:rPr>
  </w:style>
  <w:style w:type="character" w:customStyle="1" w:styleId="ZhlavChar">
    <w:name w:val="Záhlaví Char"/>
    <w:link w:val="Zhlav"/>
    <w:uiPriority w:val="99"/>
    <w:rsid w:val="00F03E3C"/>
    <w:rPr>
      <w:rFonts w:ascii="Calibri" w:hAnsi="Calibri"/>
      <w:sz w:val="24"/>
    </w:rPr>
  </w:style>
  <w:style w:type="paragraph" w:styleId="Zpat">
    <w:name w:val="footer"/>
    <w:basedOn w:val="Normln"/>
    <w:link w:val="ZpatChar"/>
    <w:uiPriority w:val="99"/>
    <w:unhideWhenUsed/>
    <w:rsid w:val="00F03E3C"/>
    <w:pPr>
      <w:tabs>
        <w:tab w:val="center" w:pos="4536"/>
        <w:tab w:val="right" w:pos="9072"/>
      </w:tabs>
      <w:overflowPunct/>
      <w:autoSpaceDE/>
      <w:autoSpaceDN/>
      <w:adjustRightInd/>
      <w:jc w:val="both"/>
      <w:textAlignment w:val="auto"/>
    </w:pPr>
    <w:rPr>
      <w:rFonts w:ascii="Calibri" w:hAnsi="Calibri"/>
      <w:sz w:val="24"/>
    </w:rPr>
  </w:style>
  <w:style w:type="character" w:customStyle="1" w:styleId="ZpatChar">
    <w:name w:val="Zápatí Char"/>
    <w:link w:val="Zpat"/>
    <w:uiPriority w:val="99"/>
    <w:rsid w:val="00F03E3C"/>
    <w:rPr>
      <w:rFonts w:ascii="Calibri" w:hAnsi="Calibri"/>
      <w:sz w:val="24"/>
    </w:rPr>
  </w:style>
  <w:style w:type="character" w:customStyle="1" w:styleId="TextbublinyChar">
    <w:name w:val="Text bubliny Char"/>
    <w:link w:val="Textbubliny"/>
    <w:uiPriority w:val="99"/>
    <w:semiHidden/>
    <w:rsid w:val="00F03E3C"/>
    <w:rPr>
      <w:rFonts w:ascii="Tahoma" w:hAnsi="Tahoma" w:cs="Tahoma"/>
      <w:sz w:val="16"/>
      <w:szCs w:val="16"/>
    </w:rPr>
  </w:style>
  <w:style w:type="paragraph" w:styleId="Textbubliny">
    <w:name w:val="Balloon Text"/>
    <w:basedOn w:val="Normln"/>
    <w:link w:val="TextbublinyChar"/>
    <w:uiPriority w:val="99"/>
    <w:semiHidden/>
    <w:unhideWhenUsed/>
    <w:rsid w:val="00F03E3C"/>
    <w:pPr>
      <w:overflowPunct/>
      <w:autoSpaceDE/>
      <w:autoSpaceDN/>
      <w:adjustRightInd/>
      <w:jc w:val="both"/>
      <w:textAlignment w:val="auto"/>
    </w:pPr>
    <w:rPr>
      <w:rFonts w:ascii="Tahoma" w:hAnsi="Tahoma"/>
      <w:sz w:val="16"/>
      <w:szCs w:val="16"/>
    </w:rPr>
  </w:style>
  <w:style w:type="character" w:customStyle="1" w:styleId="TextkomenteChar">
    <w:name w:val="Text komentáře Char"/>
    <w:link w:val="Textkomente"/>
    <w:uiPriority w:val="99"/>
    <w:rsid w:val="00F03E3C"/>
    <w:rPr>
      <w:rFonts w:ascii="Calibri" w:hAnsi="Calibri"/>
    </w:rPr>
  </w:style>
  <w:style w:type="paragraph" w:styleId="Textkomente">
    <w:name w:val="annotation text"/>
    <w:basedOn w:val="Normln"/>
    <w:link w:val="TextkomenteChar"/>
    <w:uiPriority w:val="99"/>
    <w:unhideWhenUsed/>
    <w:rsid w:val="00F03E3C"/>
    <w:pPr>
      <w:overflowPunct/>
      <w:autoSpaceDE/>
      <w:autoSpaceDN/>
      <w:adjustRightInd/>
      <w:spacing w:before="200" w:after="200"/>
      <w:jc w:val="both"/>
      <w:textAlignment w:val="auto"/>
    </w:pPr>
    <w:rPr>
      <w:rFonts w:ascii="Calibri" w:hAnsi="Calibri"/>
    </w:rPr>
  </w:style>
  <w:style w:type="character" w:customStyle="1" w:styleId="PedmtkomenteChar">
    <w:name w:val="Předmět komentáře Char"/>
    <w:link w:val="Pedmtkomente"/>
    <w:uiPriority w:val="99"/>
    <w:semiHidden/>
    <w:rsid w:val="00F03E3C"/>
    <w:rPr>
      <w:rFonts w:ascii="Calibri" w:hAnsi="Calibri"/>
      <w:b/>
      <w:bCs/>
    </w:rPr>
  </w:style>
  <w:style w:type="paragraph" w:styleId="Pedmtkomente">
    <w:name w:val="annotation subject"/>
    <w:basedOn w:val="Textkomente"/>
    <w:next w:val="Textkomente"/>
    <w:link w:val="PedmtkomenteChar"/>
    <w:uiPriority w:val="99"/>
    <w:semiHidden/>
    <w:unhideWhenUsed/>
    <w:rsid w:val="00F03E3C"/>
    <w:rPr>
      <w:b/>
      <w:bCs/>
    </w:rPr>
  </w:style>
  <w:style w:type="paragraph" w:customStyle="1" w:styleId="Zdroj">
    <w:name w:val="Zdroj"/>
    <w:basedOn w:val="Normln"/>
    <w:next w:val="Normln"/>
    <w:link w:val="ZdrojChar"/>
    <w:rsid w:val="00F03E3C"/>
    <w:pPr>
      <w:overflowPunct/>
      <w:autoSpaceDE/>
      <w:autoSpaceDN/>
      <w:adjustRightInd/>
      <w:spacing w:after="120" w:line="288" w:lineRule="auto"/>
      <w:jc w:val="both"/>
      <w:textAlignment w:val="auto"/>
    </w:pPr>
    <w:rPr>
      <w:rFonts w:ascii="Arial" w:hAnsi="Arial"/>
      <w:sz w:val="18"/>
      <w:szCs w:val="24"/>
    </w:rPr>
  </w:style>
  <w:style w:type="character" w:customStyle="1" w:styleId="ZdrojChar">
    <w:name w:val="Zdroj Char"/>
    <w:link w:val="Zdroj"/>
    <w:rsid w:val="00F03E3C"/>
    <w:rPr>
      <w:rFonts w:ascii="Arial" w:hAnsi="Arial"/>
      <w:sz w:val="18"/>
      <w:szCs w:val="24"/>
    </w:rPr>
  </w:style>
  <w:style w:type="paragraph" w:styleId="Nzev">
    <w:name w:val="Title"/>
    <w:basedOn w:val="Normln"/>
    <w:link w:val="NzevChar"/>
    <w:qFormat/>
    <w:rsid w:val="00F03E3C"/>
    <w:pPr>
      <w:jc w:val="center"/>
    </w:pPr>
    <w:rPr>
      <w:b/>
      <w:bCs/>
      <w:sz w:val="24"/>
    </w:rPr>
  </w:style>
  <w:style w:type="character" w:customStyle="1" w:styleId="NzevChar">
    <w:name w:val="Název Char"/>
    <w:link w:val="Nzev"/>
    <w:rsid w:val="00F03E3C"/>
    <w:rPr>
      <w:b/>
      <w:bCs/>
      <w:sz w:val="24"/>
    </w:rPr>
  </w:style>
  <w:style w:type="paragraph" w:customStyle="1" w:styleId="OdrazkaIsouhlas">
    <w:name w:val="Odrazka_I_souhlas"/>
    <w:basedOn w:val="Normln"/>
    <w:rsid w:val="00F03E3C"/>
    <w:pPr>
      <w:tabs>
        <w:tab w:val="left" w:pos="284"/>
      </w:tabs>
      <w:overflowPunct/>
      <w:autoSpaceDE/>
      <w:autoSpaceDN/>
      <w:adjustRightInd/>
      <w:spacing w:before="40" w:after="40"/>
      <w:ind w:left="1069" w:hanging="360"/>
      <w:textAlignment w:val="auto"/>
    </w:pPr>
    <w:rPr>
      <w:rFonts w:ascii="Arial" w:hAnsi="Arial" w:cs="Arial"/>
    </w:rPr>
  </w:style>
  <w:style w:type="paragraph" w:customStyle="1" w:styleId="Default">
    <w:name w:val="Default"/>
    <w:link w:val="DefaultChar"/>
    <w:rsid w:val="00F03E3C"/>
    <w:pPr>
      <w:tabs>
        <w:tab w:val="left" w:pos="708"/>
      </w:tabs>
      <w:suppressAutoHyphens/>
      <w:overflowPunct w:val="0"/>
      <w:autoSpaceDE w:val="0"/>
      <w:spacing w:line="200" w:lineRule="atLeast"/>
      <w:textAlignment w:val="baseline"/>
    </w:pPr>
    <w:rPr>
      <w:rFonts w:ascii="Calibri" w:eastAsia="MS Mincho" w:hAnsi="Calibri" w:cs="Calibri"/>
      <w:lang w:eastAsia="en-US"/>
    </w:rPr>
  </w:style>
  <w:style w:type="paragraph" w:customStyle="1" w:styleId="bezmezer1">
    <w:name w:val="bezmezer1"/>
    <w:basedOn w:val="Bezmezer"/>
    <w:qFormat/>
    <w:rsid w:val="00F03E3C"/>
    <w:rPr>
      <w:rFonts w:ascii="Times New Roman" w:eastAsia="Calibri" w:hAnsi="Times New Roman"/>
      <w:sz w:val="24"/>
      <w:szCs w:val="24"/>
      <w:lang w:eastAsia="en-US"/>
    </w:rPr>
  </w:style>
  <w:style w:type="paragraph" w:styleId="Zkladntext3">
    <w:name w:val="Body Text 3"/>
    <w:basedOn w:val="Normln"/>
    <w:link w:val="Zkladntext3Char"/>
    <w:uiPriority w:val="99"/>
    <w:semiHidden/>
    <w:unhideWhenUsed/>
    <w:rsid w:val="00F03E3C"/>
    <w:pPr>
      <w:overflowPunct/>
      <w:autoSpaceDE/>
      <w:autoSpaceDN/>
      <w:adjustRightInd/>
      <w:spacing w:before="200" w:after="120" w:line="276" w:lineRule="auto"/>
      <w:jc w:val="both"/>
      <w:textAlignment w:val="auto"/>
    </w:pPr>
    <w:rPr>
      <w:rFonts w:ascii="Calibri" w:hAnsi="Calibri"/>
      <w:sz w:val="16"/>
      <w:szCs w:val="16"/>
    </w:rPr>
  </w:style>
  <w:style w:type="character" w:customStyle="1" w:styleId="Zkladntext3Char">
    <w:name w:val="Základní text 3 Char"/>
    <w:link w:val="Zkladntext3"/>
    <w:uiPriority w:val="99"/>
    <w:semiHidden/>
    <w:rsid w:val="00F03E3C"/>
    <w:rPr>
      <w:rFonts w:ascii="Calibri" w:hAnsi="Calibri"/>
      <w:sz w:val="16"/>
      <w:szCs w:val="16"/>
    </w:rPr>
  </w:style>
  <w:style w:type="paragraph" w:customStyle="1" w:styleId="normln0">
    <w:name w:val="normální"/>
    <w:basedOn w:val="Normln"/>
    <w:qFormat/>
    <w:rsid w:val="00F03E3C"/>
    <w:pPr>
      <w:overflowPunct/>
      <w:autoSpaceDE/>
      <w:autoSpaceDN/>
      <w:adjustRightInd/>
      <w:spacing w:after="200" w:line="276" w:lineRule="auto"/>
      <w:jc w:val="both"/>
      <w:textAlignment w:val="auto"/>
    </w:pPr>
    <w:rPr>
      <w:rFonts w:eastAsia="Calibri"/>
      <w:sz w:val="24"/>
      <w:szCs w:val="24"/>
      <w:lang w:eastAsia="en-US"/>
    </w:rPr>
  </w:style>
  <w:style w:type="paragraph" w:customStyle="1" w:styleId="Odstavecodsazen">
    <w:name w:val="Odstavec odsazený"/>
    <w:basedOn w:val="Normln"/>
    <w:rsid w:val="00F03E3C"/>
    <w:pPr>
      <w:tabs>
        <w:tab w:val="left" w:pos="709"/>
      </w:tabs>
      <w:overflowPunct/>
      <w:autoSpaceDE/>
      <w:autoSpaceDN/>
      <w:adjustRightInd/>
      <w:spacing w:after="120" w:line="360" w:lineRule="auto"/>
      <w:ind w:left="357" w:firstLine="352"/>
      <w:jc w:val="both"/>
      <w:textAlignment w:val="auto"/>
    </w:pPr>
    <w:rPr>
      <w:sz w:val="24"/>
    </w:rPr>
  </w:style>
  <w:style w:type="paragraph" w:styleId="Podpise-mailu">
    <w:name w:val="E-mail Signature"/>
    <w:basedOn w:val="Normln"/>
    <w:link w:val="Podpise-mailuChar"/>
    <w:rsid w:val="00F03E3C"/>
    <w:pPr>
      <w:tabs>
        <w:tab w:val="num" w:pos="720"/>
      </w:tabs>
      <w:overflowPunct/>
      <w:autoSpaceDE/>
      <w:autoSpaceDN/>
      <w:adjustRightInd/>
      <w:spacing w:before="40" w:after="120" w:line="288" w:lineRule="auto"/>
      <w:jc w:val="both"/>
      <w:textAlignment w:val="auto"/>
    </w:pPr>
    <w:rPr>
      <w:rFonts w:ascii="Arial" w:hAnsi="Arial"/>
      <w:szCs w:val="24"/>
    </w:rPr>
  </w:style>
  <w:style w:type="character" w:customStyle="1" w:styleId="Podpise-mailuChar">
    <w:name w:val="Podpis e-mailu Char"/>
    <w:link w:val="Podpise-mailu"/>
    <w:rsid w:val="00F03E3C"/>
    <w:rPr>
      <w:rFonts w:ascii="Arial" w:hAnsi="Arial"/>
      <w:szCs w:val="24"/>
    </w:rPr>
  </w:style>
  <w:style w:type="paragraph" w:styleId="Nadpisobsahu">
    <w:name w:val="TOC Heading"/>
    <w:basedOn w:val="Nadpis1"/>
    <w:next w:val="Normln"/>
    <w:uiPriority w:val="39"/>
    <w:qFormat/>
    <w:rsid w:val="005566D0"/>
    <w:pPr>
      <w:keepLines/>
      <w:pageBreakBefore w:val="0"/>
      <w:numPr>
        <w:numId w:val="0"/>
      </w:numPr>
      <w:spacing w:before="480" w:after="0"/>
      <w:jc w:val="left"/>
      <w:outlineLvl w:val="9"/>
    </w:pPr>
    <w:rPr>
      <w:color w:val="365F91"/>
      <w:kern w:val="0"/>
      <w:szCs w:val="28"/>
    </w:rPr>
  </w:style>
  <w:style w:type="paragraph" w:styleId="Obsah4">
    <w:name w:val="toc 4"/>
    <w:basedOn w:val="Normln"/>
    <w:next w:val="Normln"/>
    <w:autoRedefine/>
    <w:uiPriority w:val="39"/>
    <w:unhideWhenUsed/>
    <w:rsid w:val="005566D0"/>
    <w:pPr>
      <w:spacing w:after="100"/>
      <w:ind w:left="600"/>
    </w:pPr>
  </w:style>
  <w:style w:type="table" w:styleId="Mkatabulky">
    <w:name w:val="Table Grid"/>
    <w:basedOn w:val="Normlntabulka"/>
    <w:uiPriority w:val="59"/>
    <w:rsid w:val="009072F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rsid w:val="00604263"/>
    <w:rPr>
      <w:sz w:val="16"/>
      <w:szCs w:val="16"/>
    </w:rPr>
  </w:style>
  <w:style w:type="character" w:customStyle="1" w:styleId="CharChar5">
    <w:name w:val="Char Char5"/>
    <w:semiHidden/>
    <w:locked/>
    <w:rsid w:val="006D08D8"/>
    <w:rPr>
      <w:rFonts w:ascii="Calibri" w:hAnsi="Calibri"/>
      <w:lang w:bidi="ar-SA"/>
    </w:rPr>
  </w:style>
  <w:style w:type="paragraph" w:customStyle="1" w:styleId="Zdrojtabulkyobrzku">
    <w:name w:val="Zdroj tabulky/obrázku"/>
    <w:basedOn w:val="Normln"/>
    <w:link w:val="ZdrojtabulkyobrzkuChar"/>
    <w:qFormat/>
    <w:rsid w:val="00CB339B"/>
    <w:pPr>
      <w:overflowPunct/>
      <w:autoSpaceDE/>
      <w:autoSpaceDN/>
      <w:adjustRightInd/>
      <w:spacing w:before="120" w:after="240" w:line="288" w:lineRule="auto"/>
      <w:jc w:val="both"/>
      <w:textAlignment w:val="auto"/>
    </w:pPr>
    <w:rPr>
      <w:rFonts w:ascii="Arial" w:hAnsi="Arial"/>
      <w:szCs w:val="22"/>
    </w:rPr>
  </w:style>
  <w:style w:type="character" w:customStyle="1" w:styleId="ZdrojtabulkyobrzkuChar">
    <w:name w:val="Zdroj tabulky/obrázku Char"/>
    <w:link w:val="Zdrojtabulkyobrzku"/>
    <w:rsid w:val="00CB339B"/>
    <w:rPr>
      <w:rFonts w:ascii="Arial" w:hAnsi="Arial"/>
      <w:szCs w:val="22"/>
    </w:rPr>
  </w:style>
  <w:style w:type="character" w:customStyle="1" w:styleId="TextMetodikaChar">
    <w:name w:val="Text Metodika Char"/>
    <w:link w:val="TextMetodika"/>
    <w:uiPriority w:val="99"/>
    <w:locked/>
    <w:rsid w:val="004C042F"/>
    <w:rPr>
      <w:rFonts w:ascii="Arial" w:hAnsi="Arial"/>
      <w:lang w:bidi="ar-SA"/>
    </w:rPr>
  </w:style>
  <w:style w:type="paragraph" w:customStyle="1" w:styleId="TextMetodika">
    <w:name w:val="Text Metodika"/>
    <w:basedOn w:val="Normln"/>
    <w:link w:val="TextMetodikaChar"/>
    <w:uiPriority w:val="99"/>
    <w:qFormat/>
    <w:rsid w:val="004C042F"/>
    <w:pPr>
      <w:overflowPunct/>
      <w:autoSpaceDE/>
      <w:autoSpaceDN/>
      <w:adjustRightInd/>
      <w:spacing w:before="120" w:after="120" w:line="312" w:lineRule="auto"/>
      <w:jc w:val="both"/>
      <w:textAlignment w:val="auto"/>
    </w:pPr>
    <w:rPr>
      <w:rFonts w:ascii="Arial" w:hAnsi="Arial"/>
    </w:rPr>
  </w:style>
  <w:style w:type="paragraph" w:styleId="Seznamsodrkami">
    <w:name w:val="List Bullet"/>
    <w:basedOn w:val="Normln"/>
    <w:autoRedefine/>
    <w:rsid w:val="00E40039"/>
    <w:pPr>
      <w:overflowPunct/>
      <w:autoSpaceDE/>
      <w:autoSpaceDN/>
      <w:adjustRightInd/>
      <w:jc w:val="both"/>
      <w:textAlignment w:val="auto"/>
    </w:pPr>
    <w:rPr>
      <w:rFonts w:ascii="Calibri" w:hAnsi="Calibri" w:cs="Calibri"/>
      <w:sz w:val="24"/>
      <w:szCs w:val="24"/>
      <w:lang w:eastAsia="en-US"/>
    </w:rPr>
  </w:style>
  <w:style w:type="character" w:customStyle="1" w:styleId="OdstavecseseznamemChar">
    <w:name w:val="Odstavec se seznamem Char"/>
    <w:aliases w:val="Odstavec_muj Char,Nad Char"/>
    <w:link w:val="Odstavecseseznamem1"/>
    <w:uiPriority w:val="99"/>
    <w:rsid w:val="004B5A6C"/>
    <w:rPr>
      <w:lang w:val="cs-CZ" w:eastAsia="cs-CZ" w:bidi="ar-SA"/>
    </w:rPr>
  </w:style>
  <w:style w:type="character" w:customStyle="1" w:styleId="Char1Char1">
    <w:name w:val="Char1 Char1"/>
    <w:aliases w:val="Schriftart: 9 pt Char2,Schriftart: 10 pt Char2,Schriftart: 8 pt Char2,Text poznámky pod čiarou 007 Char2,Footnote Char2,Fußnotentextf Char2,Geneva 9 Char2,Font: Geneva 9 Char2,Boston 10 Char2,f Char2,pozn. pod čarou Char3,Char Char3"/>
    <w:uiPriority w:val="99"/>
    <w:rsid w:val="00E45000"/>
    <w:rPr>
      <w:lang w:val="cs-CZ" w:eastAsia="cs-CZ"/>
    </w:rPr>
  </w:style>
  <w:style w:type="paragraph" w:customStyle="1" w:styleId="NadpisNOK2">
    <w:name w:val="Nadpis NOK 2"/>
    <w:basedOn w:val="Nadpis2"/>
    <w:qFormat/>
    <w:rsid w:val="00AA5B29"/>
    <w:pPr>
      <w:numPr>
        <w:numId w:val="2"/>
      </w:numPr>
      <w:spacing w:line="240" w:lineRule="auto"/>
    </w:pPr>
    <w:rPr>
      <w:rFonts w:ascii="Arial Narrow" w:hAnsi="Arial Narrow" w:cs="Arial Narrow"/>
      <w:iCs w:val="0"/>
      <w:caps/>
      <w:color w:val="003366"/>
      <w:sz w:val="40"/>
      <w:szCs w:val="40"/>
    </w:rPr>
  </w:style>
  <w:style w:type="paragraph" w:customStyle="1" w:styleId="CM4">
    <w:name w:val="CM4"/>
    <w:basedOn w:val="Default"/>
    <w:next w:val="Default"/>
    <w:uiPriority w:val="99"/>
    <w:rsid w:val="00E10173"/>
    <w:pPr>
      <w:tabs>
        <w:tab w:val="clear" w:pos="708"/>
      </w:tabs>
      <w:suppressAutoHyphens w:val="0"/>
      <w:overflowPunct/>
      <w:autoSpaceDN w:val="0"/>
      <w:adjustRightInd w:val="0"/>
      <w:spacing w:line="240" w:lineRule="auto"/>
      <w:textAlignment w:val="auto"/>
    </w:pPr>
    <w:rPr>
      <w:rFonts w:ascii="EUAlbertina" w:eastAsia="Calibri" w:hAnsi="EUAlbertina" w:cs="Times New Roman"/>
      <w:sz w:val="24"/>
      <w:szCs w:val="24"/>
    </w:rPr>
  </w:style>
  <w:style w:type="paragraph" w:customStyle="1" w:styleId="TabNad">
    <w:name w:val="TabNad"/>
    <w:basedOn w:val="Normln"/>
    <w:uiPriority w:val="99"/>
    <w:rsid w:val="00415837"/>
    <w:pPr>
      <w:numPr>
        <w:numId w:val="3"/>
      </w:numPr>
      <w:tabs>
        <w:tab w:val="clear" w:pos="360"/>
      </w:tabs>
      <w:overflowPunct/>
      <w:autoSpaceDE/>
      <w:autoSpaceDN/>
      <w:adjustRightInd/>
      <w:ind w:left="907" w:hanging="907"/>
      <w:textAlignment w:val="auto"/>
    </w:pPr>
    <w:rPr>
      <w:b/>
      <w:bCs/>
      <w:sz w:val="22"/>
      <w:szCs w:val="22"/>
    </w:rPr>
  </w:style>
  <w:style w:type="paragraph" w:styleId="Revize">
    <w:name w:val="Revision"/>
    <w:hidden/>
    <w:uiPriority w:val="99"/>
    <w:semiHidden/>
    <w:rsid w:val="00977285"/>
  </w:style>
  <w:style w:type="character" w:styleId="Siln">
    <w:name w:val="Strong"/>
    <w:uiPriority w:val="22"/>
    <w:qFormat/>
    <w:rsid w:val="007F61BF"/>
    <w:rPr>
      <w:b/>
      <w:bCs/>
      <w:color w:val="58585A"/>
    </w:rPr>
  </w:style>
  <w:style w:type="paragraph" w:styleId="Obsah5">
    <w:name w:val="toc 5"/>
    <w:basedOn w:val="Normln"/>
    <w:next w:val="Normln"/>
    <w:autoRedefine/>
    <w:uiPriority w:val="39"/>
    <w:unhideWhenUsed/>
    <w:rsid w:val="00150B70"/>
    <w:pPr>
      <w:overflowPunct/>
      <w:autoSpaceDE/>
      <w:autoSpaceDN/>
      <w:adjustRightInd/>
      <w:spacing w:after="100" w:line="276" w:lineRule="auto"/>
      <w:ind w:left="880"/>
      <w:textAlignment w:val="auto"/>
    </w:pPr>
    <w:rPr>
      <w:rFonts w:ascii="Calibri" w:hAnsi="Calibri"/>
      <w:sz w:val="22"/>
      <w:szCs w:val="22"/>
    </w:rPr>
  </w:style>
  <w:style w:type="paragraph" w:styleId="Obsah6">
    <w:name w:val="toc 6"/>
    <w:basedOn w:val="Normln"/>
    <w:next w:val="Normln"/>
    <w:autoRedefine/>
    <w:uiPriority w:val="39"/>
    <w:unhideWhenUsed/>
    <w:rsid w:val="00150B70"/>
    <w:pPr>
      <w:overflowPunct/>
      <w:autoSpaceDE/>
      <w:autoSpaceDN/>
      <w:adjustRightInd/>
      <w:spacing w:after="100" w:line="276" w:lineRule="auto"/>
      <w:ind w:left="1100"/>
      <w:textAlignment w:val="auto"/>
    </w:pPr>
    <w:rPr>
      <w:rFonts w:ascii="Calibri" w:hAnsi="Calibri"/>
      <w:sz w:val="22"/>
      <w:szCs w:val="22"/>
    </w:rPr>
  </w:style>
  <w:style w:type="paragraph" w:styleId="Obsah7">
    <w:name w:val="toc 7"/>
    <w:basedOn w:val="Normln"/>
    <w:next w:val="Normln"/>
    <w:autoRedefine/>
    <w:uiPriority w:val="39"/>
    <w:unhideWhenUsed/>
    <w:rsid w:val="00150B70"/>
    <w:pPr>
      <w:overflowPunct/>
      <w:autoSpaceDE/>
      <w:autoSpaceDN/>
      <w:adjustRightInd/>
      <w:spacing w:after="100" w:line="276" w:lineRule="auto"/>
      <w:ind w:left="1320"/>
      <w:textAlignment w:val="auto"/>
    </w:pPr>
    <w:rPr>
      <w:rFonts w:ascii="Calibri" w:hAnsi="Calibri"/>
      <w:sz w:val="22"/>
      <w:szCs w:val="22"/>
    </w:rPr>
  </w:style>
  <w:style w:type="paragraph" w:styleId="Obsah8">
    <w:name w:val="toc 8"/>
    <w:basedOn w:val="Normln"/>
    <w:next w:val="Normln"/>
    <w:autoRedefine/>
    <w:uiPriority w:val="39"/>
    <w:unhideWhenUsed/>
    <w:rsid w:val="00150B70"/>
    <w:pPr>
      <w:overflowPunct/>
      <w:autoSpaceDE/>
      <w:autoSpaceDN/>
      <w:adjustRightInd/>
      <w:spacing w:after="100" w:line="276" w:lineRule="auto"/>
      <w:ind w:left="1540"/>
      <w:textAlignment w:val="auto"/>
    </w:pPr>
    <w:rPr>
      <w:rFonts w:ascii="Calibri" w:hAnsi="Calibri"/>
      <w:sz w:val="22"/>
      <w:szCs w:val="22"/>
    </w:rPr>
  </w:style>
  <w:style w:type="paragraph" w:styleId="Obsah9">
    <w:name w:val="toc 9"/>
    <w:basedOn w:val="Normln"/>
    <w:next w:val="Normln"/>
    <w:autoRedefine/>
    <w:uiPriority w:val="39"/>
    <w:unhideWhenUsed/>
    <w:rsid w:val="00150B70"/>
    <w:pPr>
      <w:overflowPunct/>
      <w:autoSpaceDE/>
      <w:autoSpaceDN/>
      <w:adjustRightInd/>
      <w:spacing w:after="100" w:line="276" w:lineRule="auto"/>
      <w:ind w:left="1760"/>
      <w:textAlignment w:val="auto"/>
    </w:pPr>
    <w:rPr>
      <w:rFonts w:ascii="Calibri" w:hAnsi="Calibri"/>
      <w:sz w:val="22"/>
      <w:szCs w:val="22"/>
    </w:rPr>
  </w:style>
  <w:style w:type="paragraph" w:styleId="Textvysvtlivek">
    <w:name w:val="endnote text"/>
    <w:basedOn w:val="Normln"/>
    <w:link w:val="TextvysvtlivekChar"/>
    <w:uiPriority w:val="99"/>
    <w:rsid w:val="00A72DFD"/>
  </w:style>
  <w:style w:type="character" w:customStyle="1" w:styleId="TextvysvtlivekChar">
    <w:name w:val="Text vysvětlivek Char"/>
    <w:basedOn w:val="Standardnpsmoodstavce"/>
    <w:link w:val="Textvysvtlivek"/>
    <w:uiPriority w:val="99"/>
    <w:rsid w:val="00A72DFD"/>
  </w:style>
  <w:style w:type="character" w:styleId="Odkaznavysvtlivky">
    <w:name w:val="endnote reference"/>
    <w:rsid w:val="00A72DFD"/>
    <w:rPr>
      <w:vertAlign w:val="superscript"/>
    </w:rPr>
  </w:style>
  <w:style w:type="character" w:customStyle="1" w:styleId="st1">
    <w:name w:val="st1"/>
    <w:basedOn w:val="Standardnpsmoodstavce"/>
    <w:rsid w:val="005275B9"/>
  </w:style>
  <w:style w:type="paragraph" w:customStyle="1" w:styleId="Poznmkapodarou">
    <w:name w:val="Poznámka pod čarou"/>
    <w:basedOn w:val="Default"/>
    <w:link w:val="PoznmkapodarouChar"/>
    <w:qFormat/>
    <w:rsid w:val="00B05905"/>
    <w:pPr>
      <w:spacing w:after="60"/>
      <w:jc w:val="both"/>
    </w:pPr>
    <w:rPr>
      <w:rFonts w:ascii="Times New Roman" w:eastAsia="Times New Roman" w:hAnsi="Times New Roman" w:cs="Times New Roman"/>
    </w:rPr>
  </w:style>
  <w:style w:type="paragraph" w:customStyle="1" w:styleId="Standardntext">
    <w:name w:val="Standardní text"/>
    <w:basedOn w:val="Normln"/>
    <w:link w:val="StandardntextChar"/>
    <w:qFormat/>
    <w:rsid w:val="00D20E3C"/>
    <w:pPr>
      <w:spacing w:after="120"/>
      <w:jc w:val="both"/>
    </w:pPr>
    <w:rPr>
      <w:sz w:val="24"/>
      <w:szCs w:val="24"/>
    </w:rPr>
  </w:style>
  <w:style w:type="character" w:customStyle="1" w:styleId="DefaultChar">
    <w:name w:val="Default Char"/>
    <w:link w:val="Default"/>
    <w:rsid w:val="00F362BC"/>
    <w:rPr>
      <w:rFonts w:ascii="Calibri" w:eastAsia="MS Mincho" w:hAnsi="Calibri" w:cs="Calibri"/>
      <w:lang w:eastAsia="en-US" w:bidi="ar-SA"/>
    </w:rPr>
  </w:style>
  <w:style w:type="character" w:customStyle="1" w:styleId="PoznmkapodarouChar">
    <w:name w:val="Poznámka pod čarou Char"/>
    <w:link w:val="Poznmkapodarou"/>
    <w:rsid w:val="00B05905"/>
    <w:rPr>
      <w:rFonts w:cs="Calibri"/>
    </w:rPr>
  </w:style>
  <w:style w:type="character" w:customStyle="1" w:styleId="StandardntextChar">
    <w:name w:val="Standardní text Char"/>
    <w:link w:val="Standardntext"/>
    <w:rsid w:val="00D20E3C"/>
    <w:rPr>
      <w:rFonts w:cs="Calibri"/>
      <w:sz w:val="24"/>
      <w:szCs w:val="24"/>
    </w:rPr>
  </w:style>
  <w:style w:type="character" w:styleId="Sledovanodkaz">
    <w:name w:val="FollowedHyperlink"/>
    <w:uiPriority w:val="99"/>
    <w:rsid w:val="00D703E0"/>
    <w:rPr>
      <w:color w:val="800080"/>
      <w:u w:val="single"/>
    </w:rPr>
  </w:style>
  <w:style w:type="paragraph" w:customStyle="1" w:styleId="ListDash">
    <w:name w:val="List Dash"/>
    <w:basedOn w:val="Normln"/>
    <w:uiPriority w:val="99"/>
    <w:rsid w:val="004E680E"/>
    <w:pPr>
      <w:numPr>
        <w:numId w:val="5"/>
      </w:numPr>
      <w:overflowPunct/>
      <w:autoSpaceDE/>
      <w:autoSpaceDN/>
      <w:adjustRightInd/>
      <w:spacing w:after="240"/>
      <w:jc w:val="both"/>
      <w:textAlignment w:val="auto"/>
    </w:pPr>
    <w:rPr>
      <w:sz w:val="24"/>
      <w:szCs w:val="24"/>
      <w:lang w:val="en-GB" w:eastAsia="en-US"/>
    </w:rPr>
  </w:style>
  <w:style w:type="paragraph" w:customStyle="1" w:styleId="DAVA">
    <w:name w:val="DAVA"/>
    <w:basedOn w:val="Normln"/>
    <w:link w:val="DAVAChar"/>
    <w:qFormat/>
    <w:rsid w:val="00635DFA"/>
    <w:pPr>
      <w:overflowPunct/>
      <w:autoSpaceDE/>
      <w:autoSpaceDN/>
      <w:adjustRightInd/>
      <w:spacing w:before="120"/>
      <w:textAlignment w:val="auto"/>
    </w:pPr>
    <w:rPr>
      <w:rFonts w:ascii="Arial" w:eastAsia="Calibri" w:hAnsi="Arial"/>
      <w:sz w:val="24"/>
      <w:szCs w:val="28"/>
      <w:lang w:eastAsia="en-US"/>
    </w:rPr>
  </w:style>
  <w:style w:type="character" w:customStyle="1" w:styleId="DAVAChar">
    <w:name w:val="DAVA Char"/>
    <w:link w:val="DAVA"/>
    <w:rsid w:val="00635DFA"/>
    <w:rPr>
      <w:rFonts w:ascii="Arial" w:eastAsia="Calibri" w:hAnsi="Arial" w:cs="Arial"/>
      <w:sz w:val="24"/>
      <w:szCs w:val="28"/>
      <w:lang w:eastAsia="en-US"/>
    </w:rPr>
  </w:style>
  <w:style w:type="paragraph" w:customStyle="1" w:styleId="Textdopisu">
    <w:name w:val="Text dopisu"/>
    <w:basedOn w:val="Normln"/>
    <w:rsid w:val="00635DFA"/>
    <w:pPr>
      <w:ind w:firstLine="544"/>
      <w:jc w:val="both"/>
    </w:pPr>
    <w:rPr>
      <w:sz w:val="24"/>
    </w:rPr>
  </w:style>
  <w:style w:type="paragraph" w:customStyle="1" w:styleId="kapitola2A">
    <w:name w:val="kapitola 2A"/>
    <w:basedOn w:val="Nadpis1"/>
    <w:link w:val="kapitola2AChar"/>
    <w:qFormat/>
    <w:rsid w:val="00017D76"/>
    <w:pPr>
      <w:keepNext w:val="0"/>
      <w:pageBreakBefore w:val="0"/>
      <w:numPr>
        <w:numId w:val="9"/>
      </w:numPr>
    </w:pPr>
  </w:style>
  <w:style w:type="paragraph" w:customStyle="1" w:styleId="kapitola2A0">
    <w:name w:val="kapitola 2A.0"/>
    <w:basedOn w:val="Nadpis3"/>
    <w:link w:val="kapitola2A0Char"/>
    <w:qFormat/>
    <w:rsid w:val="00F41B56"/>
    <w:pPr>
      <w:spacing w:after="120"/>
    </w:pPr>
  </w:style>
  <w:style w:type="character" w:customStyle="1" w:styleId="kapitola2AChar">
    <w:name w:val="kapitola 2A Char"/>
    <w:link w:val="kapitola2A"/>
    <w:rsid w:val="00017D76"/>
    <w:rPr>
      <w:rFonts w:ascii="Calibri" w:hAnsi="Calibri"/>
      <w:b/>
      <w:bCs/>
      <w:smallCaps/>
      <w:kern w:val="32"/>
      <w:sz w:val="28"/>
      <w:szCs w:val="32"/>
    </w:rPr>
  </w:style>
  <w:style w:type="paragraph" w:customStyle="1" w:styleId="Prioritnosa">
    <w:name w:val="Prioritní osa"/>
    <w:basedOn w:val="Nadpis2"/>
    <w:link w:val="PrioritnosaChar"/>
    <w:qFormat/>
    <w:rsid w:val="00D34C0F"/>
    <w:pPr>
      <w:numPr>
        <w:ilvl w:val="0"/>
        <w:numId w:val="0"/>
      </w:numPr>
      <w:pBdr>
        <w:top w:val="single" w:sz="24" w:space="2" w:color="95B3D7"/>
        <w:left w:val="single" w:sz="24" w:space="4" w:color="DBE5F1"/>
        <w:bottom w:val="single" w:sz="24" w:space="2" w:color="95B3D7"/>
        <w:right w:val="single" w:sz="24" w:space="4" w:color="DBE5F1"/>
      </w:pBdr>
      <w:shd w:val="clear" w:color="auto" w:fill="DBE5F1"/>
      <w:spacing w:before="360"/>
      <w:ind w:left="142" w:right="113" w:hanging="29"/>
    </w:pPr>
  </w:style>
  <w:style w:type="character" w:customStyle="1" w:styleId="kapitola2A0Char">
    <w:name w:val="kapitola 2A.0 Char"/>
    <w:link w:val="kapitola2A0"/>
    <w:rsid w:val="00F41B56"/>
    <w:rPr>
      <w:rFonts w:ascii="Calibri" w:hAnsi="Calibri"/>
      <w:b/>
      <w:bCs/>
      <w:color w:val="365F91"/>
      <w:sz w:val="24"/>
    </w:rPr>
  </w:style>
  <w:style w:type="paragraph" w:customStyle="1" w:styleId="Investinpriorita">
    <w:name w:val="Investiční priorita"/>
    <w:basedOn w:val="Prioritnosa"/>
    <w:link w:val="InvestinprioritaChar"/>
    <w:qFormat/>
    <w:rsid w:val="002A3493"/>
    <w:pPr>
      <w:pBdr>
        <w:left w:val="single" w:sz="24" w:space="4" w:color="EDF1F7"/>
        <w:right w:val="single" w:sz="24" w:space="4" w:color="EDF1F7"/>
      </w:pBdr>
      <w:shd w:val="clear" w:color="auto" w:fill="EDF1F7"/>
    </w:pPr>
    <w:rPr>
      <w:i/>
      <w:sz w:val="24"/>
    </w:rPr>
  </w:style>
  <w:style w:type="character" w:customStyle="1" w:styleId="PrioritnosaChar">
    <w:name w:val="Prioritní osa Char"/>
    <w:link w:val="Prioritnosa"/>
    <w:rsid w:val="00D34C0F"/>
    <w:rPr>
      <w:rFonts w:ascii="Calibri" w:hAnsi="Calibri"/>
      <w:b/>
      <w:bCs/>
      <w:iCs/>
      <w:sz w:val="26"/>
      <w:szCs w:val="28"/>
      <w:shd w:val="clear" w:color="auto" w:fill="DBE5F1"/>
    </w:rPr>
  </w:style>
  <w:style w:type="paragraph" w:customStyle="1" w:styleId="kapitola2B">
    <w:name w:val="kapitola 2.B"/>
    <w:basedOn w:val="kapitola2A0"/>
    <w:link w:val="kapitola2BChar"/>
    <w:qFormat/>
    <w:rsid w:val="005444BD"/>
  </w:style>
  <w:style w:type="character" w:customStyle="1" w:styleId="InvestinprioritaChar">
    <w:name w:val="Investiční priorita Char"/>
    <w:link w:val="Investinpriorita"/>
    <w:rsid w:val="002A3493"/>
    <w:rPr>
      <w:rFonts w:ascii="Calibri" w:hAnsi="Calibri"/>
      <w:b/>
      <w:bCs/>
      <w:i/>
      <w:iCs/>
      <w:sz w:val="24"/>
      <w:szCs w:val="28"/>
      <w:shd w:val="clear" w:color="auto" w:fill="EDF1F7"/>
    </w:rPr>
  </w:style>
  <w:style w:type="character" w:customStyle="1" w:styleId="kapitola2BChar">
    <w:name w:val="kapitola 2.B Char"/>
    <w:link w:val="kapitola2B"/>
    <w:rsid w:val="005444BD"/>
    <w:rPr>
      <w:rFonts w:ascii="Calibri" w:hAnsi="Calibri"/>
      <w:b/>
      <w:bCs/>
      <w:color w:val="365F91"/>
      <w:sz w:val="24"/>
    </w:rPr>
  </w:style>
  <w:style w:type="numbering" w:customStyle="1" w:styleId="Styl1">
    <w:name w:val="Styl1"/>
    <w:uiPriority w:val="99"/>
    <w:rsid w:val="009210DF"/>
    <w:pPr>
      <w:numPr>
        <w:numId w:val="14"/>
      </w:numPr>
    </w:pPr>
  </w:style>
  <w:style w:type="paragraph" w:customStyle="1" w:styleId="Modrnadpis">
    <w:name w:val="Modrý nadpis"/>
    <w:basedOn w:val="Nadpis4"/>
    <w:link w:val="ModrnadpisChar"/>
    <w:qFormat/>
    <w:rsid w:val="00396141"/>
    <w:pPr>
      <w:numPr>
        <w:ilvl w:val="0"/>
        <w:numId w:val="0"/>
      </w:numPr>
      <w:spacing w:before="240"/>
      <w:ind w:left="862" w:hanging="862"/>
    </w:pPr>
    <w:rPr>
      <w:rFonts w:ascii="Times New Roman" w:hAnsi="Times New Roman"/>
      <w:i w:val="0"/>
      <w:color w:val="548DD4"/>
    </w:rPr>
  </w:style>
  <w:style w:type="paragraph" w:customStyle="1" w:styleId="Tabulka">
    <w:name w:val="Tabulka"/>
    <w:basedOn w:val="Normln"/>
    <w:link w:val="TabulkaChar"/>
    <w:qFormat/>
    <w:rsid w:val="00BA1E1C"/>
    <w:pPr>
      <w:overflowPunct/>
      <w:spacing w:before="60" w:after="60"/>
      <w:jc w:val="center"/>
      <w:textAlignment w:val="auto"/>
    </w:pPr>
    <w:rPr>
      <w:sz w:val="22"/>
      <w:szCs w:val="22"/>
    </w:rPr>
  </w:style>
  <w:style w:type="character" w:customStyle="1" w:styleId="ModrnadpisChar">
    <w:name w:val="Modrý nadpis Char"/>
    <w:link w:val="Modrnadpis"/>
    <w:rsid w:val="00396141"/>
    <w:rPr>
      <w:b/>
      <w:bCs/>
      <w:iCs/>
      <w:color w:val="548DD4"/>
      <w:sz w:val="24"/>
    </w:rPr>
  </w:style>
  <w:style w:type="character" w:customStyle="1" w:styleId="TabulkaChar">
    <w:name w:val="Tabulka Char"/>
    <w:link w:val="Tabulka"/>
    <w:rsid w:val="00BA1E1C"/>
    <w:rPr>
      <w:rFonts w:cs="Calibri"/>
      <w:sz w:val="22"/>
      <w:szCs w:val="22"/>
    </w:rPr>
  </w:style>
  <w:style w:type="character" w:styleId="slostrnky">
    <w:name w:val="page number"/>
    <w:basedOn w:val="Standardnpsmoodstavce"/>
    <w:rsid w:val="00CB5EF1"/>
  </w:style>
  <w:style w:type="paragraph" w:styleId="Prosttext">
    <w:name w:val="Plain Text"/>
    <w:basedOn w:val="Normln"/>
    <w:link w:val="ProsttextChar"/>
    <w:uiPriority w:val="99"/>
    <w:unhideWhenUsed/>
    <w:rsid w:val="000C5A5B"/>
    <w:pPr>
      <w:overflowPunct/>
      <w:autoSpaceDE/>
      <w:autoSpaceDN/>
      <w:adjustRightInd/>
      <w:textAlignment w:val="auto"/>
    </w:pPr>
    <w:rPr>
      <w:rFonts w:ascii="Consolas" w:eastAsia="Calibri" w:hAnsi="Consolas"/>
      <w:sz w:val="21"/>
      <w:szCs w:val="21"/>
      <w:lang w:eastAsia="en-US"/>
    </w:rPr>
  </w:style>
  <w:style w:type="character" w:customStyle="1" w:styleId="ProsttextChar">
    <w:name w:val="Prostý text Char"/>
    <w:link w:val="Prosttext"/>
    <w:uiPriority w:val="99"/>
    <w:rsid w:val="000C5A5B"/>
    <w:rPr>
      <w:rFonts w:ascii="Consolas" w:eastAsia="Calibri" w:hAnsi="Consolas" w:cs="Times New Roman"/>
      <w:sz w:val="21"/>
      <w:szCs w:val="21"/>
      <w:lang w:eastAsia="en-US"/>
    </w:rPr>
  </w:style>
  <w:style w:type="paragraph" w:styleId="Zkladntextodsazen2">
    <w:name w:val="Body Text Indent 2"/>
    <w:basedOn w:val="Normln"/>
    <w:link w:val="Zkladntextodsazen2Char"/>
    <w:rsid w:val="00850113"/>
    <w:pPr>
      <w:spacing w:after="120" w:line="480" w:lineRule="auto"/>
      <w:ind w:left="283"/>
    </w:pPr>
  </w:style>
  <w:style w:type="character" w:customStyle="1" w:styleId="Zkladntextodsazen2Char">
    <w:name w:val="Základní text odsazený 2 Char"/>
    <w:basedOn w:val="Standardnpsmoodstavce"/>
    <w:link w:val="Zkladntextodsazen2"/>
    <w:rsid w:val="00850113"/>
  </w:style>
  <w:style w:type="paragraph" w:styleId="Citt">
    <w:name w:val="Quote"/>
    <w:basedOn w:val="Normln"/>
    <w:next w:val="Normln"/>
    <w:link w:val="CittChar"/>
    <w:uiPriority w:val="29"/>
    <w:qFormat/>
    <w:rsid w:val="003E654D"/>
    <w:rPr>
      <w:i/>
      <w:iCs/>
      <w:color w:val="000000"/>
    </w:rPr>
  </w:style>
  <w:style w:type="character" w:customStyle="1" w:styleId="CittChar">
    <w:name w:val="Citát Char"/>
    <w:link w:val="Citt"/>
    <w:uiPriority w:val="29"/>
    <w:rsid w:val="003E654D"/>
    <w:rPr>
      <w:i/>
      <w:iCs/>
      <w:color w:val="000000"/>
    </w:rPr>
  </w:style>
  <w:style w:type="paragraph" w:customStyle="1" w:styleId="ClOP">
    <w:name w:val="Cíl OP"/>
    <w:basedOn w:val="Citt"/>
    <w:link w:val="ClOPChar"/>
    <w:qFormat/>
    <w:rsid w:val="003E654D"/>
    <w:pPr>
      <w:pBdr>
        <w:top w:val="single" w:sz="24" w:space="4" w:color="95B3D7"/>
        <w:bottom w:val="single" w:sz="24" w:space="4" w:color="95B3D7"/>
      </w:pBdr>
      <w:spacing w:before="240" w:after="240"/>
      <w:jc w:val="center"/>
    </w:pPr>
    <w:rPr>
      <w:b/>
      <w:i w:val="0"/>
      <w:sz w:val="24"/>
      <w:szCs w:val="24"/>
    </w:rPr>
  </w:style>
  <w:style w:type="character" w:customStyle="1" w:styleId="ClOPChar">
    <w:name w:val="Cíl OP Char"/>
    <w:link w:val="ClOP"/>
    <w:rsid w:val="003E654D"/>
    <w:rPr>
      <w:b/>
      <w:i w:val="0"/>
      <w:iCs/>
      <w:color w:val="000000"/>
      <w:sz w:val="24"/>
      <w:szCs w:val="24"/>
    </w:rPr>
  </w:style>
  <w:style w:type="table" w:customStyle="1" w:styleId="Svtlmka1">
    <w:name w:val="Světlá mřížka1"/>
    <w:basedOn w:val="Normlntabulka"/>
    <w:uiPriority w:val="62"/>
    <w:rsid w:val="005746C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extkomenteChar1">
    <w:name w:val="Text komentáře Char1"/>
    <w:uiPriority w:val="99"/>
    <w:semiHidden/>
    <w:rsid w:val="005746C1"/>
    <w:rPr>
      <w:rFonts w:ascii="Calibri" w:hAnsi="Calibri"/>
    </w:rPr>
  </w:style>
  <w:style w:type="paragraph" w:customStyle="1" w:styleId="TextNOK">
    <w:name w:val="Text NOK"/>
    <w:basedOn w:val="Normln"/>
    <w:link w:val="TextNOKChar"/>
    <w:qFormat/>
    <w:rsid w:val="00B91AC2"/>
    <w:pPr>
      <w:overflowPunct/>
      <w:autoSpaceDE/>
      <w:autoSpaceDN/>
      <w:adjustRightInd/>
      <w:spacing w:after="120" w:line="288" w:lineRule="auto"/>
      <w:jc w:val="both"/>
      <w:textAlignment w:val="auto"/>
    </w:pPr>
    <w:rPr>
      <w:rFonts w:ascii="Arial" w:hAnsi="Arial"/>
      <w:szCs w:val="22"/>
    </w:rPr>
  </w:style>
  <w:style w:type="character" w:customStyle="1" w:styleId="TextNOKChar">
    <w:name w:val="Text NOK Char"/>
    <w:link w:val="TextNOK"/>
    <w:rsid w:val="00B91AC2"/>
    <w:rPr>
      <w:rFonts w:ascii="Arial" w:hAnsi="Arial"/>
      <w:szCs w:val="22"/>
    </w:rPr>
  </w:style>
  <w:style w:type="paragraph" w:customStyle="1" w:styleId="Tiret0">
    <w:name w:val="Tiret 0"/>
    <w:basedOn w:val="Normln"/>
    <w:rsid w:val="0035272A"/>
    <w:pPr>
      <w:numPr>
        <w:numId w:val="58"/>
      </w:numPr>
      <w:overflowPunct/>
      <w:autoSpaceDE/>
      <w:autoSpaceDN/>
      <w:adjustRightInd/>
      <w:spacing w:before="120" w:after="120"/>
      <w:jc w:val="both"/>
      <w:textAlignment w:val="auto"/>
    </w:pPr>
    <w:rPr>
      <w:sz w:val="24"/>
      <w:szCs w:val="24"/>
      <w:lang w:eastAsia="en-US"/>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Footnote Text Char1,o,Char Char1"/>
    <w:basedOn w:val="Normln"/>
    <w:link w:val="TextpoznpodarouChar"/>
    <w:uiPriority w:val="99"/>
    <w:qFormat/>
    <w:rsid w:val="004E6DD3"/>
    <w:pPr>
      <w:jc w:val="both"/>
    </w:p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4E6DD3"/>
  </w:style>
  <w:style w:type="character" w:styleId="Zdraznn">
    <w:name w:val="Emphasis"/>
    <w:uiPriority w:val="20"/>
    <w:qFormat/>
    <w:rsid w:val="00F37CF9"/>
    <w:rPr>
      <w:b/>
      <w:bCs/>
      <w:i w:val="0"/>
      <w:iCs w:val="0"/>
    </w:rPr>
  </w:style>
  <w:style w:type="paragraph" w:customStyle="1" w:styleId="Text1">
    <w:name w:val="Text 1"/>
    <w:basedOn w:val="Normln"/>
    <w:link w:val="Text1Char"/>
    <w:uiPriority w:val="99"/>
    <w:rsid w:val="00E517C6"/>
    <w:pPr>
      <w:overflowPunct/>
      <w:autoSpaceDE/>
      <w:autoSpaceDN/>
      <w:adjustRightInd/>
      <w:spacing w:after="240"/>
      <w:ind w:left="482"/>
      <w:jc w:val="both"/>
      <w:textAlignment w:val="auto"/>
    </w:pPr>
    <w:rPr>
      <w:sz w:val="24"/>
      <w:lang w:val="en-GB" w:eastAsia="en-US"/>
    </w:rPr>
  </w:style>
  <w:style w:type="character" w:customStyle="1" w:styleId="Text1Char">
    <w:name w:val="Text 1 Char"/>
    <w:link w:val="Text1"/>
    <w:uiPriority w:val="99"/>
    <w:locked/>
    <w:rsid w:val="00E517C6"/>
    <w:rPr>
      <w:sz w:val="24"/>
      <w:lang w:val="en-GB" w:eastAsia="en-US"/>
    </w:rPr>
  </w:style>
  <w:style w:type="paragraph" w:customStyle="1" w:styleId="CM1">
    <w:name w:val="CM1"/>
    <w:basedOn w:val="Default"/>
    <w:next w:val="Default"/>
    <w:uiPriority w:val="99"/>
    <w:rsid w:val="00146DC1"/>
    <w:pPr>
      <w:tabs>
        <w:tab w:val="clear" w:pos="708"/>
      </w:tabs>
      <w:suppressAutoHyphens w:val="0"/>
      <w:overflowPunct/>
      <w:autoSpaceDN w:val="0"/>
      <w:adjustRightInd w:val="0"/>
      <w:spacing w:line="240" w:lineRule="auto"/>
      <w:textAlignment w:val="auto"/>
    </w:pPr>
    <w:rPr>
      <w:rFonts w:ascii="EUAlbertina" w:eastAsia="Times New Roman" w:hAnsi="EUAlbertina" w:cs="Times New Roman"/>
      <w:sz w:val="24"/>
      <w:szCs w:val="24"/>
      <w:lang w:eastAsia="cs-CZ"/>
    </w:rPr>
  </w:style>
  <w:style w:type="paragraph" w:customStyle="1" w:styleId="CM3">
    <w:name w:val="CM3"/>
    <w:basedOn w:val="Default"/>
    <w:next w:val="Default"/>
    <w:uiPriority w:val="99"/>
    <w:rsid w:val="00146DC1"/>
    <w:pPr>
      <w:tabs>
        <w:tab w:val="clear" w:pos="708"/>
      </w:tabs>
      <w:suppressAutoHyphens w:val="0"/>
      <w:overflowPunct/>
      <w:autoSpaceDN w:val="0"/>
      <w:adjustRightInd w:val="0"/>
      <w:spacing w:line="240" w:lineRule="auto"/>
      <w:textAlignment w:val="auto"/>
    </w:pPr>
    <w:rPr>
      <w:rFonts w:ascii="EUAlbertina" w:eastAsia="Times New Roman" w:hAnsi="EUAlbertina" w:cs="Times New Roman"/>
      <w:sz w:val="24"/>
      <w:szCs w:val="24"/>
      <w:lang w:eastAsia="cs-CZ"/>
    </w:rPr>
  </w:style>
  <w:style w:type="character" w:customStyle="1" w:styleId="TextbublinyChar1">
    <w:name w:val="Text bubliny Char1"/>
    <w:uiPriority w:val="99"/>
    <w:semiHidden/>
    <w:rsid w:val="00B02CDE"/>
    <w:rPr>
      <w:rFonts w:ascii="Tahoma" w:eastAsia="Times New Roman" w:hAnsi="Tahoma" w:cs="Tahoma"/>
      <w:sz w:val="16"/>
      <w:szCs w:val="16"/>
      <w:lang w:eastAsia="cs-CZ"/>
    </w:rPr>
  </w:style>
  <w:style w:type="character" w:customStyle="1" w:styleId="PedmtkomenteChar1">
    <w:name w:val="Předmět komentáře Char1"/>
    <w:uiPriority w:val="99"/>
    <w:semiHidden/>
    <w:rsid w:val="00B02CDE"/>
    <w:rPr>
      <w:rFonts w:ascii="Times New Roman" w:eastAsia="Times New Roman" w:hAnsi="Times New Roman" w:cs="Times New Roman"/>
      <w:b/>
      <w:bCs/>
      <w:sz w:val="20"/>
      <w:szCs w:val="20"/>
      <w:lang w:eastAsia="cs-CZ"/>
    </w:rPr>
  </w:style>
  <w:style w:type="paragraph" w:customStyle="1" w:styleId="Text3">
    <w:name w:val="Text 3"/>
    <w:basedOn w:val="Normln"/>
    <w:rsid w:val="000534DA"/>
    <w:pPr>
      <w:overflowPunct/>
      <w:autoSpaceDE/>
      <w:autoSpaceDN/>
      <w:adjustRightInd/>
      <w:spacing w:before="120" w:after="120"/>
      <w:ind w:left="1984"/>
      <w:jc w:val="both"/>
      <w:textAlignment w:val="auto"/>
    </w:pPr>
    <w:rPr>
      <w:rFonts w:eastAsia="Calibri"/>
      <w:sz w:val="24"/>
      <w:lang w:eastAsia="en-GB"/>
    </w:rPr>
  </w:style>
  <w:style w:type="paragraph" w:customStyle="1" w:styleId="ZZNormln">
    <w:name w:val="ZZ Normální"/>
    <w:basedOn w:val="Normln"/>
    <w:rsid w:val="000A44AF"/>
    <w:pPr>
      <w:spacing w:after="120"/>
      <w:jc w:val="both"/>
    </w:pPr>
    <w:rPr>
      <w:rFonts w:ascii="Arial" w:hAnsi="Arial" w:cs="Arial"/>
      <w:sz w:val="24"/>
    </w:rPr>
  </w:style>
  <w:style w:type="paragraph" w:customStyle="1" w:styleId="StylArial11bZarovnatdoblokuVlevo063cm">
    <w:name w:val="Styl Arial 11 b. Zarovnat do bloku Vlevo:  063 cm"/>
    <w:basedOn w:val="Normln"/>
    <w:rsid w:val="00D973E4"/>
    <w:pPr>
      <w:overflowPunct/>
      <w:autoSpaceDE/>
      <w:autoSpaceDN/>
      <w:adjustRightInd/>
      <w:spacing w:before="120"/>
      <w:ind w:left="357"/>
      <w:jc w:val="both"/>
      <w:textAlignment w:val="auto"/>
    </w:pPr>
    <w:rPr>
      <w:rFonts w:ascii="Arial" w:hAnsi="Arial"/>
      <w:sz w:val="22"/>
    </w:rPr>
  </w:style>
  <w:style w:type="paragraph" w:customStyle="1" w:styleId="Normln1">
    <w:name w:val="Normální1"/>
    <w:basedOn w:val="Normln"/>
    <w:rsid w:val="00D973E4"/>
    <w:pPr>
      <w:overflowPunct/>
      <w:autoSpaceDE/>
      <w:autoSpaceDN/>
      <w:adjustRightInd/>
      <w:spacing w:before="100" w:beforeAutospacing="1" w:after="100" w:afterAutospacing="1"/>
      <w:textAlignment w:val="auto"/>
    </w:pPr>
    <w:rPr>
      <w:sz w:val="24"/>
      <w:szCs w:val="24"/>
    </w:rPr>
  </w:style>
  <w:style w:type="paragraph" w:customStyle="1" w:styleId="Specifickcl">
    <w:name w:val="Specifický cíl"/>
    <w:basedOn w:val="Nadpis4"/>
    <w:link w:val="SpecifickclChar"/>
    <w:qFormat/>
    <w:rsid w:val="00D973E4"/>
    <w:pPr>
      <w:numPr>
        <w:ilvl w:val="0"/>
        <w:numId w:val="0"/>
      </w:numPr>
      <w:ind w:left="862" w:hanging="862"/>
    </w:pPr>
    <w:rPr>
      <w:i w:val="0"/>
      <w:color w:val="548DD4"/>
    </w:rPr>
  </w:style>
  <w:style w:type="character" w:customStyle="1" w:styleId="SpecifickclChar">
    <w:name w:val="Specifický cíl Char"/>
    <w:link w:val="Specifickcl"/>
    <w:rsid w:val="00D973E4"/>
    <w:rPr>
      <w:rFonts w:ascii="Calibri" w:hAnsi="Calibri"/>
      <w:b/>
      <w:bCs/>
      <w:i w:val="0"/>
      <w:iCs/>
      <w:color w:val="548DD4"/>
      <w:sz w:val="24"/>
    </w:rPr>
  </w:style>
  <w:style w:type="character" w:customStyle="1" w:styleId="st">
    <w:name w:val="st"/>
    <w:basedOn w:val="Standardnpsmoodstavce"/>
    <w:rsid w:val="00D973E4"/>
  </w:style>
  <w:style w:type="paragraph" w:customStyle="1" w:styleId="Char4CharCharCharCharCharCharCharCharChar">
    <w:name w:val="Char4 Char Char Char Char Char Char Char Char Char"/>
    <w:basedOn w:val="Normln"/>
    <w:rsid w:val="00D973E4"/>
    <w:pPr>
      <w:overflowPunct/>
      <w:autoSpaceDE/>
      <w:autoSpaceDN/>
      <w:adjustRightInd/>
      <w:spacing w:after="160" w:line="240" w:lineRule="exact"/>
      <w:textAlignment w:val="auto"/>
    </w:pPr>
    <w:rPr>
      <w:rFonts w:ascii="Times New Roman Bold" w:hAnsi="Times New Roman Bold"/>
      <w:sz w:val="22"/>
      <w:szCs w:val="26"/>
      <w:lang w:val="sk-SK" w:eastAsia="en-US"/>
    </w:rPr>
  </w:style>
  <w:style w:type="numbering" w:customStyle="1" w:styleId="Bezseznamu1">
    <w:name w:val="Bez seznamu1"/>
    <w:next w:val="Bezseznamu"/>
    <w:uiPriority w:val="99"/>
    <w:semiHidden/>
    <w:unhideWhenUsed/>
    <w:rsid w:val="00BD3D1A"/>
  </w:style>
  <w:style w:type="table" w:customStyle="1" w:styleId="Mkatabulky1">
    <w:name w:val="Mřížka tabulky1"/>
    <w:basedOn w:val="Normlntabulka"/>
    <w:next w:val="Mkatabulky"/>
    <w:uiPriority w:val="59"/>
    <w:rsid w:val="00BD3D1A"/>
    <w:pPr>
      <w:jc w:val="both"/>
    </w:pPr>
    <w:rPr>
      <w:rFonts w:ascii="Tahoma" w:eastAsia="Calibri" w:hAnsi="Tahoma"/>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vysvtlivekChar1">
    <w:name w:val="Text vysvětlivek Char1"/>
    <w:uiPriority w:val="99"/>
    <w:semiHidden/>
    <w:rsid w:val="00BD3D1A"/>
    <w:rPr>
      <w:szCs w:val="20"/>
    </w:rPr>
  </w:style>
  <w:style w:type="character" w:customStyle="1" w:styleId="TextpoznpodarouChar1">
    <w:name w:val="Text pozn. pod čarou Char1"/>
    <w:uiPriority w:val="99"/>
    <w:semiHidden/>
    <w:rsid w:val="00BD3D1A"/>
    <w:rPr>
      <w:szCs w:val="20"/>
    </w:rPr>
  </w:style>
  <w:style w:type="table" w:customStyle="1" w:styleId="Stednstnovn2zvraznn11">
    <w:name w:val="Střední stínování 2 – zvýraznění 11"/>
    <w:basedOn w:val="Normlntabulka"/>
    <w:uiPriority w:val="64"/>
    <w:rsid w:val="00B551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ongtext">
    <w:name w:val="long_text"/>
    <w:basedOn w:val="Standardnpsmoodstavce"/>
    <w:rsid w:val="002A7237"/>
  </w:style>
  <w:style w:type="character" w:customStyle="1" w:styleId="hps">
    <w:name w:val="hps"/>
    <w:basedOn w:val="Standardnpsmoodstavce"/>
    <w:rsid w:val="002A7237"/>
  </w:style>
  <w:style w:type="character" w:customStyle="1" w:styleId="CharChar7">
    <w:name w:val="Char Char7"/>
    <w:locked/>
    <w:rsid w:val="0083211D"/>
    <w:rPr>
      <w:rFonts w:ascii="Calibri" w:hAnsi="Calibri"/>
      <w:lang w:bidi="ar-SA"/>
    </w:rPr>
  </w:style>
  <w:style w:type="paragraph" w:styleId="Odstavecseseznamem">
    <w:name w:val="List Paragraph"/>
    <w:aliases w:val="Nad"/>
    <w:basedOn w:val="Normln"/>
    <w:uiPriority w:val="34"/>
    <w:qFormat/>
    <w:rsid w:val="00722D7B"/>
    <w:pPr>
      <w:ind w:left="720"/>
      <w:contextualSpacing/>
    </w:pPr>
  </w:style>
  <w:style w:type="paragraph" w:customStyle="1" w:styleId="tabodr">
    <w:name w:val="tabodr"/>
    <w:basedOn w:val="Normln"/>
    <w:rsid w:val="00FC57A0"/>
    <w:pPr>
      <w:tabs>
        <w:tab w:val="num" w:pos="360"/>
      </w:tabs>
      <w:overflowPunct/>
      <w:autoSpaceDE/>
      <w:autoSpaceDN/>
      <w:adjustRightInd/>
      <w:spacing w:before="120" w:after="20"/>
      <w:ind w:left="360" w:hanging="360"/>
      <w:jc w:val="both"/>
      <w:textAlignment w:val="auto"/>
    </w:pPr>
    <w:rPr>
      <w:rFonts w:ascii="Verdana" w:hAnsi="Verdana"/>
      <w:sz w:val="24"/>
      <w:szCs w:val="24"/>
    </w:rPr>
  </w:style>
  <w:style w:type="paragraph" w:customStyle="1" w:styleId="xl52">
    <w:name w:val="xl52"/>
    <w:basedOn w:val="Normln"/>
    <w:rsid w:val="00933C64"/>
    <w:pPr>
      <w:pBdr>
        <w:top w:val="single" w:sz="4" w:space="0" w:color="auto"/>
        <w:left w:val="single" w:sz="4"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eastAsia="Arial Unicode MS" w:hAnsi="Arial"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9701">
      <w:bodyDiv w:val="1"/>
      <w:marLeft w:val="0"/>
      <w:marRight w:val="0"/>
      <w:marTop w:val="0"/>
      <w:marBottom w:val="0"/>
      <w:divBdr>
        <w:top w:val="none" w:sz="0" w:space="0" w:color="auto"/>
        <w:left w:val="none" w:sz="0" w:space="0" w:color="auto"/>
        <w:bottom w:val="none" w:sz="0" w:space="0" w:color="auto"/>
        <w:right w:val="none" w:sz="0" w:space="0" w:color="auto"/>
      </w:divBdr>
    </w:div>
    <w:div w:id="111752168">
      <w:bodyDiv w:val="1"/>
      <w:marLeft w:val="0"/>
      <w:marRight w:val="0"/>
      <w:marTop w:val="0"/>
      <w:marBottom w:val="0"/>
      <w:divBdr>
        <w:top w:val="none" w:sz="0" w:space="0" w:color="auto"/>
        <w:left w:val="none" w:sz="0" w:space="0" w:color="auto"/>
        <w:bottom w:val="none" w:sz="0" w:space="0" w:color="auto"/>
        <w:right w:val="none" w:sz="0" w:space="0" w:color="auto"/>
      </w:divBdr>
    </w:div>
    <w:div w:id="138571116">
      <w:bodyDiv w:val="1"/>
      <w:marLeft w:val="0"/>
      <w:marRight w:val="0"/>
      <w:marTop w:val="0"/>
      <w:marBottom w:val="0"/>
      <w:divBdr>
        <w:top w:val="none" w:sz="0" w:space="0" w:color="auto"/>
        <w:left w:val="none" w:sz="0" w:space="0" w:color="auto"/>
        <w:bottom w:val="none" w:sz="0" w:space="0" w:color="auto"/>
        <w:right w:val="none" w:sz="0" w:space="0" w:color="auto"/>
      </w:divBdr>
      <w:divsChild>
        <w:div w:id="960303252">
          <w:marLeft w:val="1685"/>
          <w:marRight w:val="0"/>
          <w:marTop w:val="120"/>
          <w:marBottom w:val="0"/>
          <w:divBdr>
            <w:top w:val="none" w:sz="0" w:space="0" w:color="auto"/>
            <w:left w:val="none" w:sz="0" w:space="0" w:color="auto"/>
            <w:bottom w:val="none" w:sz="0" w:space="0" w:color="auto"/>
            <w:right w:val="none" w:sz="0" w:space="0" w:color="auto"/>
          </w:divBdr>
        </w:div>
        <w:div w:id="1566333408">
          <w:marLeft w:val="1685"/>
          <w:marRight w:val="0"/>
          <w:marTop w:val="96"/>
          <w:marBottom w:val="120"/>
          <w:divBdr>
            <w:top w:val="none" w:sz="0" w:space="0" w:color="auto"/>
            <w:left w:val="none" w:sz="0" w:space="0" w:color="auto"/>
            <w:bottom w:val="none" w:sz="0" w:space="0" w:color="auto"/>
            <w:right w:val="none" w:sz="0" w:space="0" w:color="auto"/>
          </w:divBdr>
        </w:div>
      </w:divsChild>
    </w:div>
    <w:div w:id="167330240">
      <w:bodyDiv w:val="1"/>
      <w:marLeft w:val="0"/>
      <w:marRight w:val="0"/>
      <w:marTop w:val="0"/>
      <w:marBottom w:val="0"/>
      <w:divBdr>
        <w:top w:val="none" w:sz="0" w:space="0" w:color="auto"/>
        <w:left w:val="none" w:sz="0" w:space="0" w:color="auto"/>
        <w:bottom w:val="none" w:sz="0" w:space="0" w:color="auto"/>
        <w:right w:val="none" w:sz="0" w:space="0" w:color="auto"/>
      </w:divBdr>
    </w:div>
    <w:div w:id="168642100">
      <w:bodyDiv w:val="1"/>
      <w:marLeft w:val="0"/>
      <w:marRight w:val="0"/>
      <w:marTop w:val="0"/>
      <w:marBottom w:val="0"/>
      <w:divBdr>
        <w:top w:val="none" w:sz="0" w:space="0" w:color="auto"/>
        <w:left w:val="none" w:sz="0" w:space="0" w:color="auto"/>
        <w:bottom w:val="none" w:sz="0" w:space="0" w:color="auto"/>
        <w:right w:val="none" w:sz="0" w:space="0" w:color="auto"/>
      </w:divBdr>
    </w:div>
    <w:div w:id="172425380">
      <w:bodyDiv w:val="1"/>
      <w:marLeft w:val="0"/>
      <w:marRight w:val="0"/>
      <w:marTop w:val="0"/>
      <w:marBottom w:val="0"/>
      <w:divBdr>
        <w:top w:val="none" w:sz="0" w:space="0" w:color="auto"/>
        <w:left w:val="none" w:sz="0" w:space="0" w:color="auto"/>
        <w:bottom w:val="none" w:sz="0" w:space="0" w:color="auto"/>
        <w:right w:val="none" w:sz="0" w:space="0" w:color="auto"/>
      </w:divBdr>
    </w:div>
    <w:div w:id="179197756">
      <w:bodyDiv w:val="1"/>
      <w:marLeft w:val="0"/>
      <w:marRight w:val="0"/>
      <w:marTop w:val="0"/>
      <w:marBottom w:val="0"/>
      <w:divBdr>
        <w:top w:val="none" w:sz="0" w:space="0" w:color="auto"/>
        <w:left w:val="none" w:sz="0" w:space="0" w:color="auto"/>
        <w:bottom w:val="none" w:sz="0" w:space="0" w:color="auto"/>
        <w:right w:val="none" w:sz="0" w:space="0" w:color="auto"/>
      </w:divBdr>
    </w:div>
    <w:div w:id="205797738">
      <w:bodyDiv w:val="1"/>
      <w:marLeft w:val="0"/>
      <w:marRight w:val="0"/>
      <w:marTop w:val="0"/>
      <w:marBottom w:val="0"/>
      <w:divBdr>
        <w:top w:val="none" w:sz="0" w:space="0" w:color="auto"/>
        <w:left w:val="none" w:sz="0" w:space="0" w:color="auto"/>
        <w:bottom w:val="none" w:sz="0" w:space="0" w:color="auto"/>
        <w:right w:val="none" w:sz="0" w:space="0" w:color="auto"/>
      </w:divBdr>
    </w:div>
    <w:div w:id="214776869">
      <w:bodyDiv w:val="1"/>
      <w:marLeft w:val="0"/>
      <w:marRight w:val="0"/>
      <w:marTop w:val="0"/>
      <w:marBottom w:val="0"/>
      <w:divBdr>
        <w:top w:val="none" w:sz="0" w:space="0" w:color="auto"/>
        <w:left w:val="none" w:sz="0" w:space="0" w:color="auto"/>
        <w:bottom w:val="none" w:sz="0" w:space="0" w:color="auto"/>
        <w:right w:val="none" w:sz="0" w:space="0" w:color="auto"/>
      </w:divBdr>
    </w:div>
    <w:div w:id="271130281">
      <w:bodyDiv w:val="1"/>
      <w:marLeft w:val="0"/>
      <w:marRight w:val="0"/>
      <w:marTop w:val="0"/>
      <w:marBottom w:val="0"/>
      <w:divBdr>
        <w:top w:val="none" w:sz="0" w:space="0" w:color="auto"/>
        <w:left w:val="none" w:sz="0" w:space="0" w:color="auto"/>
        <w:bottom w:val="none" w:sz="0" w:space="0" w:color="auto"/>
        <w:right w:val="none" w:sz="0" w:space="0" w:color="auto"/>
      </w:divBdr>
    </w:div>
    <w:div w:id="275530898">
      <w:bodyDiv w:val="1"/>
      <w:marLeft w:val="0"/>
      <w:marRight w:val="0"/>
      <w:marTop w:val="0"/>
      <w:marBottom w:val="0"/>
      <w:divBdr>
        <w:top w:val="none" w:sz="0" w:space="0" w:color="auto"/>
        <w:left w:val="none" w:sz="0" w:space="0" w:color="auto"/>
        <w:bottom w:val="none" w:sz="0" w:space="0" w:color="auto"/>
        <w:right w:val="none" w:sz="0" w:space="0" w:color="auto"/>
      </w:divBdr>
    </w:div>
    <w:div w:id="311176680">
      <w:bodyDiv w:val="1"/>
      <w:marLeft w:val="0"/>
      <w:marRight w:val="0"/>
      <w:marTop w:val="0"/>
      <w:marBottom w:val="0"/>
      <w:divBdr>
        <w:top w:val="none" w:sz="0" w:space="0" w:color="auto"/>
        <w:left w:val="none" w:sz="0" w:space="0" w:color="auto"/>
        <w:bottom w:val="none" w:sz="0" w:space="0" w:color="auto"/>
        <w:right w:val="none" w:sz="0" w:space="0" w:color="auto"/>
      </w:divBdr>
    </w:div>
    <w:div w:id="339703314">
      <w:bodyDiv w:val="1"/>
      <w:marLeft w:val="0"/>
      <w:marRight w:val="0"/>
      <w:marTop w:val="0"/>
      <w:marBottom w:val="0"/>
      <w:divBdr>
        <w:top w:val="none" w:sz="0" w:space="0" w:color="auto"/>
        <w:left w:val="none" w:sz="0" w:space="0" w:color="auto"/>
        <w:bottom w:val="none" w:sz="0" w:space="0" w:color="auto"/>
        <w:right w:val="none" w:sz="0" w:space="0" w:color="auto"/>
      </w:divBdr>
    </w:div>
    <w:div w:id="350231787">
      <w:bodyDiv w:val="1"/>
      <w:marLeft w:val="0"/>
      <w:marRight w:val="0"/>
      <w:marTop w:val="0"/>
      <w:marBottom w:val="0"/>
      <w:divBdr>
        <w:top w:val="none" w:sz="0" w:space="0" w:color="auto"/>
        <w:left w:val="none" w:sz="0" w:space="0" w:color="auto"/>
        <w:bottom w:val="none" w:sz="0" w:space="0" w:color="auto"/>
        <w:right w:val="none" w:sz="0" w:space="0" w:color="auto"/>
      </w:divBdr>
    </w:div>
    <w:div w:id="388504413">
      <w:bodyDiv w:val="1"/>
      <w:marLeft w:val="0"/>
      <w:marRight w:val="0"/>
      <w:marTop w:val="0"/>
      <w:marBottom w:val="0"/>
      <w:divBdr>
        <w:top w:val="none" w:sz="0" w:space="0" w:color="auto"/>
        <w:left w:val="none" w:sz="0" w:space="0" w:color="auto"/>
        <w:bottom w:val="none" w:sz="0" w:space="0" w:color="auto"/>
        <w:right w:val="none" w:sz="0" w:space="0" w:color="auto"/>
      </w:divBdr>
    </w:div>
    <w:div w:id="411466775">
      <w:bodyDiv w:val="1"/>
      <w:marLeft w:val="0"/>
      <w:marRight w:val="0"/>
      <w:marTop w:val="0"/>
      <w:marBottom w:val="0"/>
      <w:divBdr>
        <w:top w:val="none" w:sz="0" w:space="0" w:color="auto"/>
        <w:left w:val="none" w:sz="0" w:space="0" w:color="auto"/>
        <w:bottom w:val="none" w:sz="0" w:space="0" w:color="auto"/>
        <w:right w:val="none" w:sz="0" w:space="0" w:color="auto"/>
      </w:divBdr>
      <w:divsChild>
        <w:div w:id="141361170">
          <w:marLeft w:val="1987"/>
          <w:marRight w:val="0"/>
          <w:marTop w:val="228"/>
          <w:marBottom w:val="0"/>
          <w:divBdr>
            <w:top w:val="none" w:sz="0" w:space="0" w:color="auto"/>
            <w:left w:val="none" w:sz="0" w:space="0" w:color="auto"/>
            <w:bottom w:val="none" w:sz="0" w:space="0" w:color="auto"/>
            <w:right w:val="none" w:sz="0" w:space="0" w:color="auto"/>
          </w:divBdr>
        </w:div>
        <w:div w:id="237520919">
          <w:marLeft w:val="1987"/>
          <w:marRight w:val="0"/>
          <w:marTop w:val="228"/>
          <w:marBottom w:val="0"/>
          <w:divBdr>
            <w:top w:val="none" w:sz="0" w:space="0" w:color="auto"/>
            <w:left w:val="none" w:sz="0" w:space="0" w:color="auto"/>
            <w:bottom w:val="none" w:sz="0" w:space="0" w:color="auto"/>
            <w:right w:val="none" w:sz="0" w:space="0" w:color="auto"/>
          </w:divBdr>
        </w:div>
        <w:div w:id="400713405">
          <w:marLeft w:val="1987"/>
          <w:marRight w:val="0"/>
          <w:marTop w:val="228"/>
          <w:marBottom w:val="0"/>
          <w:divBdr>
            <w:top w:val="none" w:sz="0" w:space="0" w:color="auto"/>
            <w:left w:val="none" w:sz="0" w:space="0" w:color="auto"/>
            <w:bottom w:val="none" w:sz="0" w:space="0" w:color="auto"/>
            <w:right w:val="none" w:sz="0" w:space="0" w:color="auto"/>
          </w:divBdr>
        </w:div>
        <w:div w:id="1011222477">
          <w:marLeft w:val="1987"/>
          <w:marRight w:val="0"/>
          <w:marTop w:val="228"/>
          <w:marBottom w:val="0"/>
          <w:divBdr>
            <w:top w:val="none" w:sz="0" w:space="0" w:color="auto"/>
            <w:left w:val="none" w:sz="0" w:space="0" w:color="auto"/>
            <w:bottom w:val="none" w:sz="0" w:space="0" w:color="auto"/>
            <w:right w:val="none" w:sz="0" w:space="0" w:color="auto"/>
          </w:divBdr>
        </w:div>
        <w:div w:id="1522472095">
          <w:marLeft w:val="1987"/>
          <w:marRight w:val="0"/>
          <w:marTop w:val="228"/>
          <w:marBottom w:val="0"/>
          <w:divBdr>
            <w:top w:val="none" w:sz="0" w:space="0" w:color="auto"/>
            <w:left w:val="none" w:sz="0" w:space="0" w:color="auto"/>
            <w:bottom w:val="none" w:sz="0" w:space="0" w:color="auto"/>
            <w:right w:val="none" w:sz="0" w:space="0" w:color="auto"/>
          </w:divBdr>
        </w:div>
      </w:divsChild>
    </w:div>
    <w:div w:id="430514860">
      <w:bodyDiv w:val="1"/>
      <w:marLeft w:val="0"/>
      <w:marRight w:val="0"/>
      <w:marTop w:val="0"/>
      <w:marBottom w:val="0"/>
      <w:divBdr>
        <w:top w:val="none" w:sz="0" w:space="0" w:color="auto"/>
        <w:left w:val="none" w:sz="0" w:space="0" w:color="auto"/>
        <w:bottom w:val="none" w:sz="0" w:space="0" w:color="auto"/>
        <w:right w:val="none" w:sz="0" w:space="0" w:color="auto"/>
      </w:divBdr>
    </w:div>
    <w:div w:id="448166915">
      <w:bodyDiv w:val="1"/>
      <w:marLeft w:val="0"/>
      <w:marRight w:val="0"/>
      <w:marTop w:val="0"/>
      <w:marBottom w:val="0"/>
      <w:divBdr>
        <w:top w:val="none" w:sz="0" w:space="0" w:color="auto"/>
        <w:left w:val="none" w:sz="0" w:space="0" w:color="auto"/>
        <w:bottom w:val="none" w:sz="0" w:space="0" w:color="auto"/>
        <w:right w:val="none" w:sz="0" w:space="0" w:color="auto"/>
      </w:divBdr>
    </w:div>
    <w:div w:id="451824781">
      <w:bodyDiv w:val="1"/>
      <w:marLeft w:val="0"/>
      <w:marRight w:val="0"/>
      <w:marTop w:val="0"/>
      <w:marBottom w:val="0"/>
      <w:divBdr>
        <w:top w:val="none" w:sz="0" w:space="0" w:color="auto"/>
        <w:left w:val="none" w:sz="0" w:space="0" w:color="auto"/>
        <w:bottom w:val="none" w:sz="0" w:space="0" w:color="auto"/>
        <w:right w:val="none" w:sz="0" w:space="0" w:color="auto"/>
      </w:divBdr>
    </w:div>
    <w:div w:id="465784517">
      <w:bodyDiv w:val="1"/>
      <w:marLeft w:val="0"/>
      <w:marRight w:val="0"/>
      <w:marTop w:val="0"/>
      <w:marBottom w:val="0"/>
      <w:divBdr>
        <w:top w:val="none" w:sz="0" w:space="0" w:color="auto"/>
        <w:left w:val="none" w:sz="0" w:space="0" w:color="auto"/>
        <w:bottom w:val="none" w:sz="0" w:space="0" w:color="auto"/>
        <w:right w:val="none" w:sz="0" w:space="0" w:color="auto"/>
      </w:divBdr>
    </w:div>
    <w:div w:id="488182249">
      <w:bodyDiv w:val="1"/>
      <w:marLeft w:val="0"/>
      <w:marRight w:val="0"/>
      <w:marTop w:val="0"/>
      <w:marBottom w:val="0"/>
      <w:divBdr>
        <w:top w:val="none" w:sz="0" w:space="0" w:color="auto"/>
        <w:left w:val="none" w:sz="0" w:space="0" w:color="auto"/>
        <w:bottom w:val="none" w:sz="0" w:space="0" w:color="auto"/>
        <w:right w:val="none" w:sz="0" w:space="0" w:color="auto"/>
      </w:divBdr>
    </w:div>
    <w:div w:id="518350909">
      <w:bodyDiv w:val="1"/>
      <w:marLeft w:val="0"/>
      <w:marRight w:val="0"/>
      <w:marTop w:val="0"/>
      <w:marBottom w:val="0"/>
      <w:divBdr>
        <w:top w:val="none" w:sz="0" w:space="0" w:color="auto"/>
        <w:left w:val="none" w:sz="0" w:space="0" w:color="auto"/>
        <w:bottom w:val="none" w:sz="0" w:space="0" w:color="auto"/>
        <w:right w:val="none" w:sz="0" w:space="0" w:color="auto"/>
      </w:divBdr>
    </w:div>
    <w:div w:id="529151670">
      <w:bodyDiv w:val="1"/>
      <w:marLeft w:val="0"/>
      <w:marRight w:val="0"/>
      <w:marTop w:val="0"/>
      <w:marBottom w:val="0"/>
      <w:divBdr>
        <w:top w:val="none" w:sz="0" w:space="0" w:color="auto"/>
        <w:left w:val="none" w:sz="0" w:space="0" w:color="auto"/>
        <w:bottom w:val="none" w:sz="0" w:space="0" w:color="auto"/>
        <w:right w:val="none" w:sz="0" w:space="0" w:color="auto"/>
      </w:divBdr>
    </w:div>
    <w:div w:id="569123853">
      <w:bodyDiv w:val="1"/>
      <w:marLeft w:val="0"/>
      <w:marRight w:val="0"/>
      <w:marTop w:val="0"/>
      <w:marBottom w:val="0"/>
      <w:divBdr>
        <w:top w:val="none" w:sz="0" w:space="0" w:color="auto"/>
        <w:left w:val="none" w:sz="0" w:space="0" w:color="auto"/>
        <w:bottom w:val="none" w:sz="0" w:space="0" w:color="auto"/>
        <w:right w:val="none" w:sz="0" w:space="0" w:color="auto"/>
      </w:divBdr>
    </w:div>
    <w:div w:id="613631012">
      <w:bodyDiv w:val="1"/>
      <w:marLeft w:val="0"/>
      <w:marRight w:val="0"/>
      <w:marTop w:val="0"/>
      <w:marBottom w:val="0"/>
      <w:divBdr>
        <w:top w:val="none" w:sz="0" w:space="0" w:color="auto"/>
        <w:left w:val="none" w:sz="0" w:space="0" w:color="auto"/>
        <w:bottom w:val="none" w:sz="0" w:space="0" w:color="auto"/>
        <w:right w:val="none" w:sz="0" w:space="0" w:color="auto"/>
      </w:divBdr>
    </w:div>
    <w:div w:id="668169545">
      <w:bodyDiv w:val="1"/>
      <w:marLeft w:val="0"/>
      <w:marRight w:val="0"/>
      <w:marTop w:val="0"/>
      <w:marBottom w:val="0"/>
      <w:divBdr>
        <w:top w:val="none" w:sz="0" w:space="0" w:color="auto"/>
        <w:left w:val="none" w:sz="0" w:space="0" w:color="auto"/>
        <w:bottom w:val="none" w:sz="0" w:space="0" w:color="auto"/>
        <w:right w:val="none" w:sz="0" w:space="0" w:color="auto"/>
      </w:divBdr>
    </w:div>
    <w:div w:id="738017219">
      <w:bodyDiv w:val="1"/>
      <w:marLeft w:val="0"/>
      <w:marRight w:val="0"/>
      <w:marTop w:val="0"/>
      <w:marBottom w:val="0"/>
      <w:divBdr>
        <w:top w:val="none" w:sz="0" w:space="0" w:color="auto"/>
        <w:left w:val="none" w:sz="0" w:space="0" w:color="auto"/>
        <w:bottom w:val="none" w:sz="0" w:space="0" w:color="auto"/>
        <w:right w:val="none" w:sz="0" w:space="0" w:color="auto"/>
      </w:divBdr>
    </w:div>
    <w:div w:id="782650553">
      <w:bodyDiv w:val="1"/>
      <w:marLeft w:val="0"/>
      <w:marRight w:val="0"/>
      <w:marTop w:val="0"/>
      <w:marBottom w:val="0"/>
      <w:divBdr>
        <w:top w:val="none" w:sz="0" w:space="0" w:color="auto"/>
        <w:left w:val="none" w:sz="0" w:space="0" w:color="auto"/>
        <w:bottom w:val="none" w:sz="0" w:space="0" w:color="auto"/>
        <w:right w:val="none" w:sz="0" w:space="0" w:color="auto"/>
      </w:divBdr>
    </w:div>
    <w:div w:id="785153185">
      <w:bodyDiv w:val="1"/>
      <w:marLeft w:val="0"/>
      <w:marRight w:val="0"/>
      <w:marTop w:val="0"/>
      <w:marBottom w:val="0"/>
      <w:divBdr>
        <w:top w:val="none" w:sz="0" w:space="0" w:color="auto"/>
        <w:left w:val="none" w:sz="0" w:space="0" w:color="auto"/>
        <w:bottom w:val="none" w:sz="0" w:space="0" w:color="auto"/>
        <w:right w:val="none" w:sz="0" w:space="0" w:color="auto"/>
      </w:divBdr>
    </w:div>
    <w:div w:id="803934705">
      <w:bodyDiv w:val="1"/>
      <w:marLeft w:val="0"/>
      <w:marRight w:val="0"/>
      <w:marTop w:val="0"/>
      <w:marBottom w:val="0"/>
      <w:divBdr>
        <w:top w:val="none" w:sz="0" w:space="0" w:color="auto"/>
        <w:left w:val="none" w:sz="0" w:space="0" w:color="auto"/>
        <w:bottom w:val="none" w:sz="0" w:space="0" w:color="auto"/>
        <w:right w:val="none" w:sz="0" w:space="0" w:color="auto"/>
      </w:divBdr>
      <w:divsChild>
        <w:div w:id="748574360">
          <w:marLeft w:val="562"/>
          <w:marRight w:val="0"/>
          <w:marTop w:val="67"/>
          <w:marBottom w:val="120"/>
          <w:divBdr>
            <w:top w:val="none" w:sz="0" w:space="0" w:color="auto"/>
            <w:left w:val="none" w:sz="0" w:space="0" w:color="auto"/>
            <w:bottom w:val="none" w:sz="0" w:space="0" w:color="auto"/>
            <w:right w:val="none" w:sz="0" w:space="0" w:color="auto"/>
          </w:divBdr>
        </w:div>
        <w:div w:id="872111083">
          <w:marLeft w:val="562"/>
          <w:marRight w:val="0"/>
          <w:marTop w:val="67"/>
          <w:marBottom w:val="120"/>
          <w:divBdr>
            <w:top w:val="none" w:sz="0" w:space="0" w:color="auto"/>
            <w:left w:val="none" w:sz="0" w:space="0" w:color="auto"/>
            <w:bottom w:val="none" w:sz="0" w:space="0" w:color="auto"/>
            <w:right w:val="none" w:sz="0" w:space="0" w:color="auto"/>
          </w:divBdr>
        </w:div>
        <w:div w:id="1067074890">
          <w:marLeft w:val="562"/>
          <w:marRight w:val="0"/>
          <w:marTop w:val="67"/>
          <w:marBottom w:val="360"/>
          <w:divBdr>
            <w:top w:val="none" w:sz="0" w:space="0" w:color="auto"/>
            <w:left w:val="none" w:sz="0" w:space="0" w:color="auto"/>
            <w:bottom w:val="none" w:sz="0" w:space="0" w:color="auto"/>
            <w:right w:val="none" w:sz="0" w:space="0" w:color="auto"/>
          </w:divBdr>
        </w:div>
        <w:div w:id="1467045074">
          <w:marLeft w:val="562"/>
          <w:marRight w:val="0"/>
          <w:marTop w:val="67"/>
          <w:marBottom w:val="0"/>
          <w:divBdr>
            <w:top w:val="none" w:sz="0" w:space="0" w:color="auto"/>
            <w:left w:val="none" w:sz="0" w:space="0" w:color="auto"/>
            <w:bottom w:val="none" w:sz="0" w:space="0" w:color="auto"/>
            <w:right w:val="none" w:sz="0" w:space="0" w:color="auto"/>
          </w:divBdr>
        </w:div>
      </w:divsChild>
    </w:div>
    <w:div w:id="830682930">
      <w:bodyDiv w:val="1"/>
      <w:marLeft w:val="0"/>
      <w:marRight w:val="0"/>
      <w:marTop w:val="0"/>
      <w:marBottom w:val="0"/>
      <w:divBdr>
        <w:top w:val="none" w:sz="0" w:space="0" w:color="auto"/>
        <w:left w:val="none" w:sz="0" w:space="0" w:color="auto"/>
        <w:bottom w:val="none" w:sz="0" w:space="0" w:color="auto"/>
        <w:right w:val="none" w:sz="0" w:space="0" w:color="auto"/>
      </w:divBdr>
    </w:div>
    <w:div w:id="836187954">
      <w:bodyDiv w:val="1"/>
      <w:marLeft w:val="0"/>
      <w:marRight w:val="0"/>
      <w:marTop w:val="0"/>
      <w:marBottom w:val="0"/>
      <w:divBdr>
        <w:top w:val="none" w:sz="0" w:space="0" w:color="auto"/>
        <w:left w:val="none" w:sz="0" w:space="0" w:color="auto"/>
        <w:bottom w:val="none" w:sz="0" w:space="0" w:color="auto"/>
        <w:right w:val="none" w:sz="0" w:space="0" w:color="auto"/>
      </w:divBdr>
      <w:divsChild>
        <w:div w:id="90976804">
          <w:marLeft w:val="1699"/>
          <w:marRight w:val="0"/>
          <w:marTop w:val="0"/>
          <w:marBottom w:val="60"/>
          <w:divBdr>
            <w:top w:val="none" w:sz="0" w:space="0" w:color="auto"/>
            <w:left w:val="none" w:sz="0" w:space="0" w:color="auto"/>
            <w:bottom w:val="none" w:sz="0" w:space="0" w:color="auto"/>
            <w:right w:val="none" w:sz="0" w:space="0" w:color="auto"/>
          </w:divBdr>
        </w:div>
        <w:div w:id="209417843">
          <w:marLeft w:val="2722"/>
          <w:marRight w:val="0"/>
          <w:marTop w:val="0"/>
          <w:marBottom w:val="60"/>
          <w:divBdr>
            <w:top w:val="none" w:sz="0" w:space="0" w:color="auto"/>
            <w:left w:val="none" w:sz="0" w:space="0" w:color="auto"/>
            <w:bottom w:val="none" w:sz="0" w:space="0" w:color="auto"/>
            <w:right w:val="none" w:sz="0" w:space="0" w:color="auto"/>
          </w:divBdr>
        </w:div>
        <w:div w:id="337779817">
          <w:marLeft w:val="1699"/>
          <w:marRight w:val="0"/>
          <w:marTop w:val="0"/>
          <w:marBottom w:val="60"/>
          <w:divBdr>
            <w:top w:val="none" w:sz="0" w:space="0" w:color="auto"/>
            <w:left w:val="none" w:sz="0" w:space="0" w:color="auto"/>
            <w:bottom w:val="none" w:sz="0" w:space="0" w:color="auto"/>
            <w:right w:val="none" w:sz="0" w:space="0" w:color="auto"/>
          </w:divBdr>
        </w:div>
        <w:div w:id="499084814">
          <w:marLeft w:val="1699"/>
          <w:marRight w:val="0"/>
          <w:marTop w:val="0"/>
          <w:marBottom w:val="60"/>
          <w:divBdr>
            <w:top w:val="none" w:sz="0" w:space="0" w:color="auto"/>
            <w:left w:val="none" w:sz="0" w:space="0" w:color="auto"/>
            <w:bottom w:val="none" w:sz="0" w:space="0" w:color="auto"/>
            <w:right w:val="none" w:sz="0" w:space="0" w:color="auto"/>
          </w:divBdr>
        </w:div>
        <w:div w:id="848060796">
          <w:marLeft w:val="562"/>
          <w:marRight w:val="0"/>
          <w:marTop w:val="0"/>
          <w:marBottom w:val="60"/>
          <w:divBdr>
            <w:top w:val="none" w:sz="0" w:space="0" w:color="auto"/>
            <w:left w:val="none" w:sz="0" w:space="0" w:color="auto"/>
            <w:bottom w:val="none" w:sz="0" w:space="0" w:color="auto"/>
            <w:right w:val="none" w:sz="0" w:space="0" w:color="auto"/>
          </w:divBdr>
        </w:div>
        <w:div w:id="875773003">
          <w:marLeft w:val="1699"/>
          <w:marRight w:val="0"/>
          <w:marTop w:val="0"/>
          <w:marBottom w:val="60"/>
          <w:divBdr>
            <w:top w:val="none" w:sz="0" w:space="0" w:color="auto"/>
            <w:left w:val="none" w:sz="0" w:space="0" w:color="auto"/>
            <w:bottom w:val="none" w:sz="0" w:space="0" w:color="auto"/>
            <w:right w:val="none" w:sz="0" w:space="0" w:color="auto"/>
          </w:divBdr>
        </w:div>
        <w:div w:id="875850436">
          <w:marLeft w:val="1699"/>
          <w:marRight w:val="0"/>
          <w:marTop w:val="0"/>
          <w:marBottom w:val="60"/>
          <w:divBdr>
            <w:top w:val="none" w:sz="0" w:space="0" w:color="auto"/>
            <w:left w:val="none" w:sz="0" w:space="0" w:color="auto"/>
            <w:bottom w:val="none" w:sz="0" w:space="0" w:color="auto"/>
            <w:right w:val="none" w:sz="0" w:space="0" w:color="auto"/>
          </w:divBdr>
        </w:div>
        <w:div w:id="960067483">
          <w:marLeft w:val="1699"/>
          <w:marRight w:val="0"/>
          <w:marTop w:val="0"/>
          <w:marBottom w:val="60"/>
          <w:divBdr>
            <w:top w:val="none" w:sz="0" w:space="0" w:color="auto"/>
            <w:left w:val="none" w:sz="0" w:space="0" w:color="auto"/>
            <w:bottom w:val="none" w:sz="0" w:space="0" w:color="auto"/>
            <w:right w:val="none" w:sz="0" w:space="0" w:color="auto"/>
          </w:divBdr>
        </w:div>
        <w:div w:id="1101415409">
          <w:marLeft w:val="1699"/>
          <w:marRight w:val="0"/>
          <w:marTop w:val="0"/>
          <w:marBottom w:val="60"/>
          <w:divBdr>
            <w:top w:val="none" w:sz="0" w:space="0" w:color="auto"/>
            <w:left w:val="none" w:sz="0" w:space="0" w:color="auto"/>
            <w:bottom w:val="none" w:sz="0" w:space="0" w:color="auto"/>
            <w:right w:val="none" w:sz="0" w:space="0" w:color="auto"/>
          </w:divBdr>
        </w:div>
        <w:div w:id="1993676406">
          <w:marLeft w:val="2722"/>
          <w:marRight w:val="0"/>
          <w:marTop w:val="0"/>
          <w:marBottom w:val="60"/>
          <w:divBdr>
            <w:top w:val="none" w:sz="0" w:space="0" w:color="auto"/>
            <w:left w:val="none" w:sz="0" w:space="0" w:color="auto"/>
            <w:bottom w:val="none" w:sz="0" w:space="0" w:color="auto"/>
            <w:right w:val="none" w:sz="0" w:space="0" w:color="auto"/>
          </w:divBdr>
        </w:div>
        <w:div w:id="2040466794">
          <w:marLeft w:val="2722"/>
          <w:marRight w:val="0"/>
          <w:marTop w:val="0"/>
          <w:marBottom w:val="60"/>
          <w:divBdr>
            <w:top w:val="none" w:sz="0" w:space="0" w:color="auto"/>
            <w:left w:val="none" w:sz="0" w:space="0" w:color="auto"/>
            <w:bottom w:val="none" w:sz="0" w:space="0" w:color="auto"/>
            <w:right w:val="none" w:sz="0" w:space="0" w:color="auto"/>
          </w:divBdr>
        </w:div>
      </w:divsChild>
    </w:div>
    <w:div w:id="838498915">
      <w:bodyDiv w:val="1"/>
      <w:marLeft w:val="0"/>
      <w:marRight w:val="0"/>
      <w:marTop w:val="0"/>
      <w:marBottom w:val="0"/>
      <w:divBdr>
        <w:top w:val="none" w:sz="0" w:space="0" w:color="auto"/>
        <w:left w:val="none" w:sz="0" w:space="0" w:color="auto"/>
        <w:bottom w:val="none" w:sz="0" w:space="0" w:color="auto"/>
        <w:right w:val="none" w:sz="0" w:space="0" w:color="auto"/>
      </w:divBdr>
    </w:div>
    <w:div w:id="844709348">
      <w:bodyDiv w:val="1"/>
      <w:marLeft w:val="0"/>
      <w:marRight w:val="0"/>
      <w:marTop w:val="0"/>
      <w:marBottom w:val="0"/>
      <w:divBdr>
        <w:top w:val="none" w:sz="0" w:space="0" w:color="auto"/>
        <w:left w:val="none" w:sz="0" w:space="0" w:color="auto"/>
        <w:bottom w:val="none" w:sz="0" w:space="0" w:color="auto"/>
        <w:right w:val="none" w:sz="0" w:space="0" w:color="auto"/>
      </w:divBdr>
    </w:div>
    <w:div w:id="859777190">
      <w:bodyDiv w:val="1"/>
      <w:marLeft w:val="0"/>
      <w:marRight w:val="0"/>
      <w:marTop w:val="0"/>
      <w:marBottom w:val="0"/>
      <w:divBdr>
        <w:top w:val="none" w:sz="0" w:space="0" w:color="auto"/>
        <w:left w:val="none" w:sz="0" w:space="0" w:color="auto"/>
        <w:bottom w:val="none" w:sz="0" w:space="0" w:color="auto"/>
        <w:right w:val="none" w:sz="0" w:space="0" w:color="auto"/>
      </w:divBdr>
    </w:div>
    <w:div w:id="920455268">
      <w:bodyDiv w:val="1"/>
      <w:marLeft w:val="0"/>
      <w:marRight w:val="0"/>
      <w:marTop w:val="0"/>
      <w:marBottom w:val="0"/>
      <w:divBdr>
        <w:top w:val="none" w:sz="0" w:space="0" w:color="auto"/>
        <w:left w:val="none" w:sz="0" w:space="0" w:color="auto"/>
        <w:bottom w:val="none" w:sz="0" w:space="0" w:color="auto"/>
        <w:right w:val="none" w:sz="0" w:space="0" w:color="auto"/>
      </w:divBdr>
    </w:div>
    <w:div w:id="923996636">
      <w:bodyDiv w:val="1"/>
      <w:marLeft w:val="0"/>
      <w:marRight w:val="0"/>
      <w:marTop w:val="0"/>
      <w:marBottom w:val="0"/>
      <w:divBdr>
        <w:top w:val="none" w:sz="0" w:space="0" w:color="auto"/>
        <w:left w:val="none" w:sz="0" w:space="0" w:color="auto"/>
        <w:bottom w:val="none" w:sz="0" w:space="0" w:color="auto"/>
        <w:right w:val="none" w:sz="0" w:space="0" w:color="auto"/>
      </w:divBdr>
    </w:div>
    <w:div w:id="990255667">
      <w:bodyDiv w:val="1"/>
      <w:marLeft w:val="0"/>
      <w:marRight w:val="0"/>
      <w:marTop w:val="0"/>
      <w:marBottom w:val="0"/>
      <w:divBdr>
        <w:top w:val="none" w:sz="0" w:space="0" w:color="auto"/>
        <w:left w:val="none" w:sz="0" w:space="0" w:color="auto"/>
        <w:bottom w:val="none" w:sz="0" w:space="0" w:color="auto"/>
        <w:right w:val="none" w:sz="0" w:space="0" w:color="auto"/>
      </w:divBdr>
    </w:div>
    <w:div w:id="994457477">
      <w:bodyDiv w:val="1"/>
      <w:marLeft w:val="0"/>
      <w:marRight w:val="0"/>
      <w:marTop w:val="0"/>
      <w:marBottom w:val="0"/>
      <w:divBdr>
        <w:top w:val="none" w:sz="0" w:space="0" w:color="auto"/>
        <w:left w:val="none" w:sz="0" w:space="0" w:color="auto"/>
        <w:bottom w:val="none" w:sz="0" w:space="0" w:color="auto"/>
        <w:right w:val="none" w:sz="0" w:space="0" w:color="auto"/>
      </w:divBdr>
    </w:div>
    <w:div w:id="1024331544">
      <w:bodyDiv w:val="1"/>
      <w:marLeft w:val="0"/>
      <w:marRight w:val="0"/>
      <w:marTop w:val="0"/>
      <w:marBottom w:val="0"/>
      <w:divBdr>
        <w:top w:val="none" w:sz="0" w:space="0" w:color="auto"/>
        <w:left w:val="none" w:sz="0" w:space="0" w:color="auto"/>
        <w:bottom w:val="none" w:sz="0" w:space="0" w:color="auto"/>
        <w:right w:val="none" w:sz="0" w:space="0" w:color="auto"/>
      </w:divBdr>
    </w:div>
    <w:div w:id="1050155281">
      <w:bodyDiv w:val="1"/>
      <w:marLeft w:val="0"/>
      <w:marRight w:val="0"/>
      <w:marTop w:val="0"/>
      <w:marBottom w:val="0"/>
      <w:divBdr>
        <w:top w:val="none" w:sz="0" w:space="0" w:color="auto"/>
        <w:left w:val="none" w:sz="0" w:space="0" w:color="auto"/>
        <w:bottom w:val="none" w:sz="0" w:space="0" w:color="auto"/>
        <w:right w:val="none" w:sz="0" w:space="0" w:color="auto"/>
      </w:divBdr>
    </w:div>
    <w:div w:id="1086654157">
      <w:bodyDiv w:val="1"/>
      <w:marLeft w:val="0"/>
      <w:marRight w:val="0"/>
      <w:marTop w:val="0"/>
      <w:marBottom w:val="0"/>
      <w:divBdr>
        <w:top w:val="none" w:sz="0" w:space="0" w:color="auto"/>
        <w:left w:val="none" w:sz="0" w:space="0" w:color="auto"/>
        <w:bottom w:val="none" w:sz="0" w:space="0" w:color="auto"/>
        <w:right w:val="none" w:sz="0" w:space="0" w:color="auto"/>
      </w:divBdr>
    </w:div>
    <w:div w:id="1089423084">
      <w:bodyDiv w:val="1"/>
      <w:marLeft w:val="0"/>
      <w:marRight w:val="0"/>
      <w:marTop w:val="0"/>
      <w:marBottom w:val="0"/>
      <w:divBdr>
        <w:top w:val="none" w:sz="0" w:space="0" w:color="auto"/>
        <w:left w:val="none" w:sz="0" w:space="0" w:color="auto"/>
        <w:bottom w:val="none" w:sz="0" w:space="0" w:color="auto"/>
        <w:right w:val="none" w:sz="0" w:space="0" w:color="auto"/>
      </w:divBdr>
      <w:divsChild>
        <w:div w:id="382216221">
          <w:marLeft w:val="562"/>
          <w:marRight w:val="0"/>
          <w:marTop w:val="0"/>
          <w:marBottom w:val="0"/>
          <w:divBdr>
            <w:top w:val="none" w:sz="0" w:space="0" w:color="auto"/>
            <w:left w:val="none" w:sz="0" w:space="0" w:color="auto"/>
            <w:bottom w:val="none" w:sz="0" w:space="0" w:color="auto"/>
            <w:right w:val="none" w:sz="0" w:space="0" w:color="auto"/>
          </w:divBdr>
        </w:div>
        <w:div w:id="1302688625">
          <w:marLeft w:val="562"/>
          <w:marRight w:val="0"/>
          <w:marTop w:val="0"/>
          <w:marBottom w:val="120"/>
          <w:divBdr>
            <w:top w:val="none" w:sz="0" w:space="0" w:color="auto"/>
            <w:left w:val="none" w:sz="0" w:space="0" w:color="auto"/>
            <w:bottom w:val="none" w:sz="0" w:space="0" w:color="auto"/>
            <w:right w:val="none" w:sz="0" w:space="0" w:color="auto"/>
          </w:divBdr>
        </w:div>
        <w:div w:id="1510949561">
          <w:marLeft w:val="562"/>
          <w:marRight w:val="0"/>
          <w:marTop w:val="0"/>
          <w:marBottom w:val="120"/>
          <w:divBdr>
            <w:top w:val="none" w:sz="0" w:space="0" w:color="auto"/>
            <w:left w:val="none" w:sz="0" w:space="0" w:color="auto"/>
            <w:bottom w:val="none" w:sz="0" w:space="0" w:color="auto"/>
            <w:right w:val="none" w:sz="0" w:space="0" w:color="auto"/>
          </w:divBdr>
        </w:div>
        <w:div w:id="1676300609">
          <w:marLeft w:val="562"/>
          <w:marRight w:val="0"/>
          <w:marTop w:val="0"/>
          <w:marBottom w:val="0"/>
          <w:divBdr>
            <w:top w:val="none" w:sz="0" w:space="0" w:color="auto"/>
            <w:left w:val="none" w:sz="0" w:space="0" w:color="auto"/>
            <w:bottom w:val="none" w:sz="0" w:space="0" w:color="auto"/>
            <w:right w:val="none" w:sz="0" w:space="0" w:color="auto"/>
          </w:divBdr>
        </w:div>
        <w:div w:id="1879321270">
          <w:marLeft w:val="562"/>
          <w:marRight w:val="0"/>
          <w:marTop w:val="0"/>
          <w:marBottom w:val="0"/>
          <w:divBdr>
            <w:top w:val="none" w:sz="0" w:space="0" w:color="auto"/>
            <w:left w:val="none" w:sz="0" w:space="0" w:color="auto"/>
            <w:bottom w:val="none" w:sz="0" w:space="0" w:color="auto"/>
            <w:right w:val="none" w:sz="0" w:space="0" w:color="auto"/>
          </w:divBdr>
        </w:div>
        <w:div w:id="2126657276">
          <w:marLeft w:val="562"/>
          <w:marRight w:val="0"/>
          <w:marTop w:val="0"/>
          <w:marBottom w:val="0"/>
          <w:divBdr>
            <w:top w:val="none" w:sz="0" w:space="0" w:color="auto"/>
            <w:left w:val="none" w:sz="0" w:space="0" w:color="auto"/>
            <w:bottom w:val="none" w:sz="0" w:space="0" w:color="auto"/>
            <w:right w:val="none" w:sz="0" w:space="0" w:color="auto"/>
          </w:divBdr>
        </w:div>
      </w:divsChild>
    </w:div>
    <w:div w:id="1143347891">
      <w:bodyDiv w:val="1"/>
      <w:marLeft w:val="0"/>
      <w:marRight w:val="0"/>
      <w:marTop w:val="0"/>
      <w:marBottom w:val="0"/>
      <w:divBdr>
        <w:top w:val="none" w:sz="0" w:space="0" w:color="auto"/>
        <w:left w:val="none" w:sz="0" w:space="0" w:color="auto"/>
        <w:bottom w:val="none" w:sz="0" w:space="0" w:color="auto"/>
        <w:right w:val="none" w:sz="0" w:space="0" w:color="auto"/>
      </w:divBdr>
      <w:divsChild>
        <w:div w:id="98107742">
          <w:marLeft w:val="562"/>
          <w:marRight w:val="0"/>
          <w:marTop w:val="96"/>
          <w:marBottom w:val="360"/>
          <w:divBdr>
            <w:top w:val="none" w:sz="0" w:space="0" w:color="auto"/>
            <w:left w:val="none" w:sz="0" w:space="0" w:color="auto"/>
            <w:bottom w:val="none" w:sz="0" w:space="0" w:color="auto"/>
            <w:right w:val="none" w:sz="0" w:space="0" w:color="auto"/>
          </w:divBdr>
        </w:div>
        <w:div w:id="359554486">
          <w:marLeft w:val="562"/>
          <w:marRight w:val="0"/>
          <w:marTop w:val="96"/>
          <w:marBottom w:val="360"/>
          <w:divBdr>
            <w:top w:val="none" w:sz="0" w:space="0" w:color="auto"/>
            <w:left w:val="none" w:sz="0" w:space="0" w:color="auto"/>
            <w:bottom w:val="none" w:sz="0" w:space="0" w:color="auto"/>
            <w:right w:val="none" w:sz="0" w:space="0" w:color="auto"/>
          </w:divBdr>
        </w:div>
        <w:div w:id="1676306237">
          <w:marLeft w:val="562"/>
          <w:marRight w:val="0"/>
          <w:marTop w:val="96"/>
          <w:marBottom w:val="360"/>
          <w:divBdr>
            <w:top w:val="none" w:sz="0" w:space="0" w:color="auto"/>
            <w:left w:val="none" w:sz="0" w:space="0" w:color="auto"/>
            <w:bottom w:val="none" w:sz="0" w:space="0" w:color="auto"/>
            <w:right w:val="none" w:sz="0" w:space="0" w:color="auto"/>
          </w:divBdr>
        </w:div>
        <w:div w:id="1904020358">
          <w:marLeft w:val="562"/>
          <w:marRight w:val="0"/>
          <w:marTop w:val="96"/>
          <w:marBottom w:val="360"/>
          <w:divBdr>
            <w:top w:val="none" w:sz="0" w:space="0" w:color="auto"/>
            <w:left w:val="none" w:sz="0" w:space="0" w:color="auto"/>
            <w:bottom w:val="none" w:sz="0" w:space="0" w:color="auto"/>
            <w:right w:val="none" w:sz="0" w:space="0" w:color="auto"/>
          </w:divBdr>
        </w:div>
      </w:divsChild>
    </w:div>
    <w:div w:id="1174149870">
      <w:bodyDiv w:val="1"/>
      <w:marLeft w:val="0"/>
      <w:marRight w:val="0"/>
      <w:marTop w:val="0"/>
      <w:marBottom w:val="0"/>
      <w:divBdr>
        <w:top w:val="none" w:sz="0" w:space="0" w:color="auto"/>
        <w:left w:val="none" w:sz="0" w:space="0" w:color="auto"/>
        <w:bottom w:val="none" w:sz="0" w:space="0" w:color="auto"/>
        <w:right w:val="none" w:sz="0" w:space="0" w:color="auto"/>
      </w:divBdr>
    </w:div>
    <w:div w:id="1214660370">
      <w:bodyDiv w:val="1"/>
      <w:marLeft w:val="0"/>
      <w:marRight w:val="0"/>
      <w:marTop w:val="0"/>
      <w:marBottom w:val="0"/>
      <w:divBdr>
        <w:top w:val="none" w:sz="0" w:space="0" w:color="auto"/>
        <w:left w:val="none" w:sz="0" w:space="0" w:color="auto"/>
        <w:bottom w:val="none" w:sz="0" w:space="0" w:color="auto"/>
        <w:right w:val="none" w:sz="0" w:space="0" w:color="auto"/>
      </w:divBdr>
      <w:divsChild>
        <w:div w:id="2115587479">
          <w:marLeft w:val="0"/>
          <w:marRight w:val="0"/>
          <w:marTop w:val="0"/>
          <w:marBottom w:val="0"/>
          <w:divBdr>
            <w:top w:val="none" w:sz="0" w:space="0" w:color="auto"/>
            <w:left w:val="single" w:sz="24" w:space="0" w:color="FFFFFF"/>
            <w:bottom w:val="none" w:sz="0" w:space="0" w:color="auto"/>
            <w:right w:val="single" w:sz="24" w:space="0" w:color="FFFFFF"/>
          </w:divBdr>
          <w:divsChild>
            <w:div w:id="350844496">
              <w:marLeft w:val="0"/>
              <w:marRight w:val="0"/>
              <w:marTop w:val="0"/>
              <w:marBottom w:val="0"/>
              <w:divBdr>
                <w:top w:val="none" w:sz="0" w:space="0" w:color="auto"/>
                <w:left w:val="none" w:sz="0" w:space="0" w:color="auto"/>
                <w:bottom w:val="none" w:sz="0" w:space="0" w:color="auto"/>
                <w:right w:val="none" w:sz="0" w:space="0" w:color="auto"/>
              </w:divBdr>
              <w:divsChild>
                <w:div w:id="1164778265">
                  <w:marLeft w:val="0"/>
                  <w:marRight w:val="0"/>
                  <w:marTop w:val="0"/>
                  <w:marBottom w:val="0"/>
                  <w:divBdr>
                    <w:top w:val="none" w:sz="0" w:space="0" w:color="auto"/>
                    <w:left w:val="none" w:sz="0" w:space="0" w:color="auto"/>
                    <w:bottom w:val="none" w:sz="0" w:space="0" w:color="auto"/>
                    <w:right w:val="none" w:sz="0" w:space="0" w:color="auto"/>
                  </w:divBdr>
                  <w:divsChild>
                    <w:div w:id="14581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06174">
      <w:bodyDiv w:val="1"/>
      <w:marLeft w:val="0"/>
      <w:marRight w:val="0"/>
      <w:marTop w:val="0"/>
      <w:marBottom w:val="0"/>
      <w:divBdr>
        <w:top w:val="none" w:sz="0" w:space="0" w:color="auto"/>
        <w:left w:val="none" w:sz="0" w:space="0" w:color="auto"/>
        <w:bottom w:val="none" w:sz="0" w:space="0" w:color="auto"/>
        <w:right w:val="none" w:sz="0" w:space="0" w:color="auto"/>
      </w:divBdr>
    </w:div>
    <w:div w:id="1284195790">
      <w:bodyDiv w:val="1"/>
      <w:marLeft w:val="0"/>
      <w:marRight w:val="0"/>
      <w:marTop w:val="0"/>
      <w:marBottom w:val="0"/>
      <w:divBdr>
        <w:top w:val="none" w:sz="0" w:space="0" w:color="auto"/>
        <w:left w:val="none" w:sz="0" w:space="0" w:color="auto"/>
        <w:bottom w:val="none" w:sz="0" w:space="0" w:color="auto"/>
        <w:right w:val="none" w:sz="0" w:space="0" w:color="auto"/>
      </w:divBdr>
    </w:div>
    <w:div w:id="1306163954">
      <w:bodyDiv w:val="1"/>
      <w:marLeft w:val="0"/>
      <w:marRight w:val="0"/>
      <w:marTop w:val="0"/>
      <w:marBottom w:val="0"/>
      <w:divBdr>
        <w:top w:val="none" w:sz="0" w:space="0" w:color="auto"/>
        <w:left w:val="none" w:sz="0" w:space="0" w:color="auto"/>
        <w:bottom w:val="none" w:sz="0" w:space="0" w:color="auto"/>
        <w:right w:val="none" w:sz="0" w:space="0" w:color="auto"/>
      </w:divBdr>
    </w:div>
    <w:div w:id="1320421357">
      <w:bodyDiv w:val="1"/>
      <w:marLeft w:val="0"/>
      <w:marRight w:val="0"/>
      <w:marTop w:val="0"/>
      <w:marBottom w:val="0"/>
      <w:divBdr>
        <w:top w:val="none" w:sz="0" w:space="0" w:color="auto"/>
        <w:left w:val="none" w:sz="0" w:space="0" w:color="auto"/>
        <w:bottom w:val="none" w:sz="0" w:space="0" w:color="auto"/>
        <w:right w:val="none" w:sz="0" w:space="0" w:color="auto"/>
      </w:divBdr>
    </w:div>
    <w:div w:id="1371954644">
      <w:bodyDiv w:val="1"/>
      <w:marLeft w:val="0"/>
      <w:marRight w:val="0"/>
      <w:marTop w:val="0"/>
      <w:marBottom w:val="0"/>
      <w:divBdr>
        <w:top w:val="none" w:sz="0" w:space="0" w:color="auto"/>
        <w:left w:val="none" w:sz="0" w:space="0" w:color="auto"/>
        <w:bottom w:val="none" w:sz="0" w:space="0" w:color="auto"/>
        <w:right w:val="none" w:sz="0" w:space="0" w:color="auto"/>
      </w:divBdr>
    </w:div>
    <w:div w:id="1431388884">
      <w:bodyDiv w:val="1"/>
      <w:marLeft w:val="0"/>
      <w:marRight w:val="0"/>
      <w:marTop w:val="0"/>
      <w:marBottom w:val="0"/>
      <w:divBdr>
        <w:top w:val="none" w:sz="0" w:space="0" w:color="auto"/>
        <w:left w:val="none" w:sz="0" w:space="0" w:color="auto"/>
        <w:bottom w:val="none" w:sz="0" w:space="0" w:color="auto"/>
        <w:right w:val="none" w:sz="0" w:space="0" w:color="auto"/>
      </w:divBdr>
    </w:div>
    <w:div w:id="1450663639">
      <w:bodyDiv w:val="1"/>
      <w:marLeft w:val="0"/>
      <w:marRight w:val="0"/>
      <w:marTop w:val="0"/>
      <w:marBottom w:val="0"/>
      <w:divBdr>
        <w:top w:val="none" w:sz="0" w:space="0" w:color="auto"/>
        <w:left w:val="none" w:sz="0" w:space="0" w:color="auto"/>
        <w:bottom w:val="none" w:sz="0" w:space="0" w:color="auto"/>
        <w:right w:val="none" w:sz="0" w:space="0" w:color="auto"/>
      </w:divBdr>
    </w:div>
    <w:div w:id="1458067721">
      <w:bodyDiv w:val="1"/>
      <w:marLeft w:val="0"/>
      <w:marRight w:val="0"/>
      <w:marTop w:val="0"/>
      <w:marBottom w:val="0"/>
      <w:divBdr>
        <w:top w:val="none" w:sz="0" w:space="0" w:color="auto"/>
        <w:left w:val="none" w:sz="0" w:space="0" w:color="auto"/>
        <w:bottom w:val="none" w:sz="0" w:space="0" w:color="auto"/>
        <w:right w:val="none" w:sz="0" w:space="0" w:color="auto"/>
      </w:divBdr>
      <w:divsChild>
        <w:div w:id="31612164">
          <w:marLeft w:val="2261"/>
          <w:marRight w:val="0"/>
          <w:marTop w:val="0"/>
          <w:marBottom w:val="120"/>
          <w:divBdr>
            <w:top w:val="none" w:sz="0" w:space="0" w:color="auto"/>
            <w:left w:val="none" w:sz="0" w:space="0" w:color="auto"/>
            <w:bottom w:val="none" w:sz="0" w:space="0" w:color="auto"/>
            <w:right w:val="none" w:sz="0" w:space="0" w:color="auto"/>
          </w:divBdr>
        </w:div>
        <w:div w:id="61946796">
          <w:marLeft w:val="2261"/>
          <w:marRight w:val="0"/>
          <w:marTop w:val="0"/>
          <w:marBottom w:val="120"/>
          <w:divBdr>
            <w:top w:val="none" w:sz="0" w:space="0" w:color="auto"/>
            <w:left w:val="none" w:sz="0" w:space="0" w:color="auto"/>
            <w:bottom w:val="none" w:sz="0" w:space="0" w:color="auto"/>
            <w:right w:val="none" w:sz="0" w:space="0" w:color="auto"/>
          </w:divBdr>
        </w:div>
        <w:div w:id="510606023">
          <w:marLeft w:val="2261"/>
          <w:marRight w:val="0"/>
          <w:marTop w:val="0"/>
          <w:marBottom w:val="120"/>
          <w:divBdr>
            <w:top w:val="none" w:sz="0" w:space="0" w:color="auto"/>
            <w:left w:val="none" w:sz="0" w:space="0" w:color="auto"/>
            <w:bottom w:val="none" w:sz="0" w:space="0" w:color="auto"/>
            <w:right w:val="none" w:sz="0" w:space="0" w:color="auto"/>
          </w:divBdr>
        </w:div>
        <w:div w:id="546533241">
          <w:marLeft w:val="2261"/>
          <w:marRight w:val="0"/>
          <w:marTop w:val="0"/>
          <w:marBottom w:val="120"/>
          <w:divBdr>
            <w:top w:val="none" w:sz="0" w:space="0" w:color="auto"/>
            <w:left w:val="none" w:sz="0" w:space="0" w:color="auto"/>
            <w:bottom w:val="none" w:sz="0" w:space="0" w:color="auto"/>
            <w:right w:val="none" w:sz="0" w:space="0" w:color="auto"/>
          </w:divBdr>
        </w:div>
        <w:div w:id="601961455">
          <w:marLeft w:val="1195"/>
          <w:marRight w:val="0"/>
          <w:marTop w:val="0"/>
          <w:marBottom w:val="120"/>
          <w:divBdr>
            <w:top w:val="none" w:sz="0" w:space="0" w:color="auto"/>
            <w:left w:val="none" w:sz="0" w:space="0" w:color="auto"/>
            <w:bottom w:val="none" w:sz="0" w:space="0" w:color="auto"/>
            <w:right w:val="none" w:sz="0" w:space="0" w:color="auto"/>
          </w:divBdr>
        </w:div>
        <w:div w:id="807288348">
          <w:marLeft w:val="2261"/>
          <w:marRight w:val="0"/>
          <w:marTop w:val="0"/>
          <w:marBottom w:val="120"/>
          <w:divBdr>
            <w:top w:val="none" w:sz="0" w:space="0" w:color="auto"/>
            <w:left w:val="none" w:sz="0" w:space="0" w:color="auto"/>
            <w:bottom w:val="none" w:sz="0" w:space="0" w:color="auto"/>
            <w:right w:val="none" w:sz="0" w:space="0" w:color="auto"/>
          </w:divBdr>
        </w:div>
        <w:div w:id="863326715">
          <w:marLeft w:val="2261"/>
          <w:marRight w:val="0"/>
          <w:marTop w:val="0"/>
          <w:marBottom w:val="120"/>
          <w:divBdr>
            <w:top w:val="none" w:sz="0" w:space="0" w:color="auto"/>
            <w:left w:val="none" w:sz="0" w:space="0" w:color="auto"/>
            <w:bottom w:val="none" w:sz="0" w:space="0" w:color="auto"/>
            <w:right w:val="none" w:sz="0" w:space="0" w:color="auto"/>
          </w:divBdr>
        </w:div>
        <w:div w:id="972826549">
          <w:marLeft w:val="1166"/>
          <w:marRight w:val="0"/>
          <w:marTop w:val="0"/>
          <w:marBottom w:val="120"/>
          <w:divBdr>
            <w:top w:val="none" w:sz="0" w:space="0" w:color="auto"/>
            <w:left w:val="none" w:sz="0" w:space="0" w:color="auto"/>
            <w:bottom w:val="none" w:sz="0" w:space="0" w:color="auto"/>
            <w:right w:val="none" w:sz="0" w:space="0" w:color="auto"/>
          </w:divBdr>
        </w:div>
        <w:div w:id="1168248050">
          <w:marLeft w:val="2261"/>
          <w:marRight w:val="0"/>
          <w:marTop w:val="0"/>
          <w:marBottom w:val="120"/>
          <w:divBdr>
            <w:top w:val="none" w:sz="0" w:space="0" w:color="auto"/>
            <w:left w:val="none" w:sz="0" w:space="0" w:color="auto"/>
            <w:bottom w:val="none" w:sz="0" w:space="0" w:color="auto"/>
            <w:right w:val="none" w:sz="0" w:space="0" w:color="auto"/>
          </w:divBdr>
        </w:div>
        <w:div w:id="1244800753">
          <w:marLeft w:val="2261"/>
          <w:marRight w:val="0"/>
          <w:marTop w:val="0"/>
          <w:marBottom w:val="120"/>
          <w:divBdr>
            <w:top w:val="none" w:sz="0" w:space="0" w:color="auto"/>
            <w:left w:val="none" w:sz="0" w:space="0" w:color="auto"/>
            <w:bottom w:val="none" w:sz="0" w:space="0" w:color="auto"/>
            <w:right w:val="none" w:sz="0" w:space="0" w:color="auto"/>
          </w:divBdr>
        </w:div>
        <w:div w:id="1767847728">
          <w:marLeft w:val="1195"/>
          <w:marRight w:val="0"/>
          <w:marTop w:val="0"/>
          <w:marBottom w:val="120"/>
          <w:divBdr>
            <w:top w:val="none" w:sz="0" w:space="0" w:color="auto"/>
            <w:left w:val="none" w:sz="0" w:space="0" w:color="auto"/>
            <w:bottom w:val="none" w:sz="0" w:space="0" w:color="auto"/>
            <w:right w:val="none" w:sz="0" w:space="0" w:color="auto"/>
          </w:divBdr>
        </w:div>
      </w:divsChild>
    </w:div>
    <w:div w:id="1461877691">
      <w:bodyDiv w:val="1"/>
      <w:marLeft w:val="0"/>
      <w:marRight w:val="0"/>
      <w:marTop w:val="0"/>
      <w:marBottom w:val="0"/>
      <w:divBdr>
        <w:top w:val="none" w:sz="0" w:space="0" w:color="auto"/>
        <w:left w:val="none" w:sz="0" w:space="0" w:color="auto"/>
        <w:bottom w:val="none" w:sz="0" w:space="0" w:color="auto"/>
        <w:right w:val="none" w:sz="0" w:space="0" w:color="auto"/>
      </w:divBdr>
    </w:div>
    <w:div w:id="1508867195">
      <w:bodyDiv w:val="1"/>
      <w:marLeft w:val="0"/>
      <w:marRight w:val="0"/>
      <w:marTop w:val="0"/>
      <w:marBottom w:val="0"/>
      <w:divBdr>
        <w:top w:val="none" w:sz="0" w:space="0" w:color="auto"/>
        <w:left w:val="none" w:sz="0" w:space="0" w:color="auto"/>
        <w:bottom w:val="none" w:sz="0" w:space="0" w:color="auto"/>
        <w:right w:val="none" w:sz="0" w:space="0" w:color="auto"/>
      </w:divBdr>
    </w:div>
    <w:div w:id="1523326377">
      <w:bodyDiv w:val="1"/>
      <w:marLeft w:val="0"/>
      <w:marRight w:val="0"/>
      <w:marTop w:val="0"/>
      <w:marBottom w:val="0"/>
      <w:divBdr>
        <w:top w:val="none" w:sz="0" w:space="0" w:color="auto"/>
        <w:left w:val="none" w:sz="0" w:space="0" w:color="auto"/>
        <w:bottom w:val="none" w:sz="0" w:space="0" w:color="auto"/>
        <w:right w:val="none" w:sz="0" w:space="0" w:color="auto"/>
      </w:divBdr>
      <w:divsChild>
        <w:div w:id="128935599">
          <w:marLeft w:val="1080"/>
          <w:marRight w:val="0"/>
          <w:marTop w:val="77"/>
          <w:marBottom w:val="120"/>
          <w:divBdr>
            <w:top w:val="none" w:sz="0" w:space="0" w:color="auto"/>
            <w:left w:val="none" w:sz="0" w:space="0" w:color="auto"/>
            <w:bottom w:val="none" w:sz="0" w:space="0" w:color="auto"/>
            <w:right w:val="none" w:sz="0" w:space="0" w:color="auto"/>
          </w:divBdr>
        </w:div>
        <w:div w:id="1216967177">
          <w:marLeft w:val="965"/>
          <w:marRight w:val="0"/>
          <w:marTop w:val="77"/>
          <w:marBottom w:val="120"/>
          <w:divBdr>
            <w:top w:val="none" w:sz="0" w:space="0" w:color="auto"/>
            <w:left w:val="none" w:sz="0" w:space="0" w:color="auto"/>
            <w:bottom w:val="none" w:sz="0" w:space="0" w:color="auto"/>
            <w:right w:val="none" w:sz="0" w:space="0" w:color="auto"/>
          </w:divBdr>
        </w:div>
        <w:div w:id="1229535951">
          <w:marLeft w:val="562"/>
          <w:marRight w:val="0"/>
          <w:marTop w:val="77"/>
          <w:marBottom w:val="120"/>
          <w:divBdr>
            <w:top w:val="none" w:sz="0" w:space="0" w:color="auto"/>
            <w:left w:val="none" w:sz="0" w:space="0" w:color="auto"/>
            <w:bottom w:val="none" w:sz="0" w:space="0" w:color="auto"/>
            <w:right w:val="none" w:sz="0" w:space="0" w:color="auto"/>
          </w:divBdr>
        </w:div>
        <w:div w:id="1519543239">
          <w:marLeft w:val="562"/>
          <w:marRight w:val="0"/>
          <w:marTop w:val="77"/>
          <w:marBottom w:val="120"/>
          <w:divBdr>
            <w:top w:val="none" w:sz="0" w:space="0" w:color="auto"/>
            <w:left w:val="none" w:sz="0" w:space="0" w:color="auto"/>
            <w:bottom w:val="none" w:sz="0" w:space="0" w:color="auto"/>
            <w:right w:val="none" w:sz="0" w:space="0" w:color="auto"/>
          </w:divBdr>
        </w:div>
      </w:divsChild>
    </w:div>
    <w:div w:id="1592542310">
      <w:bodyDiv w:val="1"/>
      <w:marLeft w:val="0"/>
      <w:marRight w:val="0"/>
      <w:marTop w:val="0"/>
      <w:marBottom w:val="0"/>
      <w:divBdr>
        <w:top w:val="none" w:sz="0" w:space="0" w:color="auto"/>
        <w:left w:val="none" w:sz="0" w:space="0" w:color="auto"/>
        <w:bottom w:val="none" w:sz="0" w:space="0" w:color="auto"/>
        <w:right w:val="none" w:sz="0" w:space="0" w:color="auto"/>
      </w:divBdr>
    </w:div>
    <w:div w:id="1596330478">
      <w:bodyDiv w:val="1"/>
      <w:marLeft w:val="0"/>
      <w:marRight w:val="0"/>
      <w:marTop w:val="0"/>
      <w:marBottom w:val="0"/>
      <w:divBdr>
        <w:top w:val="none" w:sz="0" w:space="0" w:color="auto"/>
        <w:left w:val="none" w:sz="0" w:space="0" w:color="auto"/>
        <w:bottom w:val="none" w:sz="0" w:space="0" w:color="auto"/>
        <w:right w:val="none" w:sz="0" w:space="0" w:color="auto"/>
      </w:divBdr>
    </w:div>
    <w:div w:id="1618637417">
      <w:bodyDiv w:val="1"/>
      <w:marLeft w:val="0"/>
      <w:marRight w:val="0"/>
      <w:marTop w:val="0"/>
      <w:marBottom w:val="0"/>
      <w:divBdr>
        <w:top w:val="none" w:sz="0" w:space="0" w:color="auto"/>
        <w:left w:val="none" w:sz="0" w:space="0" w:color="auto"/>
        <w:bottom w:val="none" w:sz="0" w:space="0" w:color="auto"/>
        <w:right w:val="none" w:sz="0" w:space="0" w:color="auto"/>
      </w:divBdr>
    </w:div>
    <w:div w:id="1633441463">
      <w:bodyDiv w:val="1"/>
      <w:marLeft w:val="0"/>
      <w:marRight w:val="0"/>
      <w:marTop w:val="0"/>
      <w:marBottom w:val="0"/>
      <w:divBdr>
        <w:top w:val="none" w:sz="0" w:space="0" w:color="auto"/>
        <w:left w:val="none" w:sz="0" w:space="0" w:color="auto"/>
        <w:bottom w:val="none" w:sz="0" w:space="0" w:color="auto"/>
        <w:right w:val="none" w:sz="0" w:space="0" w:color="auto"/>
      </w:divBdr>
    </w:div>
    <w:div w:id="1649480290">
      <w:bodyDiv w:val="1"/>
      <w:marLeft w:val="0"/>
      <w:marRight w:val="0"/>
      <w:marTop w:val="0"/>
      <w:marBottom w:val="0"/>
      <w:divBdr>
        <w:top w:val="none" w:sz="0" w:space="0" w:color="auto"/>
        <w:left w:val="none" w:sz="0" w:space="0" w:color="auto"/>
        <w:bottom w:val="none" w:sz="0" w:space="0" w:color="auto"/>
        <w:right w:val="none" w:sz="0" w:space="0" w:color="auto"/>
      </w:divBdr>
    </w:div>
    <w:div w:id="1676029974">
      <w:bodyDiv w:val="1"/>
      <w:marLeft w:val="0"/>
      <w:marRight w:val="0"/>
      <w:marTop w:val="0"/>
      <w:marBottom w:val="0"/>
      <w:divBdr>
        <w:top w:val="none" w:sz="0" w:space="0" w:color="auto"/>
        <w:left w:val="none" w:sz="0" w:space="0" w:color="auto"/>
        <w:bottom w:val="none" w:sz="0" w:space="0" w:color="auto"/>
        <w:right w:val="none" w:sz="0" w:space="0" w:color="auto"/>
      </w:divBdr>
    </w:div>
    <w:div w:id="1711689371">
      <w:bodyDiv w:val="1"/>
      <w:marLeft w:val="0"/>
      <w:marRight w:val="0"/>
      <w:marTop w:val="0"/>
      <w:marBottom w:val="0"/>
      <w:divBdr>
        <w:top w:val="none" w:sz="0" w:space="0" w:color="auto"/>
        <w:left w:val="none" w:sz="0" w:space="0" w:color="auto"/>
        <w:bottom w:val="none" w:sz="0" w:space="0" w:color="auto"/>
        <w:right w:val="none" w:sz="0" w:space="0" w:color="auto"/>
      </w:divBdr>
    </w:div>
    <w:div w:id="1725637011">
      <w:bodyDiv w:val="1"/>
      <w:marLeft w:val="0"/>
      <w:marRight w:val="0"/>
      <w:marTop w:val="0"/>
      <w:marBottom w:val="0"/>
      <w:divBdr>
        <w:top w:val="none" w:sz="0" w:space="0" w:color="auto"/>
        <w:left w:val="none" w:sz="0" w:space="0" w:color="auto"/>
        <w:bottom w:val="none" w:sz="0" w:space="0" w:color="auto"/>
        <w:right w:val="none" w:sz="0" w:space="0" w:color="auto"/>
      </w:divBdr>
    </w:div>
    <w:div w:id="1727606290">
      <w:bodyDiv w:val="1"/>
      <w:marLeft w:val="0"/>
      <w:marRight w:val="0"/>
      <w:marTop w:val="0"/>
      <w:marBottom w:val="0"/>
      <w:divBdr>
        <w:top w:val="none" w:sz="0" w:space="0" w:color="auto"/>
        <w:left w:val="none" w:sz="0" w:space="0" w:color="auto"/>
        <w:bottom w:val="none" w:sz="0" w:space="0" w:color="auto"/>
        <w:right w:val="none" w:sz="0" w:space="0" w:color="auto"/>
      </w:divBdr>
    </w:div>
    <w:div w:id="1755468816">
      <w:bodyDiv w:val="1"/>
      <w:marLeft w:val="0"/>
      <w:marRight w:val="0"/>
      <w:marTop w:val="0"/>
      <w:marBottom w:val="0"/>
      <w:divBdr>
        <w:top w:val="none" w:sz="0" w:space="0" w:color="auto"/>
        <w:left w:val="none" w:sz="0" w:space="0" w:color="auto"/>
        <w:bottom w:val="none" w:sz="0" w:space="0" w:color="auto"/>
        <w:right w:val="none" w:sz="0" w:space="0" w:color="auto"/>
      </w:divBdr>
    </w:div>
    <w:div w:id="1789005425">
      <w:bodyDiv w:val="1"/>
      <w:marLeft w:val="0"/>
      <w:marRight w:val="0"/>
      <w:marTop w:val="0"/>
      <w:marBottom w:val="0"/>
      <w:divBdr>
        <w:top w:val="none" w:sz="0" w:space="0" w:color="auto"/>
        <w:left w:val="none" w:sz="0" w:space="0" w:color="auto"/>
        <w:bottom w:val="none" w:sz="0" w:space="0" w:color="auto"/>
        <w:right w:val="none" w:sz="0" w:space="0" w:color="auto"/>
      </w:divBdr>
    </w:div>
    <w:div w:id="1796094503">
      <w:bodyDiv w:val="1"/>
      <w:marLeft w:val="0"/>
      <w:marRight w:val="0"/>
      <w:marTop w:val="0"/>
      <w:marBottom w:val="0"/>
      <w:divBdr>
        <w:top w:val="none" w:sz="0" w:space="0" w:color="auto"/>
        <w:left w:val="none" w:sz="0" w:space="0" w:color="auto"/>
        <w:bottom w:val="none" w:sz="0" w:space="0" w:color="auto"/>
        <w:right w:val="none" w:sz="0" w:space="0" w:color="auto"/>
      </w:divBdr>
    </w:div>
    <w:div w:id="1817531369">
      <w:bodyDiv w:val="1"/>
      <w:marLeft w:val="0"/>
      <w:marRight w:val="0"/>
      <w:marTop w:val="0"/>
      <w:marBottom w:val="0"/>
      <w:divBdr>
        <w:top w:val="none" w:sz="0" w:space="0" w:color="auto"/>
        <w:left w:val="none" w:sz="0" w:space="0" w:color="auto"/>
        <w:bottom w:val="none" w:sz="0" w:space="0" w:color="auto"/>
        <w:right w:val="none" w:sz="0" w:space="0" w:color="auto"/>
      </w:divBdr>
    </w:div>
    <w:div w:id="1859738365">
      <w:bodyDiv w:val="1"/>
      <w:marLeft w:val="0"/>
      <w:marRight w:val="0"/>
      <w:marTop w:val="0"/>
      <w:marBottom w:val="0"/>
      <w:divBdr>
        <w:top w:val="none" w:sz="0" w:space="0" w:color="auto"/>
        <w:left w:val="none" w:sz="0" w:space="0" w:color="auto"/>
        <w:bottom w:val="none" w:sz="0" w:space="0" w:color="auto"/>
        <w:right w:val="none" w:sz="0" w:space="0" w:color="auto"/>
      </w:divBdr>
    </w:div>
    <w:div w:id="1876309185">
      <w:bodyDiv w:val="1"/>
      <w:marLeft w:val="0"/>
      <w:marRight w:val="0"/>
      <w:marTop w:val="0"/>
      <w:marBottom w:val="0"/>
      <w:divBdr>
        <w:top w:val="none" w:sz="0" w:space="0" w:color="auto"/>
        <w:left w:val="none" w:sz="0" w:space="0" w:color="auto"/>
        <w:bottom w:val="none" w:sz="0" w:space="0" w:color="auto"/>
        <w:right w:val="none" w:sz="0" w:space="0" w:color="auto"/>
      </w:divBdr>
    </w:div>
    <w:div w:id="1881476421">
      <w:bodyDiv w:val="1"/>
      <w:marLeft w:val="0"/>
      <w:marRight w:val="0"/>
      <w:marTop w:val="0"/>
      <w:marBottom w:val="0"/>
      <w:divBdr>
        <w:top w:val="none" w:sz="0" w:space="0" w:color="auto"/>
        <w:left w:val="none" w:sz="0" w:space="0" w:color="auto"/>
        <w:bottom w:val="none" w:sz="0" w:space="0" w:color="auto"/>
        <w:right w:val="none" w:sz="0" w:space="0" w:color="auto"/>
      </w:divBdr>
    </w:div>
    <w:div w:id="1892691129">
      <w:bodyDiv w:val="1"/>
      <w:marLeft w:val="0"/>
      <w:marRight w:val="0"/>
      <w:marTop w:val="0"/>
      <w:marBottom w:val="0"/>
      <w:divBdr>
        <w:top w:val="none" w:sz="0" w:space="0" w:color="auto"/>
        <w:left w:val="none" w:sz="0" w:space="0" w:color="auto"/>
        <w:bottom w:val="none" w:sz="0" w:space="0" w:color="auto"/>
        <w:right w:val="none" w:sz="0" w:space="0" w:color="auto"/>
      </w:divBdr>
    </w:div>
    <w:div w:id="1975212706">
      <w:bodyDiv w:val="1"/>
      <w:marLeft w:val="0"/>
      <w:marRight w:val="0"/>
      <w:marTop w:val="0"/>
      <w:marBottom w:val="0"/>
      <w:divBdr>
        <w:top w:val="none" w:sz="0" w:space="0" w:color="auto"/>
        <w:left w:val="none" w:sz="0" w:space="0" w:color="auto"/>
        <w:bottom w:val="none" w:sz="0" w:space="0" w:color="auto"/>
        <w:right w:val="none" w:sz="0" w:space="0" w:color="auto"/>
      </w:divBdr>
    </w:div>
    <w:div w:id="1999571660">
      <w:bodyDiv w:val="1"/>
      <w:marLeft w:val="0"/>
      <w:marRight w:val="0"/>
      <w:marTop w:val="0"/>
      <w:marBottom w:val="0"/>
      <w:divBdr>
        <w:top w:val="none" w:sz="0" w:space="0" w:color="auto"/>
        <w:left w:val="none" w:sz="0" w:space="0" w:color="auto"/>
        <w:bottom w:val="none" w:sz="0" w:space="0" w:color="auto"/>
        <w:right w:val="none" w:sz="0" w:space="0" w:color="auto"/>
      </w:divBdr>
      <w:divsChild>
        <w:div w:id="81685245">
          <w:marLeft w:val="562"/>
          <w:marRight w:val="0"/>
          <w:marTop w:val="91"/>
          <w:marBottom w:val="0"/>
          <w:divBdr>
            <w:top w:val="none" w:sz="0" w:space="0" w:color="auto"/>
            <w:left w:val="none" w:sz="0" w:space="0" w:color="auto"/>
            <w:bottom w:val="none" w:sz="0" w:space="0" w:color="auto"/>
            <w:right w:val="none" w:sz="0" w:space="0" w:color="auto"/>
          </w:divBdr>
        </w:div>
        <w:div w:id="231744886">
          <w:marLeft w:val="2822"/>
          <w:marRight w:val="0"/>
          <w:marTop w:val="91"/>
          <w:marBottom w:val="0"/>
          <w:divBdr>
            <w:top w:val="none" w:sz="0" w:space="0" w:color="auto"/>
            <w:left w:val="none" w:sz="0" w:space="0" w:color="auto"/>
            <w:bottom w:val="none" w:sz="0" w:space="0" w:color="auto"/>
            <w:right w:val="none" w:sz="0" w:space="0" w:color="auto"/>
          </w:divBdr>
        </w:div>
        <w:div w:id="485827489">
          <w:marLeft w:val="2822"/>
          <w:marRight w:val="0"/>
          <w:marTop w:val="91"/>
          <w:marBottom w:val="0"/>
          <w:divBdr>
            <w:top w:val="none" w:sz="0" w:space="0" w:color="auto"/>
            <w:left w:val="none" w:sz="0" w:space="0" w:color="auto"/>
            <w:bottom w:val="none" w:sz="0" w:space="0" w:color="auto"/>
            <w:right w:val="none" w:sz="0" w:space="0" w:color="auto"/>
          </w:divBdr>
        </w:div>
        <w:div w:id="678041625">
          <w:marLeft w:val="562"/>
          <w:marRight w:val="0"/>
          <w:marTop w:val="91"/>
          <w:marBottom w:val="0"/>
          <w:divBdr>
            <w:top w:val="none" w:sz="0" w:space="0" w:color="auto"/>
            <w:left w:val="none" w:sz="0" w:space="0" w:color="auto"/>
            <w:bottom w:val="none" w:sz="0" w:space="0" w:color="auto"/>
            <w:right w:val="none" w:sz="0" w:space="0" w:color="auto"/>
          </w:divBdr>
        </w:div>
        <w:div w:id="831799393">
          <w:marLeft w:val="562"/>
          <w:marRight w:val="0"/>
          <w:marTop w:val="91"/>
          <w:marBottom w:val="0"/>
          <w:divBdr>
            <w:top w:val="none" w:sz="0" w:space="0" w:color="auto"/>
            <w:left w:val="none" w:sz="0" w:space="0" w:color="auto"/>
            <w:bottom w:val="none" w:sz="0" w:space="0" w:color="auto"/>
            <w:right w:val="none" w:sz="0" w:space="0" w:color="auto"/>
          </w:divBdr>
        </w:div>
        <w:div w:id="1064176988">
          <w:marLeft w:val="562"/>
          <w:marRight w:val="0"/>
          <w:marTop w:val="91"/>
          <w:marBottom w:val="0"/>
          <w:divBdr>
            <w:top w:val="none" w:sz="0" w:space="0" w:color="auto"/>
            <w:left w:val="none" w:sz="0" w:space="0" w:color="auto"/>
            <w:bottom w:val="none" w:sz="0" w:space="0" w:color="auto"/>
            <w:right w:val="none" w:sz="0" w:space="0" w:color="auto"/>
          </w:divBdr>
        </w:div>
        <w:div w:id="1241330548">
          <w:marLeft w:val="2822"/>
          <w:marRight w:val="0"/>
          <w:marTop w:val="91"/>
          <w:marBottom w:val="0"/>
          <w:divBdr>
            <w:top w:val="none" w:sz="0" w:space="0" w:color="auto"/>
            <w:left w:val="none" w:sz="0" w:space="0" w:color="auto"/>
            <w:bottom w:val="none" w:sz="0" w:space="0" w:color="auto"/>
            <w:right w:val="none" w:sz="0" w:space="0" w:color="auto"/>
          </w:divBdr>
        </w:div>
        <w:div w:id="2034570952">
          <w:marLeft w:val="562"/>
          <w:marRight w:val="0"/>
          <w:marTop w:val="91"/>
          <w:marBottom w:val="0"/>
          <w:divBdr>
            <w:top w:val="none" w:sz="0" w:space="0" w:color="auto"/>
            <w:left w:val="none" w:sz="0" w:space="0" w:color="auto"/>
            <w:bottom w:val="none" w:sz="0" w:space="0" w:color="auto"/>
            <w:right w:val="none" w:sz="0" w:space="0" w:color="auto"/>
          </w:divBdr>
        </w:div>
      </w:divsChild>
    </w:div>
    <w:div w:id="2020541995">
      <w:bodyDiv w:val="1"/>
      <w:marLeft w:val="0"/>
      <w:marRight w:val="0"/>
      <w:marTop w:val="0"/>
      <w:marBottom w:val="0"/>
      <w:divBdr>
        <w:top w:val="none" w:sz="0" w:space="0" w:color="auto"/>
        <w:left w:val="none" w:sz="0" w:space="0" w:color="auto"/>
        <w:bottom w:val="none" w:sz="0" w:space="0" w:color="auto"/>
        <w:right w:val="none" w:sz="0" w:space="0" w:color="auto"/>
      </w:divBdr>
    </w:div>
    <w:div w:id="2132818399">
      <w:bodyDiv w:val="1"/>
      <w:marLeft w:val="0"/>
      <w:marRight w:val="0"/>
      <w:marTop w:val="0"/>
      <w:marBottom w:val="0"/>
      <w:divBdr>
        <w:top w:val="none" w:sz="0" w:space="0" w:color="auto"/>
        <w:left w:val="none" w:sz="0" w:space="0" w:color="auto"/>
        <w:bottom w:val="none" w:sz="0" w:space="0" w:color="auto"/>
        <w:right w:val="none" w:sz="0" w:space="0" w:color="auto"/>
      </w:divBdr>
      <w:divsChild>
        <w:div w:id="569736426">
          <w:marLeft w:val="1987"/>
          <w:marRight w:val="0"/>
          <w:marTop w:val="228"/>
          <w:marBottom w:val="0"/>
          <w:divBdr>
            <w:top w:val="none" w:sz="0" w:space="0" w:color="auto"/>
            <w:left w:val="none" w:sz="0" w:space="0" w:color="auto"/>
            <w:bottom w:val="none" w:sz="0" w:space="0" w:color="auto"/>
            <w:right w:val="none" w:sz="0" w:space="0" w:color="auto"/>
          </w:divBdr>
        </w:div>
        <w:div w:id="583880020">
          <w:marLeft w:val="1987"/>
          <w:marRight w:val="0"/>
          <w:marTop w:val="228"/>
          <w:marBottom w:val="0"/>
          <w:divBdr>
            <w:top w:val="none" w:sz="0" w:space="0" w:color="auto"/>
            <w:left w:val="none" w:sz="0" w:space="0" w:color="auto"/>
            <w:bottom w:val="none" w:sz="0" w:space="0" w:color="auto"/>
            <w:right w:val="none" w:sz="0" w:space="0" w:color="auto"/>
          </w:divBdr>
        </w:div>
        <w:div w:id="1471560481">
          <w:marLeft w:val="1987"/>
          <w:marRight w:val="0"/>
          <w:marTop w:val="228"/>
          <w:marBottom w:val="0"/>
          <w:divBdr>
            <w:top w:val="none" w:sz="0" w:space="0" w:color="auto"/>
            <w:left w:val="none" w:sz="0" w:space="0" w:color="auto"/>
            <w:bottom w:val="none" w:sz="0" w:space="0" w:color="auto"/>
            <w:right w:val="none" w:sz="0" w:space="0" w:color="auto"/>
          </w:divBdr>
        </w:div>
        <w:div w:id="1779831768">
          <w:marLeft w:val="1987"/>
          <w:marRight w:val="0"/>
          <w:marTop w:val="228"/>
          <w:marBottom w:val="0"/>
          <w:divBdr>
            <w:top w:val="none" w:sz="0" w:space="0" w:color="auto"/>
            <w:left w:val="none" w:sz="0" w:space="0" w:color="auto"/>
            <w:bottom w:val="none" w:sz="0" w:space="0" w:color="auto"/>
            <w:right w:val="none" w:sz="0" w:space="0" w:color="auto"/>
          </w:divBdr>
        </w:div>
        <w:div w:id="2120250191">
          <w:marLeft w:val="1987"/>
          <w:marRight w:val="0"/>
          <w:marTop w:val="22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po.cz/assets/cz/e-komunikace-a-posta/Internet/2013/4/Digi_esko_v.2.0.pdf" TargetMode="External"/><Relationship Id="rId21" Type="http://schemas.openxmlformats.org/officeDocument/2006/relationships/header" Target="header3.xml"/><Relationship Id="rId42" Type="http://schemas.openxmlformats.org/officeDocument/2006/relationships/footer" Target="footer13.xml"/><Relationship Id="rId63" Type="http://schemas.openxmlformats.org/officeDocument/2006/relationships/hyperlink" Target="http://www.strukturalni-fondy.cz/cs/Fondy-EU/2014-2020/Metodicke-pokyny/Metodika-rozvoje-lidskych-zdroju" TargetMode="External"/><Relationship Id="rId84" Type="http://schemas.openxmlformats.org/officeDocument/2006/relationships/hyperlink" Target="http://www.mfcr.cz/cs/legislativa/metodiky/2014/metodika-financnich-toku-a-kontroly-prog-17121" TargetMode="External"/><Relationship Id="rId138" Type="http://schemas.openxmlformats.org/officeDocument/2006/relationships/hyperlink" Target="http://www.sbirka.cz/POSL4TYD/NOVE/13-304.htm" TargetMode="External"/><Relationship Id="rId159" Type="http://schemas.openxmlformats.org/officeDocument/2006/relationships/hyperlink" Target="http://portal.gov.cz/app/zakony/zakonPar.jsp?idBiblio=49962&amp;fulltext=&amp;nr=458~2F2000&amp;part=&amp;name=&amp;rpp=15" TargetMode="External"/><Relationship Id="rId170" Type="http://schemas.openxmlformats.org/officeDocument/2006/relationships/footer" Target="footer20.xml"/><Relationship Id="rId191" Type="http://schemas.openxmlformats.org/officeDocument/2006/relationships/hyperlink" Target="http://www.amsp.cz/" TargetMode="External"/><Relationship Id="rId205" Type="http://schemas.openxmlformats.org/officeDocument/2006/relationships/hyperlink" Target="http://www.spcr.cz/" TargetMode="External"/><Relationship Id="rId226" Type="http://schemas.openxmlformats.org/officeDocument/2006/relationships/hyperlink" Target="http://www.socr.cz/" TargetMode="External"/><Relationship Id="rId247" Type="http://schemas.openxmlformats.org/officeDocument/2006/relationships/hyperlink" Target="http://nsmascr.cz/o-nas/mistni-akncni-skupiny/" TargetMode="External"/><Relationship Id="rId107" Type="http://schemas.openxmlformats.org/officeDocument/2006/relationships/hyperlink" Target="http://www.s-f.cz/cs/Fondy-EU/2014-2020/Metodicke-pokyny" TargetMode="External"/><Relationship Id="rId268" Type="http://schemas.openxmlformats.org/officeDocument/2006/relationships/hyperlink" Target="http://www.mmr.cz/cs/Uvodni-strana" TargetMode="External"/><Relationship Id="rId11" Type="http://schemas.openxmlformats.org/officeDocument/2006/relationships/footer" Target="footer2.xml"/><Relationship Id="rId32" Type="http://schemas.openxmlformats.org/officeDocument/2006/relationships/footer" Target="footer8.xml"/><Relationship Id="rId53" Type="http://schemas.openxmlformats.org/officeDocument/2006/relationships/hyperlink" Target="http://www.mpo.cz/cz/podpora-podnikani/oppik/" TargetMode="External"/><Relationship Id="rId74" Type="http://schemas.openxmlformats.org/officeDocument/2006/relationships/hyperlink" Target="http://mmr.cz/cs/Ministerstvo/Ministerstvo/Pro-media/Tiskove-zpravy/2014/Zakon-o-verejnych-zakazkach-pripravuje-siroke-kole" TargetMode="External"/><Relationship Id="rId128" Type="http://schemas.openxmlformats.org/officeDocument/2006/relationships/hyperlink" Target="http://www.mpo.cz/dokument83642.html" TargetMode="External"/><Relationship Id="rId149" Type="http://schemas.openxmlformats.org/officeDocument/2006/relationships/hyperlink" Target="http://portal.gov.cz/app/zakony/zakonPar.jsp?idBiblio=49857&amp;fulltext=&amp;nr=406~2F2000&amp;part=&amp;name=&amp;rpp=15" TargetMode="External"/><Relationship Id="rId5" Type="http://schemas.openxmlformats.org/officeDocument/2006/relationships/webSettings" Target="webSettings.xml"/><Relationship Id="rId95" Type="http://schemas.openxmlformats.org/officeDocument/2006/relationships/hyperlink" Target="http://www.strukturalni-fondy.cz" TargetMode="External"/><Relationship Id="rId160" Type="http://schemas.openxmlformats.org/officeDocument/2006/relationships/hyperlink" Target="http://www.vlada.cz/assets/media-centrum/aktualne/Strategie-mezinarodni-konkurenceschopnosti-Ceske-republiky.pdf" TargetMode="External"/><Relationship Id="rId181" Type="http://schemas.openxmlformats.org/officeDocument/2006/relationships/hyperlink" Target="http://tacr.cz/" TargetMode="External"/><Relationship Id="rId216" Type="http://schemas.openxmlformats.org/officeDocument/2006/relationships/hyperlink" Target="http://www.praha.eu/jnp/cz/home/index.html" TargetMode="External"/><Relationship Id="rId237" Type="http://schemas.openxmlformats.org/officeDocument/2006/relationships/hyperlink" Target="http://www.agrocr.cz/" TargetMode="External"/><Relationship Id="rId258" Type="http://schemas.openxmlformats.org/officeDocument/2006/relationships/hyperlink" Target="http://www.asociacenno.cz/" TargetMode="External"/><Relationship Id="rId22" Type="http://schemas.openxmlformats.org/officeDocument/2006/relationships/footer" Target="footer3.xml"/><Relationship Id="rId43" Type="http://schemas.openxmlformats.org/officeDocument/2006/relationships/header" Target="header14.xml"/><Relationship Id="rId64" Type="http://schemas.openxmlformats.org/officeDocument/2006/relationships/hyperlink" Target="http://www.vlada.cz/cz/ppov/vvzpo/dokumenty/narodni-plan-vytvareni-rovnych-prilezitosti-pro-osoby-se-zdravotnim-postizenim-na-obdobi-2010---2014-70026/" TargetMode="External"/><Relationship Id="rId118" Type="http://schemas.openxmlformats.org/officeDocument/2006/relationships/hyperlink" Target="http://www.mpo.cz/dokument119071.html" TargetMode="External"/><Relationship Id="rId139" Type="http://schemas.openxmlformats.org/officeDocument/2006/relationships/hyperlink" Target="http://www.mpo.cz/dokument144140.html" TargetMode="External"/><Relationship Id="rId85" Type="http://schemas.openxmlformats.org/officeDocument/2006/relationships/hyperlink" Target="http://www.uohs.cz/cs/verejna-podpora/manualy-metodiky-a-dalsi-dokumenty.html" TargetMode="External"/><Relationship Id="rId150" Type="http://schemas.openxmlformats.org/officeDocument/2006/relationships/hyperlink" Target="http://portal.gov.cz/app/zakony/zakonPar.jsp?idBiblio=49962&amp;fulltext=&amp;nr=458~2F2000&amp;part=&amp;name=&amp;rpp=15" TargetMode="External"/><Relationship Id="rId171" Type="http://schemas.openxmlformats.org/officeDocument/2006/relationships/hyperlink" Target="http://www.mmr.cz/cs/Uvodni-strana" TargetMode="External"/><Relationship Id="rId192" Type="http://schemas.openxmlformats.org/officeDocument/2006/relationships/hyperlink" Target="http://www.asociacekraju.cz/" TargetMode="External"/><Relationship Id="rId206" Type="http://schemas.openxmlformats.org/officeDocument/2006/relationships/hyperlink" Target="http://www.socr.cz/" TargetMode="External"/><Relationship Id="rId227" Type="http://schemas.openxmlformats.org/officeDocument/2006/relationships/hyperlink" Target="http://www.sps.cz/index.ASP" TargetMode="External"/><Relationship Id="rId248" Type="http://schemas.openxmlformats.org/officeDocument/2006/relationships/hyperlink" Target="http://www.kzps.cz/" TargetMode="External"/><Relationship Id="rId269" Type="http://schemas.openxmlformats.org/officeDocument/2006/relationships/hyperlink" Target="http://www.smocr.cz/" TargetMode="External"/><Relationship Id="rId12" Type="http://schemas.openxmlformats.org/officeDocument/2006/relationships/image" Target="media/image4.emf"/><Relationship Id="rId33" Type="http://schemas.openxmlformats.org/officeDocument/2006/relationships/header" Target="header9.xml"/><Relationship Id="rId108" Type="http://schemas.openxmlformats.org/officeDocument/2006/relationships/hyperlink" Target="http://www.msmt.cz/strukturalni-fondy/ris3-strategie-cr" TargetMode="External"/><Relationship Id="rId129" Type="http://schemas.openxmlformats.org/officeDocument/2006/relationships/hyperlink" Target="http://www.mpo.cz/assets/cz/e-komunikace-a-posta/Internet/2013/4/Digi_esko_v.2.0.pdf" TargetMode="External"/><Relationship Id="rId54" Type="http://schemas.openxmlformats.org/officeDocument/2006/relationships/header" Target="header18.xml"/><Relationship Id="rId75" Type="http://schemas.openxmlformats.org/officeDocument/2006/relationships/hyperlink" Target="http://www.portal-vz.cz/cs/Jak-na-zadavani-verejnych-zakazek/Legislativa-a-Judikatura/Legislativa/Narodni-legislativa-aktualni-a-uplne-zneni-z-(1)" TargetMode="External"/><Relationship Id="rId96" Type="http://schemas.openxmlformats.org/officeDocument/2006/relationships/hyperlink" Target="http://portal.cenia.cz/eiasea/static/sea_legislativa" TargetMode="External"/><Relationship Id="rId140" Type="http://schemas.openxmlformats.org/officeDocument/2006/relationships/hyperlink" Target="http://www.vlada.cz/assets/ppov/lrv/ria/metodiky/Uplne-zneni-Obecnych-zasad-_ucinnost-od-1-2--2014_.pdf" TargetMode="External"/><Relationship Id="rId161" Type="http://schemas.openxmlformats.org/officeDocument/2006/relationships/hyperlink" Target="http://www.mpo.cz/dokument119071.html" TargetMode="External"/><Relationship Id="rId182" Type="http://schemas.openxmlformats.org/officeDocument/2006/relationships/hyperlink" Target="http://www.cmzrb.cz/" TargetMode="External"/><Relationship Id="rId217" Type="http://schemas.openxmlformats.org/officeDocument/2006/relationships/hyperlink" Target="http://www.msmt.cz/" TargetMode="External"/><Relationship Id="rId6" Type="http://schemas.openxmlformats.org/officeDocument/2006/relationships/footnotes" Target="footnotes.xml"/><Relationship Id="rId238" Type="http://schemas.openxmlformats.org/officeDocument/2006/relationships/hyperlink" Target="http://www.spcr.cz/" TargetMode="External"/><Relationship Id="rId259" Type="http://schemas.openxmlformats.org/officeDocument/2006/relationships/hyperlink" Target="http://nsmascr.cz/o-nas/mistni-akncni-skupiny/" TargetMode="External"/><Relationship Id="rId23" Type="http://schemas.openxmlformats.org/officeDocument/2006/relationships/header" Target="header4.xml"/><Relationship Id="rId119" Type="http://schemas.openxmlformats.org/officeDocument/2006/relationships/hyperlink" Target="http://www.mpo.cz/dokument83642.html" TargetMode="External"/><Relationship Id="rId270" Type="http://schemas.openxmlformats.org/officeDocument/2006/relationships/hyperlink" Target="https://www.czech-ba.cz/" TargetMode="External"/><Relationship Id="rId44" Type="http://schemas.openxmlformats.org/officeDocument/2006/relationships/footer" Target="footer14.xml"/><Relationship Id="rId60" Type="http://schemas.openxmlformats.org/officeDocument/2006/relationships/hyperlink" Target="http://www.strukturalni-fondy.cz/cs/Fondy-EU/2014-2020/Metodicke-pokyny/Metodika-rozvoje-lidskych-zdroju" TargetMode="External"/><Relationship Id="rId65" Type="http://schemas.openxmlformats.org/officeDocument/2006/relationships/hyperlink" Target="http://www.vlada.cz/cz/ppov/vvzpo/dokumenty/zprava-o-plneni-opatreni-narodniho-planu-vytvareni-rovnych-prilezitosti-pro-osoby-se-zdravotnim-postizenim-na-obdobi-2010-2014-v-roce-2012-110987/" TargetMode="External"/><Relationship Id="rId81" Type="http://schemas.openxmlformats.org/officeDocument/2006/relationships/hyperlink" Target="http://www.strukturalni-fondy.cz/cs/Fondy-EU/2014-2020/Metodicke-pokyny/Metodika-rozvoje-lidskych-zdroju" TargetMode="External"/><Relationship Id="rId86" Type="http://schemas.openxmlformats.org/officeDocument/2006/relationships/hyperlink" Target="http://eagri.cz/public/web/mze/farmar/registr-podpor-de-minimis/" TargetMode="External"/><Relationship Id="rId130" Type="http://schemas.openxmlformats.org/officeDocument/2006/relationships/hyperlink" Target="http://www.mpo.cz/dokument119071.html" TargetMode="External"/><Relationship Id="rId135" Type="http://schemas.openxmlformats.org/officeDocument/2006/relationships/hyperlink" Target="http://www.vlada.cz/assets/media-centrum/aktualne/Strategie-mezinarodni-konkurenceschopnosti-Ceske-republiky.pdf" TargetMode="External"/><Relationship Id="rId151" Type="http://schemas.openxmlformats.org/officeDocument/2006/relationships/hyperlink" Target="http://www.eru.cz/dias-browse_articles.php?parentId=91&amp;deep=off&amp;type=" TargetMode="External"/><Relationship Id="rId156" Type="http://schemas.openxmlformats.org/officeDocument/2006/relationships/hyperlink" Target="http://portal.gov.cz/app/zakony/zakonPar.jsp?idBiblio=49962&amp;fulltext=&amp;nr=458~2F2000&amp;part=&amp;name=&amp;rpp=15" TargetMode="External"/><Relationship Id="rId177" Type="http://schemas.openxmlformats.org/officeDocument/2006/relationships/hyperlink" Target="http://www.mdcr.cz/cs/default.htm" TargetMode="External"/><Relationship Id="rId198" Type="http://schemas.openxmlformats.org/officeDocument/2006/relationships/hyperlink" Target="http://www.mkcr.cz/" TargetMode="External"/><Relationship Id="rId172" Type="http://schemas.openxmlformats.org/officeDocument/2006/relationships/hyperlink" Target="http://www.mfcr.cz/cps/rde/xchg/" TargetMode="External"/><Relationship Id="rId193" Type="http://schemas.openxmlformats.org/officeDocument/2006/relationships/hyperlink" Target="http://www.asociacenno.cz/" TargetMode="External"/><Relationship Id="rId202" Type="http://schemas.openxmlformats.org/officeDocument/2006/relationships/hyperlink" Target="http://www.jic.cz/" TargetMode="External"/><Relationship Id="rId207" Type="http://schemas.openxmlformats.org/officeDocument/2006/relationships/hyperlink" Target="http://www.smocr.cz/" TargetMode="External"/><Relationship Id="rId223" Type="http://schemas.openxmlformats.org/officeDocument/2006/relationships/hyperlink" Target="http://www.komora.cz/" TargetMode="External"/><Relationship Id="rId228" Type="http://schemas.openxmlformats.org/officeDocument/2006/relationships/hyperlink" Target="http://www.scmvd.cz/" TargetMode="External"/><Relationship Id="rId244" Type="http://schemas.openxmlformats.org/officeDocument/2006/relationships/hyperlink" Target="http://apes.cz/" TargetMode="External"/><Relationship Id="rId249" Type="http://schemas.openxmlformats.org/officeDocument/2006/relationships/hyperlink" Target="http://www.tscr.cz/" TargetMode="External"/><Relationship Id="rId13" Type="http://schemas.openxmlformats.org/officeDocument/2006/relationships/image" Target="media/image5.emf"/><Relationship Id="rId18" Type="http://schemas.openxmlformats.org/officeDocument/2006/relationships/chart" Target="charts/chart4.xml"/><Relationship Id="rId39" Type="http://schemas.openxmlformats.org/officeDocument/2006/relationships/header" Target="header12.xml"/><Relationship Id="rId109" Type="http://schemas.openxmlformats.org/officeDocument/2006/relationships/hyperlink" Target="http://www.msmt.cz/strukturalni-fondy/ris3-strategie-cr" TargetMode="External"/><Relationship Id="rId260" Type="http://schemas.openxmlformats.org/officeDocument/2006/relationships/hyperlink" Target="http://www.ctu.cz/" TargetMode="External"/><Relationship Id="rId265" Type="http://schemas.openxmlformats.org/officeDocument/2006/relationships/hyperlink" Target="http://www.smocr.cz/" TargetMode="External"/><Relationship Id="rId34" Type="http://schemas.openxmlformats.org/officeDocument/2006/relationships/footer" Target="footer9.xml"/><Relationship Id="rId50" Type="http://schemas.openxmlformats.org/officeDocument/2006/relationships/header" Target="header17.xml"/><Relationship Id="rId55" Type="http://schemas.openxmlformats.org/officeDocument/2006/relationships/footer" Target="footer18.xml"/><Relationship Id="rId76" Type="http://schemas.openxmlformats.org/officeDocument/2006/relationships/hyperlink" Target="http://www.portal-vz.cz/cs/Jak-na-zadavani-verejnych-zakazek/Metodiky-stanoviska/Metodicke-pokyny" TargetMode="External"/><Relationship Id="rId97" Type="http://schemas.openxmlformats.org/officeDocument/2006/relationships/hyperlink" Target="http://portal.cenia.cz/eiasea/static/eia_legislativa" TargetMode="External"/><Relationship Id="rId104" Type="http://schemas.openxmlformats.org/officeDocument/2006/relationships/hyperlink" Target="http://portal.cenia.cz/eiasea/view/SEA100_koncepce" TargetMode="External"/><Relationship Id="rId120" Type="http://schemas.openxmlformats.org/officeDocument/2006/relationships/hyperlink" Target="http://www.mpo.cz/assets/cz/e-komunikace-a-posta/Internet/2013/4/Digi_esko_v.2.0.pdf" TargetMode="External"/><Relationship Id="rId125" Type="http://schemas.openxmlformats.org/officeDocument/2006/relationships/hyperlink" Target="http://www.mpo.cz/assets/cz/e-komunikace-a-posta/Internet/2013/4/Digi_esko_v.2.0.pdf" TargetMode="External"/><Relationship Id="rId141" Type="http://schemas.openxmlformats.org/officeDocument/2006/relationships/hyperlink" Target="http://portal.gov.cz/app/zakony/zakonPar.jsp?idBiblio=49857&amp;fulltext=&amp;nr=406~2F2000&amp;part=&amp;name=&amp;rpp=15" TargetMode="External"/><Relationship Id="rId146" Type="http://schemas.openxmlformats.org/officeDocument/2006/relationships/hyperlink" Target="http://portal.gov.cz/app/zakony/zakonPar.jsp?idBiblio=49857&amp;fulltext=&amp;nr=406~2F2000&amp;part=&amp;name=&amp;rpp=15" TargetMode="External"/><Relationship Id="rId167" Type="http://schemas.openxmlformats.org/officeDocument/2006/relationships/hyperlink" Target="http://www.vlada.cz/assets/evropske-zalezitosti/aktualne/NPR-2014.pdf" TargetMode="External"/><Relationship Id="rId188" Type="http://schemas.openxmlformats.org/officeDocument/2006/relationships/hyperlink" Target="http://www.smscr.cz/" TargetMode="External"/><Relationship Id="rId7" Type="http://schemas.openxmlformats.org/officeDocument/2006/relationships/endnotes" Target="endnotes.xml"/><Relationship Id="rId71" Type="http://schemas.openxmlformats.org/officeDocument/2006/relationships/hyperlink" Target="http://www.portal-vz.cz/cs/Jak-na-zadavani-verejnych-zakazek/Metodiky-stanoviska" TargetMode="External"/><Relationship Id="rId92" Type="http://schemas.openxmlformats.org/officeDocument/2006/relationships/hyperlink" Target="http://www.strukturalni-fondy.cz" TargetMode="External"/><Relationship Id="rId162" Type="http://schemas.openxmlformats.org/officeDocument/2006/relationships/hyperlink" Target="http://www.vlada.cz/assets/evropske-zalezitosti/aktualne/NPR-2014.pdf" TargetMode="External"/><Relationship Id="rId183" Type="http://schemas.openxmlformats.org/officeDocument/2006/relationships/hyperlink" Target="http://www.vyzkum.cz/FrontClanek.aspx?idsekce=496" TargetMode="External"/><Relationship Id="rId213" Type="http://schemas.openxmlformats.org/officeDocument/2006/relationships/hyperlink" Target="http://crc.muni.cz/" TargetMode="External"/><Relationship Id="rId218" Type="http://schemas.openxmlformats.org/officeDocument/2006/relationships/hyperlink" Target="http://www.mkcr.cz/" TargetMode="External"/><Relationship Id="rId234" Type="http://schemas.openxmlformats.org/officeDocument/2006/relationships/hyperlink" Target="http://www.praha.eu/jnp/cz/home/index.html" TargetMode="External"/><Relationship Id="rId239" Type="http://schemas.openxmlformats.org/officeDocument/2006/relationships/hyperlink" Target="http://www.smocr.cz/" TargetMode="External"/><Relationship Id="rId2" Type="http://schemas.openxmlformats.org/officeDocument/2006/relationships/numbering" Target="numbering.xml"/><Relationship Id="rId29" Type="http://schemas.openxmlformats.org/officeDocument/2006/relationships/header" Target="header7.xml"/><Relationship Id="rId250" Type="http://schemas.openxmlformats.org/officeDocument/2006/relationships/hyperlink" Target="http://www.csres.cz/" TargetMode="External"/><Relationship Id="rId255" Type="http://schemas.openxmlformats.org/officeDocument/2006/relationships/hyperlink" Target="http://www.smocr.cz/" TargetMode="External"/><Relationship Id="rId271" Type="http://schemas.openxmlformats.org/officeDocument/2006/relationships/hyperlink" Target="http://cmzrb.cz" TargetMode="External"/><Relationship Id="rId24" Type="http://schemas.openxmlformats.org/officeDocument/2006/relationships/footer" Target="footer4.xml"/><Relationship Id="rId40" Type="http://schemas.openxmlformats.org/officeDocument/2006/relationships/footer" Target="footer12.xml"/><Relationship Id="rId45" Type="http://schemas.openxmlformats.org/officeDocument/2006/relationships/header" Target="header15.xml"/><Relationship Id="rId66" Type="http://schemas.openxmlformats.org/officeDocument/2006/relationships/hyperlink" Target="http://www.strukturalni-fondy.cz/cs/Fondy-EU/2014-2020/Metodicke-pokyny/Metodika-rozvoje-lidskych-zdroju" TargetMode="External"/><Relationship Id="rId87" Type="http://schemas.openxmlformats.org/officeDocument/2006/relationships/hyperlink" Target="http://www.uohs.cz/cs/verejna-podpora/akuality-z-verejne-podpory.html" TargetMode="External"/><Relationship Id="rId110" Type="http://schemas.openxmlformats.org/officeDocument/2006/relationships/hyperlink" Target="http://www.msmt.cz/strukturalni-fondy/ris3-strategie-cr" TargetMode="External"/><Relationship Id="rId115" Type="http://schemas.openxmlformats.org/officeDocument/2006/relationships/hyperlink" Target="http://databaze-strategie.cz/cz/mv/strategie/strategicky-ramec-rozvoje-verejne-spravy-ceske-republiky-pro-obdobi-2014-2020" TargetMode="External"/><Relationship Id="rId131" Type="http://schemas.openxmlformats.org/officeDocument/2006/relationships/hyperlink" Target="http://www.mpo.cz/assets/cz/e-komunikace-a-posta/Internet/2013/4/Digi_esko_v.2.0.pdf" TargetMode="External"/><Relationship Id="rId136" Type="http://schemas.openxmlformats.org/officeDocument/2006/relationships/hyperlink" Target="http://www.vlada.cz/assets/evropske-zalezitosti/aktualne/NPR-2014.pdf" TargetMode="External"/><Relationship Id="rId157" Type="http://schemas.openxmlformats.org/officeDocument/2006/relationships/hyperlink" Target="http://portal.gov.cz/app/zakony/zakonPar.jsp?idBiblio=49962&amp;fulltext=&amp;nr=458~2F2000&amp;part=&amp;name=&amp;rpp=15" TargetMode="External"/><Relationship Id="rId178" Type="http://schemas.openxmlformats.org/officeDocument/2006/relationships/hyperlink" Target="http://czechinvest.org/" TargetMode="External"/><Relationship Id="rId61" Type="http://schemas.openxmlformats.org/officeDocument/2006/relationships/hyperlink" Target="http://www.ochrance.cz/en/discrimination/" TargetMode="External"/><Relationship Id="rId82" Type="http://schemas.openxmlformats.org/officeDocument/2006/relationships/hyperlink" Target="http://www.strukturalni-fondy.cz/getmedia/6e797383-75f7-4dcb-b10b-9c4301670366/Metodicky-pokyn-k-rozvoji-lidskych-zdroju-v-programovem-obdobi-2014-2020-a-v-programovem-obdobi-2007-2013.pdf" TargetMode="External"/><Relationship Id="rId152" Type="http://schemas.openxmlformats.org/officeDocument/2006/relationships/hyperlink" Target="http://portal.gov.cz/app/zakony/zakonPar.jsp?idBiblio=77573&amp;fulltext=&amp;nr=165~2F2012&amp;part=&amp;name=&amp;rpp=15" TargetMode="External"/><Relationship Id="rId173" Type="http://schemas.openxmlformats.org/officeDocument/2006/relationships/hyperlink" Target="http://mzp.cz/" TargetMode="External"/><Relationship Id="rId194" Type="http://schemas.openxmlformats.org/officeDocument/2006/relationships/hyperlink" Target="http://nsmascr.cz/o-nas/mistni-akncni-skupiny/" TargetMode="External"/><Relationship Id="rId199" Type="http://schemas.openxmlformats.org/officeDocument/2006/relationships/hyperlink" Target="http://www.mdcr.cz/cs/default.htm" TargetMode="External"/><Relationship Id="rId203" Type="http://schemas.openxmlformats.org/officeDocument/2006/relationships/hyperlink" Target="http://www.komora.cz/" TargetMode="External"/><Relationship Id="rId208" Type="http://schemas.openxmlformats.org/officeDocument/2006/relationships/hyperlink" Target="http://www.avo.cz/" TargetMode="External"/><Relationship Id="rId229" Type="http://schemas.openxmlformats.org/officeDocument/2006/relationships/hyperlink" Target="http://www.amsp.cz/" TargetMode="External"/><Relationship Id="rId19" Type="http://schemas.openxmlformats.org/officeDocument/2006/relationships/image" Target="media/image7.png"/><Relationship Id="rId224" Type="http://schemas.openxmlformats.org/officeDocument/2006/relationships/hyperlink" Target="http://www.cmzrb.cz/" TargetMode="External"/><Relationship Id="rId240" Type="http://schemas.openxmlformats.org/officeDocument/2006/relationships/hyperlink" Target="http://www.spds.cz/" TargetMode="External"/><Relationship Id="rId245" Type="http://schemas.openxmlformats.org/officeDocument/2006/relationships/hyperlink" Target="http://www.oze.cz/" TargetMode="External"/><Relationship Id="rId261" Type="http://schemas.openxmlformats.org/officeDocument/2006/relationships/hyperlink" Target="http://www.vse.cz/" TargetMode="External"/><Relationship Id="rId266" Type="http://schemas.openxmlformats.org/officeDocument/2006/relationships/hyperlink" Target="https://www.czech-ba.cz/" TargetMode="External"/><Relationship Id="rId14" Type="http://schemas.openxmlformats.org/officeDocument/2006/relationships/chart" Target="charts/chart1.xml"/><Relationship Id="rId30" Type="http://schemas.openxmlformats.org/officeDocument/2006/relationships/footer" Target="footer7.xml"/><Relationship Id="rId35" Type="http://schemas.openxmlformats.org/officeDocument/2006/relationships/header" Target="header10.xml"/><Relationship Id="rId56" Type="http://schemas.openxmlformats.org/officeDocument/2006/relationships/header" Target="header19.xml"/><Relationship Id="rId77" Type="http://schemas.openxmlformats.org/officeDocument/2006/relationships/hyperlink" Target="http://www.vestnikverejnychzakazek.cz/" TargetMode="External"/><Relationship Id="rId100" Type="http://schemas.openxmlformats.org/officeDocument/2006/relationships/hyperlink" Target="http://portal.cenia.cz/eiasea/view/eia100_cr" TargetMode="External"/><Relationship Id="rId105" Type="http://schemas.openxmlformats.org/officeDocument/2006/relationships/hyperlink" Target="http://portal.cenia.cz/eiasea/osoby/osoby" TargetMode="External"/><Relationship Id="rId126" Type="http://schemas.openxmlformats.org/officeDocument/2006/relationships/hyperlink" Target="http://www.mpo.cz/dokument119071.html" TargetMode="External"/><Relationship Id="rId147" Type="http://schemas.openxmlformats.org/officeDocument/2006/relationships/hyperlink" Target="http://portal.gov.cz/app/zakony/zakonPar.jsp?idBiblio=49962&amp;fulltext=&amp;nr=458~2F2000&amp;part=&amp;name=&amp;rpp=15" TargetMode="External"/><Relationship Id="rId168" Type="http://schemas.openxmlformats.org/officeDocument/2006/relationships/hyperlink" Target="http://www.esfcr.cz/file/8938/" TargetMode="Externa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hyperlink" Target="http://www.portal-vz.cz/cs/Jak-na-zadavani-verejnych-zakazek/Metodiky-stanoviska/Stanoviska/Stanoviska-expertni-skupiny-MMR-k-ZVZ" TargetMode="External"/><Relationship Id="rId93" Type="http://schemas.openxmlformats.org/officeDocument/2006/relationships/hyperlink" Target="http://www.compet.cz" TargetMode="External"/><Relationship Id="rId98" Type="http://schemas.openxmlformats.org/officeDocument/2006/relationships/hyperlink" Target="http://www.mzp.cz/cz/posuzovani_vlivu_zivotni_prostredi" TargetMode="External"/><Relationship Id="rId121" Type="http://schemas.openxmlformats.org/officeDocument/2006/relationships/hyperlink" Target="http://www.mpo.cz/dokument119071.html" TargetMode="External"/><Relationship Id="rId142" Type="http://schemas.openxmlformats.org/officeDocument/2006/relationships/hyperlink" Target="http://portal.gov.cz/app/zakony/zakonPar.jsp?idBiblio=78282&amp;fulltext=&amp;nr=318~2F2012&amp;part=&amp;name=&amp;rpp=15" TargetMode="External"/><Relationship Id="rId163" Type="http://schemas.openxmlformats.org/officeDocument/2006/relationships/hyperlink" Target="http://www.mpo.cz/dokument144140.html" TargetMode="External"/><Relationship Id="rId184" Type="http://schemas.openxmlformats.org/officeDocument/2006/relationships/hyperlink" Target="http://www.spcr.cz/" TargetMode="External"/><Relationship Id="rId189" Type="http://schemas.openxmlformats.org/officeDocument/2006/relationships/hyperlink" Target="http://www.cmkos.cz/" TargetMode="External"/><Relationship Id="rId219" Type="http://schemas.openxmlformats.org/officeDocument/2006/relationships/hyperlink" Target="http://www.mpsv.cz/cs/" TargetMode="External"/><Relationship Id="rId3" Type="http://schemas.openxmlformats.org/officeDocument/2006/relationships/styles" Target="styles.xml"/><Relationship Id="rId214" Type="http://schemas.openxmlformats.org/officeDocument/2006/relationships/hyperlink" Target="http://www.utb.cz/" TargetMode="External"/><Relationship Id="rId230" Type="http://schemas.openxmlformats.org/officeDocument/2006/relationships/hyperlink" Target="http://www.aipcr.cz/" TargetMode="External"/><Relationship Id="rId235" Type="http://schemas.openxmlformats.org/officeDocument/2006/relationships/hyperlink" Target="http://www.komora.cz/" TargetMode="External"/><Relationship Id="rId251" Type="http://schemas.openxmlformats.org/officeDocument/2006/relationships/hyperlink" Target="http://www.sanceprobudovy.cz/cs.html?start=20" TargetMode="External"/><Relationship Id="rId256" Type="http://schemas.openxmlformats.org/officeDocument/2006/relationships/hyperlink" Target="http://www.socr.cz/" TargetMode="External"/><Relationship Id="rId25" Type="http://schemas.openxmlformats.org/officeDocument/2006/relationships/header" Target="header5.xml"/><Relationship Id="rId46" Type="http://schemas.openxmlformats.org/officeDocument/2006/relationships/footer" Target="footer15.xml"/><Relationship Id="rId67" Type="http://schemas.openxmlformats.org/officeDocument/2006/relationships/hyperlink" Target="http://www.vlada.cz/cz/ppov/vvzpo/dokumenty/narodni-plan-vytvareni-rovnych-prilezitosti-pro-osoby-se-zdravotnim-postizenim-na-obdobi-2010---2014-70026/" TargetMode="External"/><Relationship Id="rId116" Type="http://schemas.openxmlformats.org/officeDocument/2006/relationships/hyperlink" Target="http://www.msmt.cz/uploads/OP_VVV/Narodni_RIS3_strategie_schvalena_vladou_8._12._2014.pdf" TargetMode="External"/><Relationship Id="rId137" Type="http://schemas.openxmlformats.org/officeDocument/2006/relationships/hyperlink" Target="http://www.mpo.cz/dokument144140.html" TargetMode="External"/><Relationship Id="rId158" Type="http://schemas.openxmlformats.org/officeDocument/2006/relationships/hyperlink" Target="http://portal.gov.cz/app/zakony/zakonPar.jsp?idBiblio=49962&amp;fulltext=&amp;nr=458~2F2000&amp;part=&amp;name=&amp;rpp=15" TargetMode="External"/><Relationship Id="rId272" Type="http://schemas.openxmlformats.org/officeDocument/2006/relationships/header" Target="header21.xml"/><Relationship Id="rId20" Type="http://schemas.openxmlformats.org/officeDocument/2006/relationships/image" Target="media/image8.png"/><Relationship Id="rId41" Type="http://schemas.openxmlformats.org/officeDocument/2006/relationships/header" Target="header13.xml"/><Relationship Id="rId62" Type="http://schemas.openxmlformats.org/officeDocument/2006/relationships/hyperlink" Target="http://www.mpsv.cz/cs/12152" TargetMode="External"/><Relationship Id="rId83" Type="http://schemas.openxmlformats.org/officeDocument/2006/relationships/hyperlink" Target="http://www.uohs.cz/cs/legislativa/verejna-podpora.html" TargetMode="External"/><Relationship Id="rId88" Type="http://schemas.openxmlformats.org/officeDocument/2006/relationships/hyperlink" Target="http://www.vzdelavaninsrr.cz/" TargetMode="External"/><Relationship Id="rId111" Type="http://schemas.openxmlformats.org/officeDocument/2006/relationships/hyperlink" Target="http://www.mpo.cz/dokument83642.html" TargetMode="External"/><Relationship Id="rId132" Type="http://schemas.openxmlformats.org/officeDocument/2006/relationships/hyperlink" Target="http://www.mpo.cz/assets/cz/e-komunikace-a-posta/Internet/2013/4/Digi_esko_v.2.0.pdf" TargetMode="External"/><Relationship Id="rId153" Type="http://schemas.openxmlformats.org/officeDocument/2006/relationships/hyperlink" Target="http://www.eru.cz/dias-browse_articles.php?parentId=384&amp;deep=off&amp;type=" TargetMode="External"/><Relationship Id="rId174" Type="http://schemas.openxmlformats.org/officeDocument/2006/relationships/hyperlink" Target="http://www.mpsv.cz/cs/" TargetMode="External"/><Relationship Id="rId179" Type="http://schemas.openxmlformats.org/officeDocument/2006/relationships/hyperlink" Target="http://www.komora.cz/" TargetMode="External"/><Relationship Id="rId195" Type="http://schemas.openxmlformats.org/officeDocument/2006/relationships/hyperlink" Target="http://www.czso.cz/" TargetMode="External"/><Relationship Id="rId209" Type="http://schemas.openxmlformats.org/officeDocument/2006/relationships/hyperlink" Target="http://www.aipcr.cz/" TargetMode="External"/><Relationship Id="rId190" Type="http://schemas.openxmlformats.org/officeDocument/2006/relationships/hyperlink" Target="http://www.kzps.cz/" TargetMode="External"/><Relationship Id="rId204" Type="http://schemas.openxmlformats.org/officeDocument/2006/relationships/hyperlink" Target="http://www.pkcr.cz/" TargetMode="External"/><Relationship Id="rId220" Type="http://schemas.openxmlformats.org/officeDocument/2006/relationships/hyperlink" Target="http://www.mdcr.cz/cs/default.htm" TargetMode="External"/><Relationship Id="rId225" Type="http://schemas.openxmlformats.org/officeDocument/2006/relationships/hyperlink" Target="http://www.spcr.cz/" TargetMode="External"/><Relationship Id="rId241" Type="http://schemas.openxmlformats.org/officeDocument/2006/relationships/hyperlink" Target="http://www.amsp.cz/" TargetMode="External"/><Relationship Id="rId246" Type="http://schemas.openxmlformats.org/officeDocument/2006/relationships/hyperlink" Target="http://www.asvep.cz/" TargetMode="External"/><Relationship Id="rId267" Type="http://schemas.openxmlformats.org/officeDocument/2006/relationships/hyperlink" Target="http://www.cvca.cz" TargetMode="External"/><Relationship Id="rId15" Type="http://schemas.openxmlformats.org/officeDocument/2006/relationships/chart" Target="charts/chart2.xml"/><Relationship Id="rId36" Type="http://schemas.openxmlformats.org/officeDocument/2006/relationships/footer" Target="footer10.xml"/><Relationship Id="rId57" Type="http://schemas.openxmlformats.org/officeDocument/2006/relationships/footer" Target="footer19.xml"/><Relationship Id="rId106" Type="http://schemas.openxmlformats.org/officeDocument/2006/relationships/hyperlink" Target="http://www.s-f.cz/cs/Fondy-EU/2014-2020/Metodicke-pokyny" TargetMode="External"/><Relationship Id="rId127" Type="http://schemas.openxmlformats.org/officeDocument/2006/relationships/hyperlink" Target="http://www.czso.cz/csu/redakce.nsf/i/informacni_ekonomika" TargetMode="External"/><Relationship Id="rId262" Type="http://schemas.openxmlformats.org/officeDocument/2006/relationships/hyperlink" Target="http://www.praha.eu/jnp/cz/home/index.html" TargetMode="Externa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image" Target="media/image9.png"/><Relationship Id="rId73" Type="http://schemas.openxmlformats.org/officeDocument/2006/relationships/hyperlink" Target="http://www.portal-vz.cz/cs/Aktuality" TargetMode="External"/><Relationship Id="rId78" Type="http://schemas.openxmlformats.org/officeDocument/2006/relationships/hyperlink" Target="http://www.portal-vz.cz/cs/Aktuality/Informace-k-postupu-pri-uverejnovani-v-souvislosti" TargetMode="External"/><Relationship Id="rId94" Type="http://schemas.openxmlformats.org/officeDocument/2006/relationships/hyperlink" Target="http://www.mze.cz" TargetMode="External"/><Relationship Id="rId99" Type="http://schemas.openxmlformats.org/officeDocument/2006/relationships/hyperlink" Target="http://portal.cenia.cz/eiasea/view/eia100_cr" TargetMode="External"/><Relationship Id="rId101" Type="http://schemas.openxmlformats.org/officeDocument/2006/relationships/hyperlink" Target="http://portal.cenia.cz/eiasea/view/SEA100_koncepce" TargetMode="External"/><Relationship Id="rId122" Type="http://schemas.openxmlformats.org/officeDocument/2006/relationships/hyperlink" Target="http://www.mpo.cz/assets/cz/e-komunikace-a-posta/Internet/2013/4/Digi_esko_v.2.0.pdf" TargetMode="External"/><Relationship Id="rId143" Type="http://schemas.openxmlformats.org/officeDocument/2006/relationships/hyperlink" Target="http://portal.gov.cz/app/zakony/zakonPar.jsp?idBiblio=49857&amp;fulltext=&amp;nr=406~2F2000&amp;part=&amp;name=&amp;rpp=15" TargetMode="External"/><Relationship Id="rId148" Type="http://schemas.openxmlformats.org/officeDocument/2006/relationships/hyperlink" Target="http://www.eru.cz/dias-browse_articles.php?parentId=91&amp;deep=off&amp;type=" TargetMode="External"/><Relationship Id="rId164" Type="http://schemas.openxmlformats.org/officeDocument/2006/relationships/hyperlink" Target="http://www.mpo.cz/dokument144140.html" TargetMode="External"/><Relationship Id="rId169" Type="http://schemas.openxmlformats.org/officeDocument/2006/relationships/header" Target="header20.xml"/><Relationship Id="rId185" Type="http://schemas.openxmlformats.org/officeDocument/2006/relationships/hyperlink" Target="http://www.socr.cz/"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pkcr.cz/" TargetMode="External"/><Relationship Id="rId210" Type="http://schemas.openxmlformats.org/officeDocument/2006/relationships/hyperlink" Target="http://www.amsp.cz/" TargetMode="External"/><Relationship Id="rId215" Type="http://schemas.openxmlformats.org/officeDocument/2006/relationships/hyperlink" Target="http://nsmascr.cz/o-nas/mistni-akncni-skupiny/" TargetMode="External"/><Relationship Id="rId236" Type="http://schemas.openxmlformats.org/officeDocument/2006/relationships/hyperlink" Target="http://www.pkcr.cz/" TargetMode="External"/><Relationship Id="rId257" Type="http://schemas.openxmlformats.org/officeDocument/2006/relationships/hyperlink" Target="http://www.amsp.cz/" TargetMode="External"/><Relationship Id="rId26" Type="http://schemas.openxmlformats.org/officeDocument/2006/relationships/footer" Target="footer5.xml"/><Relationship Id="rId231" Type="http://schemas.openxmlformats.org/officeDocument/2006/relationships/hyperlink" Target="http://www.asociacenno.cz/" TargetMode="External"/><Relationship Id="rId252" Type="http://schemas.openxmlformats.org/officeDocument/2006/relationships/hyperlink" Target="http://www.praha.eu/jnp/cz/home/index.html" TargetMode="External"/><Relationship Id="rId273" Type="http://schemas.openxmlformats.org/officeDocument/2006/relationships/footer" Target="footer21.xml"/><Relationship Id="rId47" Type="http://schemas.openxmlformats.org/officeDocument/2006/relationships/hyperlink" Target="http://eur-lex.europa.eu/LexUriServ/LexUriServ.do?uri=CONSLEG:2006R1828:20091013:EN:HTML" TargetMode="External"/><Relationship Id="rId68" Type="http://schemas.openxmlformats.org/officeDocument/2006/relationships/hyperlink" Target="http://www.portal-vz.cz/cs/Jak-na-zadavani-verejnych-zakazek/Legislativa-a-Judikatura/Legislativa/Narodni-legislativa-aktualni-a-uplne-zneni-z-(1)" TargetMode="External"/><Relationship Id="rId89" Type="http://schemas.openxmlformats.org/officeDocument/2006/relationships/hyperlink" Target="http://www.strukturalni-fondy.cz" TargetMode="External"/><Relationship Id="rId112" Type="http://schemas.openxmlformats.org/officeDocument/2006/relationships/hyperlink" Target="http://www.mpo.cz/assets/cz/e-komunikace-a-posta/Internet/2013/4/Digi_esko_v.2.0.pdf" TargetMode="External"/><Relationship Id="rId133" Type="http://schemas.openxmlformats.org/officeDocument/2006/relationships/hyperlink" Target="http://www.mpo.cz/dokument83642.html" TargetMode="External"/><Relationship Id="rId154" Type="http://schemas.openxmlformats.org/officeDocument/2006/relationships/hyperlink" Target="http://databaze-strategie.cz/cz/mpo/strategie/narodni-akcni-plan-cr-pro-energii-z-obnovitelnych-zdroju-2010-2020" TargetMode="External"/><Relationship Id="rId175" Type="http://schemas.openxmlformats.org/officeDocument/2006/relationships/hyperlink" Target="http://www.msmt.cz/" TargetMode="External"/><Relationship Id="rId196" Type="http://schemas.openxmlformats.org/officeDocument/2006/relationships/hyperlink" Target="http://www.praha.eu/jnp/cz/home/index.html" TargetMode="External"/><Relationship Id="rId200" Type="http://schemas.openxmlformats.org/officeDocument/2006/relationships/hyperlink" Target="http://tacr.cz/" TargetMode="External"/><Relationship Id="rId16" Type="http://schemas.openxmlformats.org/officeDocument/2006/relationships/chart" Target="charts/chart3.xml"/><Relationship Id="rId221" Type="http://schemas.openxmlformats.org/officeDocument/2006/relationships/hyperlink" Target="http://www.jic.cz/" TargetMode="External"/><Relationship Id="rId242" Type="http://schemas.openxmlformats.org/officeDocument/2006/relationships/hyperlink" Target="http://www.asociacenno.cz/" TargetMode="External"/><Relationship Id="rId263" Type="http://schemas.openxmlformats.org/officeDocument/2006/relationships/hyperlink" Target="http://www.vlada.cz/cz/ppov/ekonomicka-rada/narodni-ekonomicka-rada-vlady-51371/" TargetMode="External"/><Relationship Id="rId37" Type="http://schemas.openxmlformats.org/officeDocument/2006/relationships/header" Target="header11.xml"/><Relationship Id="rId58" Type="http://schemas.openxmlformats.org/officeDocument/2006/relationships/hyperlink" Target="http://www.ochrance.cz/en/discrimination/" TargetMode="External"/><Relationship Id="rId79" Type="http://schemas.openxmlformats.org/officeDocument/2006/relationships/hyperlink" Target="http://www.portal-vz.cz/cs/Spoluprace-a-vymena-informaci/Info-forum/Otazky-a-odpovedi" TargetMode="External"/><Relationship Id="rId102" Type="http://schemas.openxmlformats.org/officeDocument/2006/relationships/hyperlink" Target="http://www.mzp.cz/cz/posuzovani_vlivu_zivotni_prostredi" TargetMode="External"/><Relationship Id="rId123" Type="http://schemas.openxmlformats.org/officeDocument/2006/relationships/hyperlink" Target="http://www.mvcr.cz/odk2/clanek/odbor-verejne-spravy-dozoru-a-kontroly.aspx?q=Y2hudW09OQ%3d%3d" TargetMode="External"/><Relationship Id="rId144" Type="http://schemas.openxmlformats.org/officeDocument/2006/relationships/hyperlink" Target="http://portal.gov.cz/app/zakony/zakonPar.jsp?idBiblio=78282&amp;fulltext=&amp;nr=318~2F2012&amp;part=&amp;name=&amp;rpp=15" TargetMode="External"/><Relationship Id="rId90" Type="http://schemas.openxmlformats.org/officeDocument/2006/relationships/hyperlink" Target="http://www.strukturalni-fondy.cz/cs/Fondy-EU/2014-2020/Metodicke-pokyny/Metodika-rozvoje-lidskych-zdroju" TargetMode="External"/><Relationship Id="rId165" Type="http://schemas.openxmlformats.org/officeDocument/2006/relationships/hyperlink" Target="http://www.vlada.cz/assets/media-centrum/aktualne/Strategie-mezinarodni-konkurenceschopnosti-Ceske-republiky.pdf" TargetMode="External"/><Relationship Id="rId186" Type="http://schemas.openxmlformats.org/officeDocument/2006/relationships/hyperlink" Target="http://www.sps.cz/index.ASP" TargetMode="External"/><Relationship Id="rId211" Type="http://schemas.openxmlformats.org/officeDocument/2006/relationships/hyperlink" Target="http://www.asociacenno.cz/" TargetMode="External"/><Relationship Id="rId232" Type="http://schemas.openxmlformats.org/officeDocument/2006/relationships/hyperlink" Target="http://nsmascr.cz/o-nas/mistni-akncni-skupiny/" TargetMode="External"/><Relationship Id="rId253" Type="http://schemas.openxmlformats.org/officeDocument/2006/relationships/hyperlink" Target="http://www.mdcr.cz/cs/default.htm" TargetMode="External"/><Relationship Id="rId274" Type="http://schemas.openxmlformats.org/officeDocument/2006/relationships/fontTable" Target="fontTable.xml"/><Relationship Id="rId27" Type="http://schemas.openxmlformats.org/officeDocument/2006/relationships/header" Target="header6.xml"/><Relationship Id="rId48" Type="http://schemas.openxmlformats.org/officeDocument/2006/relationships/header" Target="header16.xml"/><Relationship Id="rId69" Type="http://schemas.openxmlformats.org/officeDocument/2006/relationships/hyperlink" Target="http://www.portal-vz.cz/cs/Jak-na-zadavani-verejnych-zakazek/Metodiky-stanoviska" TargetMode="External"/><Relationship Id="rId113" Type="http://schemas.openxmlformats.org/officeDocument/2006/relationships/hyperlink" Target="http://www.mpo.cz/dokument119071.html" TargetMode="External"/><Relationship Id="rId134" Type="http://schemas.openxmlformats.org/officeDocument/2006/relationships/hyperlink" Target="http://www.mpo.cz/assets/cz/e-komunikace-a-posta/Internet/2013/4/Digi_esko_v.2.0.pdf" TargetMode="External"/><Relationship Id="rId80" Type="http://schemas.openxmlformats.org/officeDocument/2006/relationships/hyperlink" Target="http://www.mmr.cz/cs/Verejne-zakazky/Verejne-zakazky-a-PPP/Informace-Udalosti/Konference-Pripravovane-zmeny-v-oblasti-verejneho%20" TargetMode="External"/><Relationship Id="rId155" Type="http://schemas.openxmlformats.org/officeDocument/2006/relationships/hyperlink" Target="http://portal.gov.cz/app/zakony/zakonPar.jsp?idBiblio=49962&amp;fulltext=&amp;nr=458~2F2000&amp;part=&amp;name=&amp;rpp=15" TargetMode="External"/><Relationship Id="rId176" Type="http://schemas.openxmlformats.org/officeDocument/2006/relationships/hyperlink" Target="http://eagri.cz/public/web/mze/ministerstvo-zemedelstvi/" TargetMode="External"/><Relationship Id="rId197" Type="http://schemas.openxmlformats.org/officeDocument/2006/relationships/hyperlink" Target="http://www.msmt.cz/" TargetMode="External"/><Relationship Id="rId201" Type="http://schemas.openxmlformats.org/officeDocument/2006/relationships/hyperlink" Target="http://www.tc.cz/cs/" TargetMode="External"/><Relationship Id="rId222" Type="http://schemas.openxmlformats.org/officeDocument/2006/relationships/hyperlink" Target="http://tacr.cz/" TargetMode="External"/><Relationship Id="rId243" Type="http://schemas.openxmlformats.org/officeDocument/2006/relationships/hyperlink" Target="http://adtt.cz/" TargetMode="External"/><Relationship Id="rId264" Type="http://schemas.openxmlformats.org/officeDocument/2006/relationships/hyperlink" Target="http://www.cmzrb.cz/" TargetMode="External"/><Relationship Id="rId17" Type="http://schemas.openxmlformats.org/officeDocument/2006/relationships/image" Target="media/image6.png"/><Relationship Id="rId38" Type="http://schemas.openxmlformats.org/officeDocument/2006/relationships/footer" Target="footer11.xml"/><Relationship Id="rId59" Type="http://schemas.openxmlformats.org/officeDocument/2006/relationships/hyperlink" Target="http://www.vlada.cz/cz/ppov/zmocnenec-vlady-pro-lidska-prava/organizace-sekce-lp/organizace-sekce-lidskych-prav-107606/" TargetMode="External"/><Relationship Id="rId103" Type="http://schemas.openxmlformats.org/officeDocument/2006/relationships/hyperlink" Target="http://portal.cenia.cz/eiasea/view/eia100_cr" TargetMode="External"/><Relationship Id="rId124" Type="http://schemas.openxmlformats.org/officeDocument/2006/relationships/hyperlink" Target="http://databaze-strategie.cz/cz/mv/strategie/strategicky-ramec-rozvoje-verejne-spravy-ceske-republiky-pro-obdobi-2014-2020" TargetMode="External"/><Relationship Id="rId70" Type="http://schemas.openxmlformats.org/officeDocument/2006/relationships/hyperlink" Target="http://www.strukturalni-fondy.cz/cs/Fondy-EU/Narodni-organ-pro-koordinaci/Dokumenty" TargetMode="External"/><Relationship Id="rId91" Type="http://schemas.openxmlformats.org/officeDocument/2006/relationships/hyperlink" Target="http://www.uohs.cz/cs/verejna-podpora.html" TargetMode="External"/><Relationship Id="rId145" Type="http://schemas.openxmlformats.org/officeDocument/2006/relationships/hyperlink" Target="http://ec.europa.eu/energy/efficiency/eed/reporting_en.htm" TargetMode="External"/><Relationship Id="rId166" Type="http://schemas.openxmlformats.org/officeDocument/2006/relationships/hyperlink" Target="http://www.mpo.cz/dokument119071.html" TargetMode="External"/><Relationship Id="rId187" Type="http://schemas.openxmlformats.org/officeDocument/2006/relationships/hyperlink" Target="http://www.smocr.cz/" TargetMode="External"/><Relationship Id="rId1" Type="http://schemas.openxmlformats.org/officeDocument/2006/relationships/customXml" Target="../customXml/item1.xml"/><Relationship Id="rId212" Type="http://schemas.openxmlformats.org/officeDocument/2006/relationships/hyperlink" Target="http://www.kzps.cz/" TargetMode="External"/><Relationship Id="rId233" Type="http://schemas.openxmlformats.org/officeDocument/2006/relationships/hyperlink" Target="http://fpvs.cz/" TargetMode="External"/><Relationship Id="rId254" Type="http://schemas.openxmlformats.org/officeDocument/2006/relationships/hyperlink" Target="http://www.spcr.cz/" TargetMode="External"/><Relationship Id="rId28" Type="http://schemas.openxmlformats.org/officeDocument/2006/relationships/footer" Target="footer6.xml"/><Relationship Id="rId49" Type="http://schemas.openxmlformats.org/officeDocument/2006/relationships/footer" Target="footer16.xml"/><Relationship Id="rId114" Type="http://schemas.openxmlformats.org/officeDocument/2006/relationships/hyperlink" Target="http://www.mvcr.cz/odk2/clanek/odbor-verejne-spravy-dozoru-a-kontroly.aspx?q=Y2hudW09OQ%3d%3d" TargetMode="External"/><Relationship Id="rId27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oecd.org/science/inno/236758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pvhome\home$\ptacnik\Dokumenty\OPPIK%202014+\MPO\p&#345;&#237;prava%20OPPIK\Programov&#253;%20dokument%20OP%20PIK\analytick&#233;%20podklady%20OPPIK\energetick&#225;%20n&#225;ro&#269;nost%20-%20graf.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tacnik\AppData\Local\Microsoft\Windows\Temporary%20Internet%20Files\Content.Outlook\UGP2BF1L\souhrnna_zprava_kvalita_cez_2013-v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tacnik\AppData\Local\Microsoft\Windows\Temporary%20Internet%20Files\Content.Outlook\UGP2BF1L\souhrnna_zprava_kvalita_cez_2013-v1.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pvhome\home$\ptacnik\Dokumenty\OPPIK%202014+\MPO\p&#345;&#237;prava%20OPPIK\Programov&#253;%20dokument%20OP%20PIK\analytick&#233;%20podklady%20OPPIK\KVET%20-%20graf.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accent3">
                    <a:lumMod val="50000"/>
                  </a:schemeClr>
                </a:gs>
                <a:gs pos="50000">
                  <a:schemeClr val="accent3">
                    <a:lumMod val="75000"/>
                  </a:schemeClr>
                </a:gs>
                <a:gs pos="100000">
                  <a:schemeClr val="accent3">
                    <a:lumMod val="40000"/>
                    <a:lumOff val="60000"/>
                  </a:schemeClr>
                </a:gs>
              </a:gsLst>
              <a:path path="circle">
                <a:fillToRect l="100000" t="100000"/>
              </a:path>
            </a:gradFill>
            <a:ln>
              <a:solidFill>
                <a:schemeClr val="accent3">
                  <a:lumMod val="50000"/>
                </a:schemeClr>
              </a:solidFill>
              <a:prstDash val="solid"/>
            </a:ln>
          </c:spPr>
          <c:invertIfNegative val="0"/>
          <c:dPt>
            <c:idx val="3"/>
            <c:invertIfNegative val="0"/>
            <c:bubble3D val="0"/>
            <c:spPr>
              <a:gradFill>
                <a:gsLst>
                  <a:gs pos="0">
                    <a:schemeClr val="accent3">
                      <a:lumMod val="50000"/>
                    </a:schemeClr>
                  </a:gs>
                  <a:gs pos="50000">
                    <a:schemeClr val="accent3">
                      <a:lumMod val="75000"/>
                    </a:schemeClr>
                  </a:gs>
                  <a:gs pos="100000">
                    <a:schemeClr val="accent3">
                      <a:lumMod val="40000"/>
                      <a:lumOff val="60000"/>
                    </a:schemeClr>
                  </a:gs>
                </a:gsLst>
                <a:path path="circle">
                  <a:fillToRect l="100000" t="100000"/>
                </a:path>
              </a:gradFill>
              <a:ln>
                <a:solidFill>
                  <a:srgbClr val="FF0000"/>
                </a:solidFill>
                <a:prstDash val="solid"/>
              </a:ln>
            </c:spPr>
          </c:dPt>
          <c:dPt>
            <c:idx val="17"/>
            <c:invertIfNegative val="0"/>
            <c:bubble3D val="0"/>
            <c:spPr>
              <a:gradFill>
                <a:gsLst>
                  <a:gs pos="0">
                    <a:schemeClr val="accent3">
                      <a:lumMod val="50000"/>
                    </a:schemeClr>
                  </a:gs>
                  <a:gs pos="50000">
                    <a:schemeClr val="accent3">
                      <a:lumMod val="75000"/>
                    </a:schemeClr>
                  </a:gs>
                  <a:gs pos="100000">
                    <a:schemeClr val="accent3">
                      <a:lumMod val="40000"/>
                      <a:lumOff val="60000"/>
                    </a:schemeClr>
                  </a:gs>
                </a:gsLst>
                <a:path path="circle">
                  <a:fillToRect l="100000" t="100000"/>
                </a:path>
              </a:gradFill>
              <a:ln>
                <a:solidFill>
                  <a:schemeClr val="accent3">
                    <a:lumMod val="50000"/>
                  </a:schemeClr>
                </a:solidFill>
              </a:ln>
            </c:spPr>
          </c:dPt>
          <c:dPt>
            <c:idx val="19"/>
            <c:invertIfNegative val="0"/>
            <c:bubble3D val="0"/>
            <c:spPr>
              <a:solidFill>
                <a:schemeClr val="accent3">
                  <a:lumMod val="50000"/>
                </a:schemeClr>
              </a:solidFill>
              <a:ln>
                <a:solidFill>
                  <a:schemeClr val="accent3">
                    <a:lumMod val="50000"/>
                  </a:schemeClr>
                </a:solidFill>
                <a:prstDash val="solid"/>
              </a:ln>
            </c:spPr>
          </c:dPt>
          <c:cat>
            <c:strRef>
              <c:f>Data!$A$6:$A$34</c:f>
              <c:strCache>
                <c:ptCount val="29"/>
                <c:pt idx="0">
                  <c:v>Bulharsko</c:v>
                </c:pt>
                <c:pt idx="1">
                  <c:v>Estonsko</c:v>
                </c:pt>
                <c:pt idx="2">
                  <c:v>Rumunsko</c:v>
                </c:pt>
                <c:pt idx="3">
                  <c:v>Česko</c:v>
                </c:pt>
                <c:pt idx="4">
                  <c:v>Slovensko</c:v>
                </c:pt>
                <c:pt idx="5">
                  <c:v>Lotyšsko</c:v>
                </c:pt>
                <c:pt idx="6">
                  <c:v>Polsko</c:v>
                </c:pt>
                <c:pt idx="7">
                  <c:v>Litva</c:v>
                </c:pt>
                <c:pt idx="8">
                  <c:v>Maďarsko</c:v>
                </c:pt>
                <c:pt idx="9">
                  <c:v>Slovinsko</c:v>
                </c:pt>
                <c:pt idx="10">
                  <c:v>Chorvatsko</c:v>
                </c:pt>
                <c:pt idx="11">
                  <c:v>Finsko</c:v>
                </c:pt>
                <c:pt idx="12">
                  <c:v>Belgie</c:v>
                </c:pt>
                <c:pt idx="13">
                  <c:v>Kypr</c:v>
                </c:pt>
                <c:pt idx="14">
                  <c:v>Řecko</c:v>
                </c:pt>
                <c:pt idx="15">
                  <c:v>Nizozemí</c:v>
                </c:pt>
                <c:pt idx="16">
                  <c:v>Švédsko</c:v>
                </c:pt>
                <c:pt idx="17">
                  <c:v>Malta</c:v>
                </c:pt>
                <c:pt idx="18">
                  <c:v>Portugalsko</c:v>
                </c:pt>
                <c:pt idx="19">
                  <c:v>EU-28</c:v>
                </c:pt>
                <c:pt idx="20">
                  <c:v>Francie</c:v>
                </c:pt>
                <c:pt idx="21">
                  <c:v>Španělsko</c:v>
                </c:pt>
                <c:pt idx="22">
                  <c:v>Lucembursko</c:v>
                </c:pt>
                <c:pt idx="23">
                  <c:v>Německo</c:v>
                </c:pt>
                <c:pt idx="24">
                  <c:v>Rakousko</c:v>
                </c:pt>
                <c:pt idx="25">
                  <c:v>Itálie</c:v>
                </c:pt>
                <c:pt idx="26">
                  <c:v>Velká Británie</c:v>
                </c:pt>
                <c:pt idx="27">
                  <c:v>Dánsko</c:v>
                </c:pt>
                <c:pt idx="28">
                  <c:v>Irsko</c:v>
                </c:pt>
              </c:strCache>
            </c:strRef>
          </c:cat>
          <c:val>
            <c:numRef>
              <c:f>Data!$B$6:$B$34</c:f>
              <c:numCache>
                <c:formatCode>General</c:formatCode>
                <c:ptCount val="29"/>
                <c:pt idx="0">
                  <c:v>669.9</c:v>
                </c:pt>
                <c:pt idx="1">
                  <c:v>481</c:v>
                </c:pt>
                <c:pt idx="2">
                  <c:v>378.8</c:v>
                </c:pt>
                <c:pt idx="3">
                  <c:v>355.4</c:v>
                </c:pt>
                <c:pt idx="4">
                  <c:v>329.3</c:v>
                </c:pt>
                <c:pt idx="5">
                  <c:v>328.6</c:v>
                </c:pt>
                <c:pt idx="6">
                  <c:v>298.7</c:v>
                </c:pt>
                <c:pt idx="7">
                  <c:v>291.60000000000002</c:v>
                </c:pt>
                <c:pt idx="8">
                  <c:v>268.7</c:v>
                </c:pt>
                <c:pt idx="9">
                  <c:v>227.7</c:v>
                </c:pt>
                <c:pt idx="10">
                  <c:v>224.9</c:v>
                </c:pt>
                <c:pt idx="11">
                  <c:v>204</c:v>
                </c:pt>
                <c:pt idx="12">
                  <c:v>172.2</c:v>
                </c:pt>
                <c:pt idx="13">
                  <c:v>167</c:v>
                </c:pt>
                <c:pt idx="14">
                  <c:v>165.7</c:v>
                </c:pt>
                <c:pt idx="15">
                  <c:v>149.4</c:v>
                </c:pt>
                <c:pt idx="16">
                  <c:v>148.19999999999999</c:v>
                </c:pt>
                <c:pt idx="17">
                  <c:v>148</c:v>
                </c:pt>
                <c:pt idx="18">
                  <c:v>146.5</c:v>
                </c:pt>
                <c:pt idx="19">
                  <c:v>143.19999999999999</c:v>
                </c:pt>
                <c:pt idx="20">
                  <c:v>142.9</c:v>
                </c:pt>
                <c:pt idx="21">
                  <c:v>136.4</c:v>
                </c:pt>
                <c:pt idx="22">
                  <c:v>133.80000000000001</c:v>
                </c:pt>
                <c:pt idx="23">
                  <c:v>129.19999999999999</c:v>
                </c:pt>
                <c:pt idx="24">
                  <c:v>123.9</c:v>
                </c:pt>
                <c:pt idx="25">
                  <c:v>117.3</c:v>
                </c:pt>
                <c:pt idx="26">
                  <c:v>105.1</c:v>
                </c:pt>
                <c:pt idx="27">
                  <c:v>87.2</c:v>
                </c:pt>
                <c:pt idx="28">
                  <c:v>82.8</c:v>
                </c:pt>
              </c:numCache>
            </c:numRef>
          </c:val>
        </c:ser>
        <c:dLbls>
          <c:showLegendKey val="0"/>
          <c:showVal val="0"/>
          <c:showCatName val="0"/>
          <c:showSerName val="0"/>
          <c:showPercent val="0"/>
          <c:showBubbleSize val="0"/>
        </c:dLbls>
        <c:gapWidth val="39"/>
        <c:axId val="171436528"/>
        <c:axId val="171437312"/>
      </c:barChart>
      <c:catAx>
        <c:axId val="171436528"/>
        <c:scaling>
          <c:orientation val="minMax"/>
        </c:scaling>
        <c:delete val="0"/>
        <c:axPos val="b"/>
        <c:numFmt formatCode="General" sourceLinked="1"/>
        <c:majorTickMark val="out"/>
        <c:minorTickMark val="none"/>
        <c:tickLblPos val="nextTo"/>
        <c:crossAx val="171437312"/>
        <c:crosses val="autoZero"/>
        <c:auto val="1"/>
        <c:lblAlgn val="ctr"/>
        <c:lblOffset val="100"/>
        <c:noMultiLvlLbl val="0"/>
      </c:catAx>
      <c:valAx>
        <c:axId val="171437312"/>
        <c:scaling>
          <c:orientation val="minMax"/>
        </c:scaling>
        <c:delete val="0"/>
        <c:axPos val="l"/>
        <c:majorGridlines/>
        <c:title>
          <c:tx>
            <c:rich>
              <a:bodyPr rot="-5400000" vert="horz"/>
              <a:lstStyle/>
              <a:p>
                <a:pPr>
                  <a:defRPr/>
                </a:pPr>
                <a:r>
                  <a:rPr lang="cs-CZ"/>
                  <a:t>Kilogram ropného ekvivalentu na 1000 EUR</a:t>
                </a:r>
              </a:p>
            </c:rich>
          </c:tx>
          <c:overlay val="0"/>
        </c:title>
        <c:numFmt formatCode="#,##0" sourceLinked="0"/>
        <c:majorTickMark val="out"/>
        <c:minorTickMark val="none"/>
        <c:tickLblPos val="nextTo"/>
        <c:crossAx val="17143652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cs-CZ"/>
              <a:t>Hladina nízkého napětí</a:t>
            </a:r>
          </a:p>
        </c:rich>
      </c:tx>
      <c:layout>
        <c:manualLayout>
          <c:xMode val="edge"/>
          <c:yMode val="edge"/>
          <c:x val="0.37406054506344644"/>
          <c:y val="3.178484107579465E-2"/>
        </c:manualLayout>
      </c:layout>
      <c:overlay val="0"/>
      <c:spPr>
        <a:noFill/>
        <a:ln w="25400">
          <a:noFill/>
        </a:ln>
      </c:spPr>
    </c:title>
    <c:autoTitleDeleted val="0"/>
    <c:plotArea>
      <c:layout>
        <c:manualLayout>
          <c:layoutTarget val="inner"/>
          <c:xMode val="edge"/>
          <c:yMode val="edge"/>
          <c:x val="0.13157906813457118"/>
          <c:y val="0.15647940441554828"/>
          <c:w val="0.84586543800795755"/>
          <c:h val="0.51833802712650323"/>
        </c:manualLayout>
      </c:layout>
      <c:barChart>
        <c:barDir val="col"/>
        <c:grouping val="stacked"/>
        <c:varyColors val="0"/>
        <c:ser>
          <c:idx val="0"/>
          <c:order val="0"/>
          <c:tx>
            <c:v>neplánovaná poruchová za obvyklých povětrnostních podmínek</c:v>
          </c:tx>
          <c:spPr>
            <a:solidFill>
              <a:srgbClr val="FFCC99"/>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'[souhrnna_zprava_kvalita_cez_2013-v1.xls]Histor'!$E$13:$G$13</c:f>
              <c:numCache>
                <c:formatCode>0.000</c:formatCode>
                <c:ptCount val="3"/>
                <c:pt idx="0">
                  <c:v>2.0075401765303784</c:v>
                </c:pt>
                <c:pt idx="1">
                  <c:v>2.3114113136021843</c:v>
                </c:pt>
                <c:pt idx="2">
                  <c:v>1.9303374638077269</c:v>
                </c:pt>
              </c:numCache>
            </c:numRef>
          </c:val>
        </c:ser>
        <c:ser>
          <c:idx val="2"/>
          <c:order val="1"/>
          <c:tx>
            <c:v>neplánovaná poruchová způsobená v důsledku zásahu nebo jednání třetí osoby</c:v>
          </c:tx>
          <c:spPr>
            <a:solidFill>
              <a:srgbClr val="FFFFCC"/>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'[souhrnna_zprava_kvalita_cez_2013-v1.xls]Histor'!$E$15:$G$15</c:f>
              <c:numCache>
                <c:formatCode>0.000</c:formatCode>
                <c:ptCount val="3"/>
                <c:pt idx="0">
                  <c:v>0.17992851380722388</c:v>
                </c:pt>
                <c:pt idx="1">
                  <c:v>0.16334996349958411</c:v>
                </c:pt>
                <c:pt idx="2">
                  <c:v>0.21873989569182625</c:v>
                </c:pt>
              </c:numCache>
            </c:numRef>
          </c:val>
        </c:ser>
        <c:ser>
          <c:idx val="3"/>
          <c:order val="2"/>
          <c:tx>
            <c:v>neplánovaná ostatní</c:v>
          </c:tx>
          <c:spPr>
            <a:solidFill>
              <a:srgbClr val="C0C0C0"/>
            </a:solidFill>
            <a:ln w="25400">
              <a:noFill/>
            </a:ln>
          </c:spPr>
          <c:invertIfNegative val="0"/>
          <c:val>
            <c:numRef>
              <c:f>'[souhrnna_zprava_kvalita_cez_2013-v1.xls]Histor'!$E$19:$G$19</c:f>
              <c:numCache>
                <c:formatCode>0.000</c:formatCode>
                <c:ptCount val="3"/>
                <c:pt idx="0">
                  <c:v>0.14584513143451749</c:v>
                </c:pt>
                <c:pt idx="1">
                  <c:v>0.12291960352236081</c:v>
                </c:pt>
                <c:pt idx="2">
                  <c:v>0.45098894308548926</c:v>
                </c:pt>
              </c:numCache>
            </c:numRef>
          </c:val>
        </c:ser>
        <c:ser>
          <c:idx val="4"/>
          <c:order val="3"/>
          <c:tx>
            <c:v>plánovaná</c:v>
          </c:tx>
          <c:spPr>
            <a:solidFill>
              <a:srgbClr val="CCFFFF"/>
            </a:solidFill>
            <a:ln w="25400">
              <a:noFill/>
            </a:ln>
          </c:spPr>
          <c:invertIfNegative val="0"/>
          <c:val>
            <c:numRef>
              <c:f>'[souhrnna_zprava_kvalita_cez_2013-v1.xls]Histor'!$E$9:$G$9</c:f>
              <c:numCache>
                <c:formatCode>0.000</c:formatCode>
                <c:ptCount val="3"/>
                <c:pt idx="0">
                  <c:v>0.54135432777320136</c:v>
                </c:pt>
                <c:pt idx="1">
                  <c:v>0.49927508081831051</c:v>
                </c:pt>
                <c:pt idx="2">
                  <c:v>0.51292576224716169</c:v>
                </c:pt>
              </c:numCache>
            </c:numRef>
          </c:val>
        </c:ser>
        <c:dLbls>
          <c:showLegendKey val="0"/>
          <c:showVal val="0"/>
          <c:showCatName val="0"/>
          <c:showSerName val="0"/>
          <c:showPercent val="0"/>
          <c:showBubbleSize val="0"/>
        </c:dLbls>
        <c:gapWidth val="150"/>
        <c:overlap val="100"/>
        <c:axId val="171432216"/>
        <c:axId val="171438096"/>
      </c:barChart>
      <c:catAx>
        <c:axId val="171432216"/>
        <c:scaling>
          <c:orientation val="minMax"/>
        </c:scaling>
        <c:delete val="0"/>
        <c:axPos val="b"/>
        <c:title>
          <c:tx>
            <c:rich>
              <a:bodyPr/>
              <a:lstStyle/>
              <a:p>
                <a:pPr>
                  <a:defRPr sz="825" b="0" i="0" u="none" strike="noStrike" baseline="0">
                    <a:solidFill>
                      <a:srgbClr val="000000"/>
                    </a:solidFill>
                    <a:latin typeface="Arial"/>
                    <a:ea typeface="Arial"/>
                    <a:cs typeface="Arial"/>
                  </a:defRPr>
                </a:pPr>
                <a:r>
                  <a:rPr lang="cs-CZ"/>
                  <a:t>Rok</a:t>
                </a:r>
              </a:p>
            </c:rich>
          </c:tx>
          <c:layout>
            <c:manualLayout>
              <c:xMode val="edge"/>
              <c:yMode val="edge"/>
              <c:x val="0.53383498115367167"/>
              <c:y val="0.7481670292435943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171438096"/>
        <c:crosses val="autoZero"/>
        <c:auto val="1"/>
        <c:lblAlgn val="ctr"/>
        <c:lblOffset val="100"/>
        <c:tickLblSkip val="1"/>
        <c:tickMarkSkip val="1"/>
        <c:noMultiLvlLbl val="0"/>
      </c:catAx>
      <c:valAx>
        <c:axId val="171438096"/>
        <c:scaling>
          <c:orientation val="minMax"/>
        </c:scaling>
        <c:delete val="0"/>
        <c:axPos val="l"/>
        <c:majorGridlines>
          <c:spPr>
            <a:ln w="3175">
              <a:solidFill>
                <a:srgbClr val="00000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cs-CZ" sz="1000" b="0" i="0" u="none" strike="noStrike" baseline="0">
                    <a:solidFill>
                      <a:srgbClr val="000000"/>
                    </a:solidFill>
                    <a:latin typeface="Arial"/>
                    <a:cs typeface="Arial"/>
                  </a:rPr>
                  <a:t>SAIFI</a:t>
                </a:r>
                <a:r>
                  <a:rPr lang="cs-CZ" sz="1000" b="0" i="0" u="none" strike="noStrike" baseline="-25000">
                    <a:solidFill>
                      <a:srgbClr val="000000"/>
                    </a:solidFill>
                    <a:latin typeface="Arial"/>
                    <a:cs typeface="Arial"/>
                  </a:rPr>
                  <a:t>nn</a:t>
                </a:r>
                <a:r>
                  <a:rPr lang="cs-CZ" sz="1000" b="0" i="0" u="none" strike="noStrike" baseline="0">
                    <a:solidFill>
                      <a:srgbClr val="000000"/>
                    </a:solidFill>
                    <a:latin typeface="Arial"/>
                    <a:cs typeface="Arial"/>
                  </a:rPr>
                  <a:t> [1/rok]</a:t>
                </a:r>
              </a:p>
            </c:rich>
          </c:tx>
          <c:layout>
            <c:manualLayout>
              <c:xMode val="edge"/>
              <c:yMode val="edge"/>
              <c:x val="2.6315789473684216E-2"/>
              <c:y val="0.31051370412439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171432216"/>
        <c:crosses val="autoZero"/>
        <c:crossBetween val="between"/>
      </c:valAx>
      <c:spPr>
        <a:noFill/>
        <a:ln w="12700">
          <a:solidFill>
            <a:srgbClr val="808080"/>
          </a:solidFill>
          <a:prstDash val="solid"/>
        </a:ln>
      </c:spPr>
    </c:plotArea>
    <c:legend>
      <c:legendPos val="r"/>
      <c:layout>
        <c:manualLayout>
          <c:xMode val="edge"/>
          <c:yMode val="edge"/>
          <c:x val="1.8796992481203006E-2"/>
          <c:y val="0.78484210256114073"/>
          <c:w val="0.96240680441260629"/>
          <c:h val="0.2053792297967644"/>
        </c:manualLayout>
      </c:layout>
      <c:overlay val="0"/>
      <c:spPr>
        <a:solidFill>
          <a:srgbClr val="FFFFFF"/>
        </a:solidFill>
        <a:ln w="25400">
          <a:noFill/>
        </a:ln>
      </c:spPr>
      <c:txPr>
        <a:bodyPr/>
        <a:lstStyle/>
        <a:p>
          <a:pPr>
            <a:defRPr sz="755"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cs-CZ"/>
              <a:t>Hladina nízkého napětí</a:t>
            </a:r>
          </a:p>
        </c:rich>
      </c:tx>
      <c:layout>
        <c:manualLayout>
          <c:xMode val="edge"/>
          <c:yMode val="edge"/>
          <c:x val="0.38245687710088933"/>
          <c:y val="3.178484107579465E-2"/>
        </c:manualLayout>
      </c:layout>
      <c:overlay val="0"/>
      <c:spPr>
        <a:noFill/>
        <a:ln w="25400">
          <a:noFill/>
        </a:ln>
      </c:spPr>
    </c:title>
    <c:autoTitleDeleted val="0"/>
    <c:plotArea>
      <c:layout>
        <c:manualLayout>
          <c:layoutTarget val="inner"/>
          <c:xMode val="edge"/>
          <c:yMode val="edge"/>
          <c:x val="0.12982478382809728"/>
          <c:y val="0.15647940441554828"/>
          <c:w val="0.84912426179458289"/>
          <c:h val="0.52322800851448958"/>
        </c:manualLayout>
      </c:layout>
      <c:barChart>
        <c:barDir val="col"/>
        <c:grouping val="stacked"/>
        <c:varyColors val="0"/>
        <c:ser>
          <c:idx val="0"/>
          <c:order val="0"/>
          <c:tx>
            <c:v>neplánovaná poruchová za obvyklých povětrnostních podmínek</c:v>
          </c:tx>
          <c:spPr>
            <a:solidFill>
              <a:srgbClr val="FFCC99"/>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'[souhrnna_zprava_kvalita_cez_2013-v1.xls]Histor'!$E$29:$G$29</c:f>
              <c:numCache>
                <c:formatCode>0.000</c:formatCode>
                <c:ptCount val="3"/>
                <c:pt idx="0">
                  <c:v>128.81142615382029</c:v>
                </c:pt>
                <c:pt idx="1">
                  <c:v>133.73791416157408</c:v>
                </c:pt>
                <c:pt idx="2">
                  <c:v>107.5787546667846</c:v>
                </c:pt>
              </c:numCache>
            </c:numRef>
          </c:val>
        </c:ser>
        <c:ser>
          <c:idx val="2"/>
          <c:order val="1"/>
          <c:tx>
            <c:v>neplánovaná poruchová způsobená v důsledku zásahu nebo jednání třetí osoby</c:v>
          </c:tx>
          <c:spPr>
            <a:solidFill>
              <a:srgbClr val="FFFFCC"/>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'[souhrnna_zprava_kvalita_cez_2013-v1.xls]Histor'!$E$31:$G$31</c:f>
              <c:numCache>
                <c:formatCode>0.000</c:formatCode>
                <c:ptCount val="3"/>
                <c:pt idx="0">
                  <c:v>12.52167788330406</c:v>
                </c:pt>
                <c:pt idx="1">
                  <c:v>10.992021668335616</c:v>
                </c:pt>
                <c:pt idx="2">
                  <c:v>13.66637764196841</c:v>
                </c:pt>
              </c:numCache>
            </c:numRef>
          </c:val>
        </c:ser>
        <c:ser>
          <c:idx val="3"/>
          <c:order val="2"/>
          <c:tx>
            <c:v>neplánovaná ostatní</c:v>
          </c:tx>
          <c:spPr>
            <a:solidFill>
              <a:srgbClr val="C0C0C0"/>
            </a:solidFill>
            <a:ln w="25400">
              <a:noFill/>
            </a:ln>
          </c:spPr>
          <c:invertIfNegative val="0"/>
          <c:val>
            <c:numRef>
              <c:f>'[souhrnna_zprava_kvalita_cez_2013-v1.xls]Histor'!$E$35:$G$35</c:f>
              <c:numCache>
                <c:formatCode>0.000</c:formatCode>
                <c:ptCount val="3"/>
                <c:pt idx="0">
                  <c:v>7.4139720385757766</c:v>
                </c:pt>
                <c:pt idx="1">
                  <c:v>23.018415726716221</c:v>
                </c:pt>
                <c:pt idx="2">
                  <c:v>123.1409234002795</c:v>
                </c:pt>
              </c:numCache>
            </c:numRef>
          </c:val>
        </c:ser>
        <c:ser>
          <c:idx val="4"/>
          <c:order val="3"/>
          <c:tx>
            <c:v>plánovaná</c:v>
          </c:tx>
          <c:spPr>
            <a:solidFill>
              <a:srgbClr val="CCFFFF"/>
            </a:solidFill>
            <a:ln w="25400">
              <a:noFill/>
            </a:ln>
          </c:spPr>
          <c:invertIfNegative val="0"/>
          <c:val>
            <c:numRef>
              <c:f>'[souhrnna_zprava_kvalita_cez_2013-v1.xls]Histor'!$E$25:$G$25</c:f>
              <c:numCache>
                <c:formatCode>0.000</c:formatCode>
                <c:ptCount val="3"/>
                <c:pt idx="0">
                  <c:v>147.91428897642521</c:v>
                </c:pt>
                <c:pt idx="1">
                  <c:v>145.36741617149431</c:v>
                </c:pt>
                <c:pt idx="2">
                  <c:v>157.51059450338823</c:v>
                </c:pt>
              </c:numCache>
            </c:numRef>
          </c:val>
        </c:ser>
        <c:dLbls>
          <c:showLegendKey val="0"/>
          <c:showVal val="0"/>
          <c:showCatName val="0"/>
          <c:showSerName val="0"/>
          <c:showPercent val="0"/>
          <c:showBubbleSize val="0"/>
        </c:dLbls>
        <c:gapWidth val="150"/>
        <c:overlap val="100"/>
        <c:axId val="171438488"/>
        <c:axId val="171439272"/>
      </c:barChart>
      <c:catAx>
        <c:axId val="171438488"/>
        <c:scaling>
          <c:orientation val="minMax"/>
        </c:scaling>
        <c:delete val="0"/>
        <c:axPos val="b"/>
        <c:title>
          <c:tx>
            <c:rich>
              <a:bodyPr/>
              <a:lstStyle/>
              <a:p>
                <a:pPr>
                  <a:defRPr sz="900" b="0" i="0" u="none" strike="noStrike" baseline="0">
                    <a:solidFill>
                      <a:srgbClr val="000000"/>
                    </a:solidFill>
                    <a:latin typeface="Arial"/>
                    <a:ea typeface="Arial"/>
                    <a:cs typeface="Arial"/>
                  </a:defRPr>
                </a:pPr>
                <a:r>
                  <a:rPr lang="cs-CZ"/>
                  <a:t>Rok</a:t>
                </a:r>
              </a:p>
            </c:rich>
          </c:tx>
          <c:layout>
            <c:manualLayout>
              <c:xMode val="edge"/>
              <c:yMode val="edge"/>
              <c:x val="0.53157986830593551"/>
              <c:y val="0.7457220414685333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171439272"/>
        <c:crosses val="autoZero"/>
        <c:auto val="1"/>
        <c:lblAlgn val="ctr"/>
        <c:lblOffset val="100"/>
        <c:tickLblSkip val="1"/>
        <c:tickMarkSkip val="1"/>
        <c:noMultiLvlLbl val="0"/>
      </c:catAx>
      <c:valAx>
        <c:axId val="171439272"/>
        <c:scaling>
          <c:orientation val="minMax"/>
        </c:scaling>
        <c:delete val="0"/>
        <c:axPos val="l"/>
        <c:majorGridlines>
          <c:spPr>
            <a:ln w="3175">
              <a:solidFill>
                <a:srgbClr val="00000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cs-CZ" sz="1000" b="0" i="0" u="none" strike="noStrike" baseline="0">
                    <a:solidFill>
                      <a:srgbClr val="000000"/>
                    </a:solidFill>
                    <a:latin typeface="Arial"/>
                    <a:cs typeface="Arial"/>
                  </a:rPr>
                  <a:t>SAIDI</a:t>
                </a:r>
                <a:r>
                  <a:rPr lang="cs-CZ" sz="1000" b="0" i="0" u="none" strike="noStrike" baseline="-25000">
                    <a:solidFill>
                      <a:srgbClr val="000000"/>
                    </a:solidFill>
                    <a:latin typeface="Arial"/>
                    <a:cs typeface="Arial"/>
                  </a:rPr>
                  <a:t>nn</a:t>
                </a:r>
                <a:r>
                  <a:rPr lang="cs-CZ" sz="1000" b="0" i="0" u="none" strike="noStrike" baseline="0">
                    <a:solidFill>
                      <a:srgbClr val="000000"/>
                    </a:solidFill>
                    <a:latin typeface="Arial"/>
                    <a:cs typeface="Arial"/>
                  </a:rPr>
                  <a:t> [min/rok]</a:t>
                </a:r>
              </a:p>
            </c:rich>
          </c:tx>
          <c:layout>
            <c:manualLayout>
              <c:xMode val="edge"/>
              <c:yMode val="edge"/>
              <c:x val="2.4561403508771947E-2"/>
              <c:y val="0.2933987896989652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171438488"/>
        <c:crosses val="autoZero"/>
        <c:crossBetween val="between"/>
      </c:valAx>
      <c:spPr>
        <a:noFill/>
        <a:ln w="12700">
          <a:solidFill>
            <a:srgbClr val="808080"/>
          </a:solidFill>
          <a:prstDash val="solid"/>
        </a:ln>
      </c:spPr>
    </c:plotArea>
    <c:legend>
      <c:legendPos val="r"/>
      <c:layout>
        <c:manualLayout>
          <c:xMode val="edge"/>
          <c:yMode val="edge"/>
          <c:x val="8.771929824561403E-3"/>
          <c:y val="0.78239711478607954"/>
          <c:w val="0.95965078049454389"/>
          <c:h val="0.2053792297967644"/>
        </c:manualLayout>
      </c:layout>
      <c:overlay val="0"/>
      <c:spPr>
        <a:solidFill>
          <a:srgbClr val="FFFFFF"/>
        </a:solidFill>
        <a:ln w="25400">
          <a:noFill/>
        </a:ln>
      </c:spPr>
      <c:txPr>
        <a:bodyPr/>
        <a:lstStyle/>
        <a:p>
          <a:pPr>
            <a:defRPr sz="755"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accent6">
                    <a:lumMod val="40000"/>
                    <a:lumOff val="60000"/>
                  </a:schemeClr>
                </a:gs>
                <a:gs pos="67000">
                  <a:srgbClr val="FF7A00"/>
                </a:gs>
                <a:gs pos="100000">
                  <a:schemeClr val="accent6">
                    <a:lumMod val="50000"/>
                  </a:schemeClr>
                </a:gs>
              </a:gsLst>
              <a:lin ang="5400000" scaled="0"/>
            </a:gradFill>
            <a:ln>
              <a:solidFill>
                <a:schemeClr val="accent6">
                  <a:lumMod val="75000"/>
                </a:schemeClr>
              </a:solidFill>
            </a:ln>
          </c:spPr>
          <c:invertIfNegative val="0"/>
          <c:dPt>
            <c:idx val="11"/>
            <c:invertIfNegative val="0"/>
            <c:bubble3D val="0"/>
            <c:spPr>
              <a:solidFill>
                <a:schemeClr val="accent6">
                  <a:lumMod val="75000"/>
                </a:schemeClr>
              </a:solidFill>
              <a:ln>
                <a:solidFill>
                  <a:schemeClr val="accent6">
                    <a:lumMod val="75000"/>
                  </a:schemeClr>
                </a:solidFill>
              </a:ln>
            </c:spPr>
          </c:dPt>
          <c:dPt>
            <c:idx val="16"/>
            <c:invertIfNegative val="0"/>
            <c:bubble3D val="0"/>
            <c:spPr>
              <a:gradFill>
                <a:gsLst>
                  <a:gs pos="0">
                    <a:schemeClr val="accent6">
                      <a:lumMod val="40000"/>
                      <a:lumOff val="60000"/>
                    </a:schemeClr>
                  </a:gs>
                  <a:gs pos="67000">
                    <a:srgbClr val="FF7A00"/>
                  </a:gs>
                  <a:gs pos="100000">
                    <a:schemeClr val="accent6">
                      <a:lumMod val="50000"/>
                    </a:schemeClr>
                  </a:gs>
                </a:gsLst>
                <a:lin ang="5400000" scaled="0"/>
              </a:gradFill>
              <a:ln w="19050">
                <a:solidFill>
                  <a:srgbClr val="FF0000"/>
                </a:solidFill>
              </a:ln>
            </c:spPr>
          </c:dPt>
          <c:cat>
            <c:strRef>
              <c:f>Sheet0!$A$5:$A$33</c:f>
              <c:strCache>
                <c:ptCount val="29"/>
                <c:pt idx="0">
                  <c:v>Malta</c:v>
                </c:pt>
                <c:pt idx="1">
                  <c:v>Kypr</c:v>
                </c:pt>
                <c:pt idx="2">
                  <c:v>Francie</c:v>
                </c:pt>
                <c:pt idx="3">
                  <c:v>Řecko</c:v>
                </c:pt>
                <c:pt idx="4">
                  <c:v>Velká Británie</c:v>
                </c:pt>
                <c:pt idx="5">
                  <c:v>Bulharsko</c:v>
                </c:pt>
                <c:pt idx="6">
                  <c:v>Irsko</c:v>
                </c:pt>
                <c:pt idx="7">
                  <c:v>Slovinsko</c:v>
                </c:pt>
                <c:pt idx="8">
                  <c:v>Španělsko</c:v>
                </c:pt>
                <c:pt idx="9">
                  <c:v>Švédsko</c:v>
                </c:pt>
                <c:pt idx="10">
                  <c:v>Estonsko</c:v>
                </c:pt>
                <c:pt idx="11">
                  <c:v>EU-27</c:v>
                </c:pt>
                <c:pt idx="12">
                  <c:v>Itálie</c:v>
                </c:pt>
                <c:pt idx="13">
                  <c:v>Rumunsko</c:v>
                </c:pt>
                <c:pt idx="14">
                  <c:v>Lucembursko</c:v>
                </c:pt>
                <c:pt idx="15">
                  <c:v>Portugalsko</c:v>
                </c:pt>
                <c:pt idx="16">
                  <c:v>Česko</c:v>
                </c:pt>
                <c:pt idx="17">
                  <c:v>Německo</c:v>
                </c:pt>
                <c:pt idx="18">
                  <c:v>Rakousko</c:v>
                </c:pt>
                <c:pt idx="19">
                  <c:v>Belgie</c:v>
                </c:pt>
                <c:pt idx="20">
                  <c:v>Polsko</c:v>
                </c:pt>
                <c:pt idx="21">
                  <c:v>Maďarsko</c:v>
                </c:pt>
                <c:pt idx="22">
                  <c:v>Chorvatsko</c:v>
                </c:pt>
                <c:pt idx="23">
                  <c:v>Slovensko</c:v>
                </c:pt>
                <c:pt idx="24">
                  <c:v>Nizozemí</c:v>
                </c:pt>
                <c:pt idx="25">
                  <c:v>Finsko</c:v>
                </c:pt>
                <c:pt idx="26">
                  <c:v>Litva</c:v>
                </c:pt>
                <c:pt idx="27">
                  <c:v>Dánsko</c:v>
                </c:pt>
                <c:pt idx="28">
                  <c:v>Lotyšsko</c:v>
                </c:pt>
              </c:strCache>
            </c:strRef>
          </c:cat>
          <c:val>
            <c:numRef>
              <c:f>Sheet0!$B$5:$B$33</c:f>
              <c:numCache>
                <c:formatCode>General</c:formatCode>
                <c:ptCount val="29"/>
                <c:pt idx="0">
                  <c:v>0</c:v>
                </c:pt>
                <c:pt idx="1">
                  <c:v>0.9</c:v>
                </c:pt>
                <c:pt idx="2">
                  <c:v>2.8</c:v>
                </c:pt>
                <c:pt idx="3">
                  <c:v>4.5</c:v>
                </c:pt>
                <c:pt idx="4">
                  <c:v>6.3</c:v>
                </c:pt>
                <c:pt idx="5">
                  <c:v>6.7</c:v>
                </c:pt>
                <c:pt idx="6">
                  <c:v>7.1</c:v>
                </c:pt>
                <c:pt idx="7">
                  <c:v>7.1</c:v>
                </c:pt>
                <c:pt idx="8">
                  <c:v>7.6</c:v>
                </c:pt>
                <c:pt idx="9">
                  <c:v>10</c:v>
                </c:pt>
                <c:pt idx="10">
                  <c:v>10.4</c:v>
                </c:pt>
                <c:pt idx="11">
                  <c:v>11.2</c:v>
                </c:pt>
                <c:pt idx="12">
                  <c:v>11.5</c:v>
                </c:pt>
                <c:pt idx="13">
                  <c:v>11.7</c:v>
                </c:pt>
                <c:pt idx="14">
                  <c:v>12.1</c:v>
                </c:pt>
                <c:pt idx="15">
                  <c:v>12.7</c:v>
                </c:pt>
                <c:pt idx="16">
                  <c:v>12.8</c:v>
                </c:pt>
                <c:pt idx="17">
                  <c:v>13.1</c:v>
                </c:pt>
                <c:pt idx="18">
                  <c:v>15.7</c:v>
                </c:pt>
                <c:pt idx="19">
                  <c:v>16</c:v>
                </c:pt>
                <c:pt idx="20">
                  <c:v>16.600000000000001</c:v>
                </c:pt>
                <c:pt idx="21">
                  <c:v>16.600000000000001</c:v>
                </c:pt>
                <c:pt idx="22">
                  <c:v>20.399999999999999</c:v>
                </c:pt>
                <c:pt idx="23">
                  <c:v>24.5</c:v>
                </c:pt>
                <c:pt idx="24">
                  <c:v>32.5</c:v>
                </c:pt>
                <c:pt idx="25">
                  <c:v>36.200000000000003</c:v>
                </c:pt>
                <c:pt idx="26">
                  <c:v>37.5</c:v>
                </c:pt>
                <c:pt idx="27">
                  <c:v>46.2</c:v>
                </c:pt>
                <c:pt idx="28">
                  <c:v>47.4</c:v>
                </c:pt>
              </c:numCache>
            </c:numRef>
          </c:val>
        </c:ser>
        <c:dLbls>
          <c:showLegendKey val="0"/>
          <c:showVal val="0"/>
          <c:showCatName val="0"/>
          <c:showSerName val="0"/>
          <c:showPercent val="0"/>
          <c:showBubbleSize val="0"/>
        </c:dLbls>
        <c:gapWidth val="40"/>
        <c:axId val="224715976"/>
        <c:axId val="224716368"/>
      </c:barChart>
      <c:catAx>
        <c:axId val="224715976"/>
        <c:scaling>
          <c:orientation val="minMax"/>
        </c:scaling>
        <c:delete val="0"/>
        <c:axPos val="b"/>
        <c:numFmt formatCode="General" sourceLinked="1"/>
        <c:majorTickMark val="out"/>
        <c:minorTickMark val="none"/>
        <c:tickLblPos val="nextTo"/>
        <c:crossAx val="224716368"/>
        <c:crosses val="autoZero"/>
        <c:auto val="1"/>
        <c:lblAlgn val="ctr"/>
        <c:lblOffset val="100"/>
        <c:noMultiLvlLbl val="0"/>
      </c:catAx>
      <c:valAx>
        <c:axId val="224716368"/>
        <c:scaling>
          <c:orientation val="minMax"/>
        </c:scaling>
        <c:delete val="0"/>
        <c:axPos val="l"/>
        <c:majorGridlines/>
        <c:title>
          <c:tx>
            <c:rich>
              <a:bodyPr rot="-5400000" vert="horz"/>
              <a:lstStyle/>
              <a:p>
                <a:pPr>
                  <a:defRPr/>
                </a:pPr>
                <a:r>
                  <a:rPr lang="cs-CZ"/>
                  <a:t>% z hrubé výroby elektřiny </a:t>
                </a:r>
              </a:p>
            </c:rich>
          </c:tx>
          <c:overlay val="0"/>
        </c:title>
        <c:numFmt formatCode="General" sourceLinked="1"/>
        <c:majorTickMark val="out"/>
        <c:minorTickMark val="none"/>
        <c:tickLblPos val="nextTo"/>
        <c:crossAx val="22471597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B5ACF-8C59-4474-8030-925CA723C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320C3C6C.dotm</Template>
  <TotalTime>3187</TotalTime>
  <Pages>177</Pages>
  <Words>77161</Words>
  <Characters>455255</Characters>
  <Application>Microsoft Office Word</Application>
  <DocSecurity>0</DocSecurity>
  <Lines>3793</Lines>
  <Paragraphs>1062</Paragraphs>
  <ScaleCrop>false</ScaleCrop>
  <HeadingPairs>
    <vt:vector size="2" baseType="variant">
      <vt:variant>
        <vt:lpstr>Název</vt:lpstr>
      </vt:variant>
      <vt:variant>
        <vt:i4>1</vt:i4>
      </vt:variant>
    </vt:vector>
  </HeadingPairs>
  <TitlesOfParts>
    <vt:vector size="1" baseType="lpstr">
      <vt:lpstr>MINISTERSTVO PRŮMYSLU A OBCHODU</vt:lpstr>
    </vt:vector>
  </TitlesOfParts>
  <Company>Ministerstvo průmyslu a obchodu</Company>
  <LinksUpToDate>false</LinksUpToDate>
  <CharactersWithSpaces>531354</CharactersWithSpaces>
  <SharedDoc>false</SharedDoc>
  <HLinks>
    <vt:vector size="1806" baseType="variant">
      <vt:variant>
        <vt:i4>1835074</vt:i4>
      </vt:variant>
      <vt:variant>
        <vt:i4>1458</vt:i4>
      </vt:variant>
      <vt:variant>
        <vt:i4>0</vt:i4>
      </vt:variant>
      <vt:variant>
        <vt:i4>5</vt:i4>
      </vt:variant>
      <vt:variant>
        <vt:lpwstr>http://cmzrb.cz/</vt:lpwstr>
      </vt:variant>
      <vt:variant>
        <vt:lpwstr/>
      </vt:variant>
      <vt:variant>
        <vt:i4>5308440</vt:i4>
      </vt:variant>
      <vt:variant>
        <vt:i4>1455</vt:i4>
      </vt:variant>
      <vt:variant>
        <vt:i4>0</vt:i4>
      </vt:variant>
      <vt:variant>
        <vt:i4>5</vt:i4>
      </vt:variant>
      <vt:variant>
        <vt:lpwstr>https://www.czech-ba.cz/</vt:lpwstr>
      </vt:variant>
      <vt:variant>
        <vt:lpwstr/>
      </vt:variant>
      <vt:variant>
        <vt:i4>589834</vt:i4>
      </vt:variant>
      <vt:variant>
        <vt:i4>1452</vt:i4>
      </vt:variant>
      <vt:variant>
        <vt:i4>0</vt:i4>
      </vt:variant>
      <vt:variant>
        <vt:i4>5</vt:i4>
      </vt:variant>
      <vt:variant>
        <vt:lpwstr>http://www.smocr.cz/</vt:lpwstr>
      </vt:variant>
      <vt:variant>
        <vt:lpwstr/>
      </vt:variant>
      <vt:variant>
        <vt:i4>2490417</vt:i4>
      </vt:variant>
      <vt:variant>
        <vt:i4>1449</vt:i4>
      </vt:variant>
      <vt:variant>
        <vt:i4>0</vt:i4>
      </vt:variant>
      <vt:variant>
        <vt:i4>5</vt:i4>
      </vt:variant>
      <vt:variant>
        <vt:lpwstr>http://www.mmr.cz/cs/Uvodni-strana</vt:lpwstr>
      </vt:variant>
      <vt:variant>
        <vt:lpwstr/>
      </vt:variant>
      <vt:variant>
        <vt:i4>8323108</vt:i4>
      </vt:variant>
      <vt:variant>
        <vt:i4>1446</vt:i4>
      </vt:variant>
      <vt:variant>
        <vt:i4>0</vt:i4>
      </vt:variant>
      <vt:variant>
        <vt:i4>5</vt:i4>
      </vt:variant>
      <vt:variant>
        <vt:lpwstr>http://www.cvca.cz/</vt:lpwstr>
      </vt:variant>
      <vt:variant>
        <vt:lpwstr/>
      </vt:variant>
      <vt:variant>
        <vt:i4>5308440</vt:i4>
      </vt:variant>
      <vt:variant>
        <vt:i4>1443</vt:i4>
      </vt:variant>
      <vt:variant>
        <vt:i4>0</vt:i4>
      </vt:variant>
      <vt:variant>
        <vt:i4>5</vt:i4>
      </vt:variant>
      <vt:variant>
        <vt:lpwstr>https://www.czech-ba.cz/</vt:lpwstr>
      </vt:variant>
      <vt:variant>
        <vt:lpwstr/>
      </vt:variant>
      <vt:variant>
        <vt:i4>589834</vt:i4>
      </vt:variant>
      <vt:variant>
        <vt:i4>1440</vt:i4>
      </vt:variant>
      <vt:variant>
        <vt:i4>0</vt:i4>
      </vt:variant>
      <vt:variant>
        <vt:i4>5</vt:i4>
      </vt:variant>
      <vt:variant>
        <vt:lpwstr>http://www.smocr.cz/</vt:lpwstr>
      </vt:variant>
      <vt:variant>
        <vt:lpwstr/>
      </vt:variant>
      <vt:variant>
        <vt:i4>1835035</vt:i4>
      </vt:variant>
      <vt:variant>
        <vt:i4>1437</vt:i4>
      </vt:variant>
      <vt:variant>
        <vt:i4>0</vt:i4>
      </vt:variant>
      <vt:variant>
        <vt:i4>5</vt:i4>
      </vt:variant>
      <vt:variant>
        <vt:lpwstr>http://www.cmzrb.cz/</vt:lpwstr>
      </vt:variant>
      <vt:variant>
        <vt:lpwstr/>
      </vt:variant>
      <vt:variant>
        <vt:i4>1572878</vt:i4>
      </vt:variant>
      <vt:variant>
        <vt:i4>1434</vt:i4>
      </vt:variant>
      <vt:variant>
        <vt:i4>0</vt:i4>
      </vt:variant>
      <vt:variant>
        <vt:i4>5</vt:i4>
      </vt:variant>
      <vt:variant>
        <vt:lpwstr>http://www.vlada.cz/cz/ppov/ekonomicka-rada/narodni-ekonomicka-rada-vlady-51371/</vt:lpwstr>
      </vt:variant>
      <vt:variant>
        <vt:lpwstr/>
      </vt:variant>
      <vt:variant>
        <vt:i4>3997757</vt:i4>
      </vt:variant>
      <vt:variant>
        <vt:i4>1431</vt:i4>
      </vt:variant>
      <vt:variant>
        <vt:i4>0</vt:i4>
      </vt:variant>
      <vt:variant>
        <vt:i4>5</vt:i4>
      </vt:variant>
      <vt:variant>
        <vt:lpwstr>http://www.praha.eu/jnp/cz/home/index.html</vt:lpwstr>
      </vt:variant>
      <vt:variant>
        <vt:lpwstr/>
      </vt:variant>
      <vt:variant>
        <vt:i4>7602295</vt:i4>
      </vt:variant>
      <vt:variant>
        <vt:i4>1428</vt:i4>
      </vt:variant>
      <vt:variant>
        <vt:i4>0</vt:i4>
      </vt:variant>
      <vt:variant>
        <vt:i4>5</vt:i4>
      </vt:variant>
      <vt:variant>
        <vt:lpwstr>http://www.vse.cz/</vt:lpwstr>
      </vt:variant>
      <vt:variant>
        <vt:lpwstr/>
      </vt:variant>
      <vt:variant>
        <vt:i4>7405680</vt:i4>
      </vt:variant>
      <vt:variant>
        <vt:i4>1425</vt:i4>
      </vt:variant>
      <vt:variant>
        <vt:i4>0</vt:i4>
      </vt:variant>
      <vt:variant>
        <vt:i4>5</vt:i4>
      </vt:variant>
      <vt:variant>
        <vt:lpwstr>http://www.ctu.cz/</vt:lpwstr>
      </vt:variant>
      <vt:variant>
        <vt:lpwstr/>
      </vt:variant>
      <vt:variant>
        <vt:i4>6553716</vt:i4>
      </vt:variant>
      <vt:variant>
        <vt:i4>1422</vt:i4>
      </vt:variant>
      <vt:variant>
        <vt:i4>0</vt:i4>
      </vt:variant>
      <vt:variant>
        <vt:i4>5</vt:i4>
      </vt:variant>
      <vt:variant>
        <vt:lpwstr>http://nsmascr.cz/o-nas/mistni-akncni-skupiny/</vt:lpwstr>
      </vt:variant>
      <vt:variant>
        <vt:lpwstr/>
      </vt:variant>
      <vt:variant>
        <vt:i4>6422654</vt:i4>
      </vt:variant>
      <vt:variant>
        <vt:i4>1419</vt:i4>
      </vt:variant>
      <vt:variant>
        <vt:i4>0</vt:i4>
      </vt:variant>
      <vt:variant>
        <vt:i4>5</vt:i4>
      </vt:variant>
      <vt:variant>
        <vt:lpwstr>http://www.asociacenno.cz/</vt:lpwstr>
      </vt:variant>
      <vt:variant>
        <vt:lpwstr/>
      </vt:variant>
      <vt:variant>
        <vt:i4>7143470</vt:i4>
      </vt:variant>
      <vt:variant>
        <vt:i4>1416</vt:i4>
      </vt:variant>
      <vt:variant>
        <vt:i4>0</vt:i4>
      </vt:variant>
      <vt:variant>
        <vt:i4>5</vt:i4>
      </vt:variant>
      <vt:variant>
        <vt:lpwstr>http://www.amsp.cz/</vt:lpwstr>
      </vt:variant>
      <vt:variant>
        <vt:lpwstr/>
      </vt:variant>
      <vt:variant>
        <vt:i4>7274542</vt:i4>
      </vt:variant>
      <vt:variant>
        <vt:i4>1413</vt:i4>
      </vt:variant>
      <vt:variant>
        <vt:i4>0</vt:i4>
      </vt:variant>
      <vt:variant>
        <vt:i4>5</vt:i4>
      </vt:variant>
      <vt:variant>
        <vt:lpwstr>http://www.socr.cz/</vt:lpwstr>
      </vt:variant>
      <vt:variant>
        <vt:lpwstr/>
      </vt:variant>
      <vt:variant>
        <vt:i4>589834</vt:i4>
      </vt:variant>
      <vt:variant>
        <vt:i4>1410</vt:i4>
      </vt:variant>
      <vt:variant>
        <vt:i4>0</vt:i4>
      </vt:variant>
      <vt:variant>
        <vt:i4>5</vt:i4>
      </vt:variant>
      <vt:variant>
        <vt:lpwstr>http://www.smocr.cz/</vt:lpwstr>
      </vt:variant>
      <vt:variant>
        <vt:lpwstr/>
      </vt:variant>
      <vt:variant>
        <vt:i4>7274545</vt:i4>
      </vt:variant>
      <vt:variant>
        <vt:i4>1407</vt:i4>
      </vt:variant>
      <vt:variant>
        <vt:i4>0</vt:i4>
      </vt:variant>
      <vt:variant>
        <vt:i4>5</vt:i4>
      </vt:variant>
      <vt:variant>
        <vt:lpwstr>http://www.spcr.cz/</vt:lpwstr>
      </vt:variant>
      <vt:variant>
        <vt:lpwstr/>
      </vt:variant>
      <vt:variant>
        <vt:i4>983058</vt:i4>
      </vt:variant>
      <vt:variant>
        <vt:i4>1404</vt:i4>
      </vt:variant>
      <vt:variant>
        <vt:i4>0</vt:i4>
      </vt:variant>
      <vt:variant>
        <vt:i4>5</vt:i4>
      </vt:variant>
      <vt:variant>
        <vt:lpwstr>http://www.mdcr.cz/cs/default.htm</vt:lpwstr>
      </vt:variant>
      <vt:variant>
        <vt:lpwstr/>
      </vt:variant>
      <vt:variant>
        <vt:i4>3997757</vt:i4>
      </vt:variant>
      <vt:variant>
        <vt:i4>1401</vt:i4>
      </vt:variant>
      <vt:variant>
        <vt:i4>0</vt:i4>
      </vt:variant>
      <vt:variant>
        <vt:i4>5</vt:i4>
      </vt:variant>
      <vt:variant>
        <vt:lpwstr>http://www.praha.eu/jnp/cz/home/index.html</vt:lpwstr>
      </vt:variant>
      <vt:variant>
        <vt:lpwstr/>
      </vt:variant>
      <vt:variant>
        <vt:i4>262160</vt:i4>
      </vt:variant>
      <vt:variant>
        <vt:i4>1398</vt:i4>
      </vt:variant>
      <vt:variant>
        <vt:i4>0</vt:i4>
      </vt:variant>
      <vt:variant>
        <vt:i4>5</vt:i4>
      </vt:variant>
      <vt:variant>
        <vt:lpwstr>http://www.sanceprobudovy.cz/cs.html?start=20</vt:lpwstr>
      </vt:variant>
      <vt:variant>
        <vt:lpwstr/>
      </vt:variant>
      <vt:variant>
        <vt:i4>327698</vt:i4>
      </vt:variant>
      <vt:variant>
        <vt:i4>1395</vt:i4>
      </vt:variant>
      <vt:variant>
        <vt:i4>0</vt:i4>
      </vt:variant>
      <vt:variant>
        <vt:i4>5</vt:i4>
      </vt:variant>
      <vt:variant>
        <vt:lpwstr>http://www.csres.cz/</vt:lpwstr>
      </vt:variant>
      <vt:variant>
        <vt:lpwstr/>
      </vt:variant>
      <vt:variant>
        <vt:i4>6815794</vt:i4>
      </vt:variant>
      <vt:variant>
        <vt:i4>1392</vt:i4>
      </vt:variant>
      <vt:variant>
        <vt:i4>0</vt:i4>
      </vt:variant>
      <vt:variant>
        <vt:i4>5</vt:i4>
      </vt:variant>
      <vt:variant>
        <vt:lpwstr>http://www.tscr.cz/</vt:lpwstr>
      </vt:variant>
      <vt:variant>
        <vt:lpwstr/>
      </vt:variant>
      <vt:variant>
        <vt:i4>6553658</vt:i4>
      </vt:variant>
      <vt:variant>
        <vt:i4>1389</vt:i4>
      </vt:variant>
      <vt:variant>
        <vt:i4>0</vt:i4>
      </vt:variant>
      <vt:variant>
        <vt:i4>5</vt:i4>
      </vt:variant>
      <vt:variant>
        <vt:lpwstr>http://www.kzps.cz/</vt:lpwstr>
      </vt:variant>
      <vt:variant>
        <vt:lpwstr/>
      </vt:variant>
      <vt:variant>
        <vt:i4>6553716</vt:i4>
      </vt:variant>
      <vt:variant>
        <vt:i4>1386</vt:i4>
      </vt:variant>
      <vt:variant>
        <vt:i4>0</vt:i4>
      </vt:variant>
      <vt:variant>
        <vt:i4>5</vt:i4>
      </vt:variant>
      <vt:variant>
        <vt:lpwstr>http://nsmascr.cz/o-nas/mistni-akncni-skupiny/</vt:lpwstr>
      </vt:variant>
      <vt:variant>
        <vt:lpwstr/>
      </vt:variant>
      <vt:variant>
        <vt:i4>18</vt:i4>
      </vt:variant>
      <vt:variant>
        <vt:i4>1383</vt:i4>
      </vt:variant>
      <vt:variant>
        <vt:i4>0</vt:i4>
      </vt:variant>
      <vt:variant>
        <vt:i4>5</vt:i4>
      </vt:variant>
      <vt:variant>
        <vt:lpwstr>http://www.asvep.cz/</vt:lpwstr>
      </vt:variant>
      <vt:variant>
        <vt:lpwstr/>
      </vt:variant>
      <vt:variant>
        <vt:i4>7143550</vt:i4>
      </vt:variant>
      <vt:variant>
        <vt:i4>1380</vt:i4>
      </vt:variant>
      <vt:variant>
        <vt:i4>0</vt:i4>
      </vt:variant>
      <vt:variant>
        <vt:i4>5</vt:i4>
      </vt:variant>
      <vt:variant>
        <vt:lpwstr>http://www.oze.cz/</vt:lpwstr>
      </vt:variant>
      <vt:variant>
        <vt:lpwstr/>
      </vt:variant>
      <vt:variant>
        <vt:i4>8061033</vt:i4>
      </vt:variant>
      <vt:variant>
        <vt:i4>1377</vt:i4>
      </vt:variant>
      <vt:variant>
        <vt:i4>0</vt:i4>
      </vt:variant>
      <vt:variant>
        <vt:i4>5</vt:i4>
      </vt:variant>
      <vt:variant>
        <vt:lpwstr>http://apes.cz/</vt:lpwstr>
      </vt:variant>
      <vt:variant>
        <vt:lpwstr/>
      </vt:variant>
      <vt:variant>
        <vt:i4>6946938</vt:i4>
      </vt:variant>
      <vt:variant>
        <vt:i4>1374</vt:i4>
      </vt:variant>
      <vt:variant>
        <vt:i4>0</vt:i4>
      </vt:variant>
      <vt:variant>
        <vt:i4>5</vt:i4>
      </vt:variant>
      <vt:variant>
        <vt:lpwstr>http://adtt.cz/</vt:lpwstr>
      </vt:variant>
      <vt:variant>
        <vt:lpwstr/>
      </vt:variant>
      <vt:variant>
        <vt:i4>6422654</vt:i4>
      </vt:variant>
      <vt:variant>
        <vt:i4>1371</vt:i4>
      </vt:variant>
      <vt:variant>
        <vt:i4>0</vt:i4>
      </vt:variant>
      <vt:variant>
        <vt:i4>5</vt:i4>
      </vt:variant>
      <vt:variant>
        <vt:lpwstr>http://www.asociacenno.cz/</vt:lpwstr>
      </vt:variant>
      <vt:variant>
        <vt:lpwstr/>
      </vt:variant>
      <vt:variant>
        <vt:i4>7143470</vt:i4>
      </vt:variant>
      <vt:variant>
        <vt:i4>1368</vt:i4>
      </vt:variant>
      <vt:variant>
        <vt:i4>0</vt:i4>
      </vt:variant>
      <vt:variant>
        <vt:i4>5</vt:i4>
      </vt:variant>
      <vt:variant>
        <vt:lpwstr>http://www.amsp.cz/</vt:lpwstr>
      </vt:variant>
      <vt:variant>
        <vt:lpwstr/>
      </vt:variant>
      <vt:variant>
        <vt:i4>6815792</vt:i4>
      </vt:variant>
      <vt:variant>
        <vt:i4>1365</vt:i4>
      </vt:variant>
      <vt:variant>
        <vt:i4>0</vt:i4>
      </vt:variant>
      <vt:variant>
        <vt:i4>5</vt:i4>
      </vt:variant>
      <vt:variant>
        <vt:lpwstr>http://www.spds.cz/</vt:lpwstr>
      </vt:variant>
      <vt:variant>
        <vt:lpwstr/>
      </vt:variant>
      <vt:variant>
        <vt:i4>589834</vt:i4>
      </vt:variant>
      <vt:variant>
        <vt:i4>1362</vt:i4>
      </vt:variant>
      <vt:variant>
        <vt:i4>0</vt:i4>
      </vt:variant>
      <vt:variant>
        <vt:i4>5</vt:i4>
      </vt:variant>
      <vt:variant>
        <vt:lpwstr>http://www.smocr.cz/</vt:lpwstr>
      </vt:variant>
      <vt:variant>
        <vt:lpwstr/>
      </vt:variant>
      <vt:variant>
        <vt:i4>7274545</vt:i4>
      </vt:variant>
      <vt:variant>
        <vt:i4>1359</vt:i4>
      </vt:variant>
      <vt:variant>
        <vt:i4>0</vt:i4>
      </vt:variant>
      <vt:variant>
        <vt:i4>5</vt:i4>
      </vt:variant>
      <vt:variant>
        <vt:lpwstr>http://www.spcr.cz/</vt:lpwstr>
      </vt:variant>
      <vt:variant>
        <vt:lpwstr/>
      </vt:variant>
      <vt:variant>
        <vt:i4>983113</vt:i4>
      </vt:variant>
      <vt:variant>
        <vt:i4>1356</vt:i4>
      </vt:variant>
      <vt:variant>
        <vt:i4>0</vt:i4>
      </vt:variant>
      <vt:variant>
        <vt:i4>5</vt:i4>
      </vt:variant>
      <vt:variant>
        <vt:lpwstr>http://www.agrocr.cz/</vt:lpwstr>
      </vt:variant>
      <vt:variant>
        <vt:lpwstr/>
      </vt:variant>
      <vt:variant>
        <vt:i4>7077930</vt:i4>
      </vt:variant>
      <vt:variant>
        <vt:i4>1353</vt:i4>
      </vt:variant>
      <vt:variant>
        <vt:i4>0</vt:i4>
      </vt:variant>
      <vt:variant>
        <vt:i4>5</vt:i4>
      </vt:variant>
      <vt:variant>
        <vt:lpwstr>http://www.pkcr.cz/</vt:lpwstr>
      </vt:variant>
      <vt:variant>
        <vt:lpwstr/>
      </vt:variant>
      <vt:variant>
        <vt:i4>720978</vt:i4>
      </vt:variant>
      <vt:variant>
        <vt:i4>1350</vt:i4>
      </vt:variant>
      <vt:variant>
        <vt:i4>0</vt:i4>
      </vt:variant>
      <vt:variant>
        <vt:i4>5</vt:i4>
      </vt:variant>
      <vt:variant>
        <vt:lpwstr>http://www.komora.cz/</vt:lpwstr>
      </vt:variant>
      <vt:variant>
        <vt:lpwstr/>
      </vt:variant>
      <vt:variant>
        <vt:i4>3997757</vt:i4>
      </vt:variant>
      <vt:variant>
        <vt:i4>1347</vt:i4>
      </vt:variant>
      <vt:variant>
        <vt:i4>0</vt:i4>
      </vt:variant>
      <vt:variant>
        <vt:i4>5</vt:i4>
      </vt:variant>
      <vt:variant>
        <vt:lpwstr>http://www.praha.eu/jnp/cz/home/index.html</vt:lpwstr>
      </vt:variant>
      <vt:variant>
        <vt:lpwstr/>
      </vt:variant>
      <vt:variant>
        <vt:i4>7274601</vt:i4>
      </vt:variant>
      <vt:variant>
        <vt:i4>1344</vt:i4>
      </vt:variant>
      <vt:variant>
        <vt:i4>0</vt:i4>
      </vt:variant>
      <vt:variant>
        <vt:i4>5</vt:i4>
      </vt:variant>
      <vt:variant>
        <vt:lpwstr>http://fpvs.cz/</vt:lpwstr>
      </vt:variant>
      <vt:variant>
        <vt:lpwstr/>
      </vt:variant>
      <vt:variant>
        <vt:i4>6553716</vt:i4>
      </vt:variant>
      <vt:variant>
        <vt:i4>1341</vt:i4>
      </vt:variant>
      <vt:variant>
        <vt:i4>0</vt:i4>
      </vt:variant>
      <vt:variant>
        <vt:i4>5</vt:i4>
      </vt:variant>
      <vt:variant>
        <vt:lpwstr>http://nsmascr.cz/o-nas/mistni-akncni-skupiny/</vt:lpwstr>
      </vt:variant>
      <vt:variant>
        <vt:lpwstr/>
      </vt:variant>
      <vt:variant>
        <vt:i4>6422654</vt:i4>
      </vt:variant>
      <vt:variant>
        <vt:i4>1338</vt:i4>
      </vt:variant>
      <vt:variant>
        <vt:i4>0</vt:i4>
      </vt:variant>
      <vt:variant>
        <vt:i4>5</vt:i4>
      </vt:variant>
      <vt:variant>
        <vt:lpwstr>http://www.asociacenno.cz/</vt:lpwstr>
      </vt:variant>
      <vt:variant>
        <vt:lpwstr/>
      </vt:variant>
      <vt:variant>
        <vt:i4>262158</vt:i4>
      </vt:variant>
      <vt:variant>
        <vt:i4>1335</vt:i4>
      </vt:variant>
      <vt:variant>
        <vt:i4>0</vt:i4>
      </vt:variant>
      <vt:variant>
        <vt:i4>5</vt:i4>
      </vt:variant>
      <vt:variant>
        <vt:lpwstr>http://www.aipcr.cz/</vt:lpwstr>
      </vt:variant>
      <vt:variant>
        <vt:lpwstr/>
      </vt:variant>
      <vt:variant>
        <vt:i4>7143470</vt:i4>
      </vt:variant>
      <vt:variant>
        <vt:i4>1332</vt:i4>
      </vt:variant>
      <vt:variant>
        <vt:i4>0</vt:i4>
      </vt:variant>
      <vt:variant>
        <vt:i4>5</vt:i4>
      </vt:variant>
      <vt:variant>
        <vt:lpwstr>http://www.amsp.cz/</vt:lpwstr>
      </vt:variant>
      <vt:variant>
        <vt:lpwstr/>
      </vt:variant>
      <vt:variant>
        <vt:i4>1900561</vt:i4>
      </vt:variant>
      <vt:variant>
        <vt:i4>1329</vt:i4>
      </vt:variant>
      <vt:variant>
        <vt:i4>0</vt:i4>
      </vt:variant>
      <vt:variant>
        <vt:i4>5</vt:i4>
      </vt:variant>
      <vt:variant>
        <vt:lpwstr>http://www.scmvd.cz/</vt:lpwstr>
      </vt:variant>
      <vt:variant>
        <vt:lpwstr/>
      </vt:variant>
      <vt:variant>
        <vt:i4>3211360</vt:i4>
      </vt:variant>
      <vt:variant>
        <vt:i4>1326</vt:i4>
      </vt:variant>
      <vt:variant>
        <vt:i4>0</vt:i4>
      </vt:variant>
      <vt:variant>
        <vt:i4>5</vt:i4>
      </vt:variant>
      <vt:variant>
        <vt:lpwstr>http://www.sps.cz/index.ASP</vt:lpwstr>
      </vt:variant>
      <vt:variant>
        <vt:lpwstr/>
      </vt:variant>
      <vt:variant>
        <vt:i4>7274542</vt:i4>
      </vt:variant>
      <vt:variant>
        <vt:i4>1323</vt:i4>
      </vt:variant>
      <vt:variant>
        <vt:i4>0</vt:i4>
      </vt:variant>
      <vt:variant>
        <vt:i4>5</vt:i4>
      </vt:variant>
      <vt:variant>
        <vt:lpwstr>http://www.socr.cz/</vt:lpwstr>
      </vt:variant>
      <vt:variant>
        <vt:lpwstr/>
      </vt:variant>
      <vt:variant>
        <vt:i4>7274545</vt:i4>
      </vt:variant>
      <vt:variant>
        <vt:i4>1320</vt:i4>
      </vt:variant>
      <vt:variant>
        <vt:i4>0</vt:i4>
      </vt:variant>
      <vt:variant>
        <vt:i4>5</vt:i4>
      </vt:variant>
      <vt:variant>
        <vt:lpwstr>http://www.spcr.cz/</vt:lpwstr>
      </vt:variant>
      <vt:variant>
        <vt:lpwstr/>
      </vt:variant>
      <vt:variant>
        <vt:i4>1835035</vt:i4>
      </vt:variant>
      <vt:variant>
        <vt:i4>1317</vt:i4>
      </vt:variant>
      <vt:variant>
        <vt:i4>0</vt:i4>
      </vt:variant>
      <vt:variant>
        <vt:i4>5</vt:i4>
      </vt:variant>
      <vt:variant>
        <vt:lpwstr>http://www.cmzrb.cz/</vt:lpwstr>
      </vt:variant>
      <vt:variant>
        <vt:lpwstr/>
      </vt:variant>
      <vt:variant>
        <vt:i4>720978</vt:i4>
      </vt:variant>
      <vt:variant>
        <vt:i4>1314</vt:i4>
      </vt:variant>
      <vt:variant>
        <vt:i4>0</vt:i4>
      </vt:variant>
      <vt:variant>
        <vt:i4>5</vt:i4>
      </vt:variant>
      <vt:variant>
        <vt:lpwstr>http://www.komora.cz/</vt:lpwstr>
      </vt:variant>
      <vt:variant>
        <vt:lpwstr/>
      </vt:variant>
      <vt:variant>
        <vt:i4>6815865</vt:i4>
      </vt:variant>
      <vt:variant>
        <vt:i4>1311</vt:i4>
      </vt:variant>
      <vt:variant>
        <vt:i4>0</vt:i4>
      </vt:variant>
      <vt:variant>
        <vt:i4>5</vt:i4>
      </vt:variant>
      <vt:variant>
        <vt:lpwstr>http://tacr.cz/</vt:lpwstr>
      </vt:variant>
      <vt:variant>
        <vt:lpwstr/>
      </vt:variant>
      <vt:variant>
        <vt:i4>7209069</vt:i4>
      </vt:variant>
      <vt:variant>
        <vt:i4>1308</vt:i4>
      </vt:variant>
      <vt:variant>
        <vt:i4>0</vt:i4>
      </vt:variant>
      <vt:variant>
        <vt:i4>5</vt:i4>
      </vt:variant>
      <vt:variant>
        <vt:lpwstr>http://www.jic.cz/</vt:lpwstr>
      </vt:variant>
      <vt:variant>
        <vt:lpwstr/>
      </vt:variant>
      <vt:variant>
        <vt:i4>983058</vt:i4>
      </vt:variant>
      <vt:variant>
        <vt:i4>1305</vt:i4>
      </vt:variant>
      <vt:variant>
        <vt:i4>0</vt:i4>
      </vt:variant>
      <vt:variant>
        <vt:i4>5</vt:i4>
      </vt:variant>
      <vt:variant>
        <vt:lpwstr>http://www.mdcr.cz/cs/default.htm</vt:lpwstr>
      </vt:variant>
      <vt:variant>
        <vt:lpwstr/>
      </vt:variant>
      <vt:variant>
        <vt:i4>2949225</vt:i4>
      </vt:variant>
      <vt:variant>
        <vt:i4>1302</vt:i4>
      </vt:variant>
      <vt:variant>
        <vt:i4>0</vt:i4>
      </vt:variant>
      <vt:variant>
        <vt:i4>5</vt:i4>
      </vt:variant>
      <vt:variant>
        <vt:lpwstr>http://www.mpsv.cz/cs/</vt:lpwstr>
      </vt:variant>
      <vt:variant>
        <vt:lpwstr/>
      </vt:variant>
      <vt:variant>
        <vt:i4>7405610</vt:i4>
      </vt:variant>
      <vt:variant>
        <vt:i4>1299</vt:i4>
      </vt:variant>
      <vt:variant>
        <vt:i4>0</vt:i4>
      </vt:variant>
      <vt:variant>
        <vt:i4>5</vt:i4>
      </vt:variant>
      <vt:variant>
        <vt:lpwstr>http://www.mkcr.cz/</vt:lpwstr>
      </vt:variant>
      <vt:variant>
        <vt:lpwstr/>
      </vt:variant>
      <vt:variant>
        <vt:i4>8323124</vt:i4>
      </vt:variant>
      <vt:variant>
        <vt:i4>1296</vt:i4>
      </vt:variant>
      <vt:variant>
        <vt:i4>0</vt:i4>
      </vt:variant>
      <vt:variant>
        <vt:i4>5</vt:i4>
      </vt:variant>
      <vt:variant>
        <vt:lpwstr>http://www.msmt.cz/</vt:lpwstr>
      </vt:variant>
      <vt:variant>
        <vt:lpwstr/>
      </vt:variant>
      <vt:variant>
        <vt:i4>3997757</vt:i4>
      </vt:variant>
      <vt:variant>
        <vt:i4>1293</vt:i4>
      </vt:variant>
      <vt:variant>
        <vt:i4>0</vt:i4>
      </vt:variant>
      <vt:variant>
        <vt:i4>5</vt:i4>
      </vt:variant>
      <vt:variant>
        <vt:lpwstr>http://www.praha.eu/jnp/cz/home/index.html</vt:lpwstr>
      </vt:variant>
      <vt:variant>
        <vt:lpwstr/>
      </vt:variant>
      <vt:variant>
        <vt:i4>6553716</vt:i4>
      </vt:variant>
      <vt:variant>
        <vt:i4>1290</vt:i4>
      </vt:variant>
      <vt:variant>
        <vt:i4>0</vt:i4>
      </vt:variant>
      <vt:variant>
        <vt:i4>5</vt:i4>
      </vt:variant>
      <vt:variant>
        <vt:lpwstr>http://nsmascr.cz/o-nas/mistni-akncni-skupiny/</vt:lpwstr>
      </vt:variant>
      <vt:variant>
        <vt:lpwstr/>
      </vt:variant>
      <vt:variant>
        <vt:i4>7340144</vt:i4>
      </vt:variant>
      <vt:variant>
        <vt:i4>1287</vt:i4>
      </vt:variant>
      <vt:variant>
        <vt:i4>0</vt:i4>
      </vt:variant>
      <vt:variant>
        <vt:i4>5</vt:i4>
      </vt:variant>
      <vt:variant>
        <vt:lpwstr>http://www.utb.cz/</vt:lpwstr>
      </vt:variant>
      <vt:variant>
        <vt:lpwstr/>
      </vt:variant>
      <vt:variant>
        <vt:i4>8126506</vt:i4>
      </vt:variant>
      <vt:variant>
        <vt:i4>1284</vt:i4>
      </vt:variant>
      <vt:variant>
        <vt:i4>0</vt:i4>
      </vt:variant>
      <vt:variant>
        <vt:i4>5</vt:i4>
      </vt:variant>
      <vt:variant>
        <vt:lpwstr>http://crc.muni.cz/</vt:lpwstr>
      </vt:variant>
      <vt:variant>
        <vt:lpwstr/>
      </vt:variant>
      <vt:variant>
        <vt:i4>6553658</vt:i4>
      </vt:variant>
      <vt:variant>
        <vt:i4>1281</vt:i4>
      </vt:variant>
      <vt:variant>
        <vt:i4>0</vt:i4>
      </vt:variant>
      <vt:variant>
        <vt:i4>5</vt:i4>
      </vt:variant>
      <vt:variant>
        <vt:lpwstr>http://www.kzps.cz/</vt:lpwstr>
      </vt:variant>
      <vt:variant>
        <vt:lpwstr/>
      </vt:variant>
      <vt:variant>
        <vt:i4>6422654</vt:i4>
      </vt:variant>
      <vt:variant>
        <vt:i4>1278</vt:i4>
      </vt:variant>
      <vt:variant>
        <vt:i4>0</vt:i4>
      </vt:variant>
      <vt:variant>
        <vt:i4>5</vt:i4>
      </vt:variant>
      <vt:variant>
        <vt:lpwstr>http://www.asociacenno.cz/</vt:lpwstr>
      </vt:variant>
      <vt:variant>
        <vt:lpwstr/>
      </vt:variant>
      <vt:variant>
        <vt:i4>7143470</vt:i4>
      </vt:variant>
      <vt:variant>
        <vt:i4>1275</vt:i4>
      </vt:variant>
      <vt:variant>
        <vt:i4>0</vt:i4>
      </vt:variant>
      <vt:variant>
        <vt:i4>5</vt:i4>
      </vt:variant>
      <vt:variant>
        <vt:lpwstr>http://www.amsp.cz/</vt:lpwstr>
      </vt:variant>
      <vt:variant>
        <vt:lpwstr/>
      </vt:variant>
      <vt:variant>
        <vt:i4>262158</vt:i4>
      </vt:variant>
      <vt:variant>
        <vt:i4>1272</vt:i4>
      </vt:variant>
      <vt:variant>
        <vt:i4>0</vt:i4>
      </vt:variant>
      <vt:variant>
        <vt:i4>5</vt:i4>
      </vt:variant>
      <vt:variant>
        <vt:lpwstr>http://www.aipcr.cz/</vt:lpwstr>
      </vt:variant>
      <vt:variant>
        <vt:lpwstr/>
      </vt:variant>
      <vt:variant>
        <vt:i4>6881394</vt:i4>
      </vt:variant>
      <vt:variant>
        <vt:i4>1269</vt:i4>
      </vt:variant>
      <vt:variant>
        <vt:i4>0</vt:i4>
      </vt:variant>
      <vt:variant>
        <vt:i4>5</vt:i4>
      </vt:variant>
      <vt:variant>
        <vt:lpwstr>http://www.avo.cz/</vt:lpwstr>
      </vt:variant>
      <vt:variant>
        <vt:lpwstr/>
      </vt:variant>
      <vt:variant>
        <vt:i4>589834</vt:i4>
      </vt:variant>
      <vt:variant>
        <vt:i4>1266</vt:i4>
      </vt:variant>
      <vt:variant>
        <vt:i4>0</vt:i4>
      </vt:variant>
      <vt:variant>
        <vt:i4>5</vt:i4>
      </vt:variant>
      <vt:variant>
        <vt:lpwstr>http://www.smocr.cz/</vt:lpwstr>
      </vt:variant>
      <vt:variant>
        <vt:lpwstr/>
      </vt:variant>
      <vt:variant>
        <vt:i4>7274542</vt:i4>
      </vt:variant>
      <vt:variant>
        <vt:i4>1263</vt:i4>
      </vt:variant>
      <vt:variant>
        <vt:i4>0</vt:i4>
      </vt:variant>
      <vt:variant>
        <vt:i4>5</vt:i4>
      </vt:variant>
      <vt:variant>
        <vt:lpwstr>http://www.socr.cz/</vt:lpwstr>
      </vt:variant>
      <vt:variant>
        <vt:lpwstr/>
      </vt:variant>
      <vt:variant>
        <vt:i4>7274545</vt:i4>
      </vt:variant>
      <vt:variant>
        <vt:i4>1260</vt:i4>
      </vt:variant>
      <vt:variant>
        <vt:i4>0</vt:i4>
      </vt:variant>
      <vt:variant>
        <vt:i4>5</vt:i4>
      </vt:variant>
      <vt:variant>
        <vt:lpwstr>http://www.spcr.cz/</vt:lpwstr>
      </vt:variant>
      <vt:variant>
        <vt:lpwstr/>
      </vt:variant>
      <vt:variant>
        <vt:i4>7077930</vt:i4>
      </vt:variant>
      <vt:variant>
        <vt:i4>1257</vt:i4>
      </vt:variant>
      <vt:variant>
        <vt:i4>0</vt:i4>
      </vt:variant>
      <vt:variant>
        <vt:i4>5</vt:i4>
      </vt:variant>
      <vt:variant>
        <vt:lpwstr>http://www.pkcr.cz/</vt:lpwstr>
      </vt:variant>
      <vt:variant>
        <vt:lpwstr/>
      </vt:variant>
      <vt:variant>
        <vt:i4>720978</vt:i4>
      </vt:variant>
      <vt:variant>
        <vt:i4>1254</vt:i4>
      </vt:variant>
      <vt:variant>
        <vt:i4>0</vt:i4>
      </vt:variant>
      <vt:variant>
        <vt:i4>5</vt:i4>
      </vt:variant>
      <vt:variant>
        <vt:lpwstr>http://www.komora.cz/</vt:lpwstr>
      </vt:variant>
      <vt:variant>
        <vt:lpwstr/>
      </vt:variant>
      <vt:variant>
        <vt:i4>7209069</vt:i4>
      </vt:variant>
      <vt:variant>
        <vt:i4>1251</vt:i4>
      </vt:variant>
      <vt:variant>
        <vt:i4>0</vt:i4>
      </vt:variant>
      <vt:variant>
        <vt:i4>5</vt:i4>
      </vt:variant>
      <vt:variant>
        <vt:lpwstr>http://www.jic.cz/</vt:lpwstr>
      </vt:variant>
      <vt:variant>
        <vt:lpwstr/>
      </vt:variant>
      <vt:variant>
        <vt:i4>4653068</vt:i4>
      </vt:variant>
      <vt:variant>
        <vt:i4>1248</vt:i4>
      </vt:variant>
      <vt:variant>
        <vt:i4>0</vt:i4>
      </vt:variant>
      <vt:variant>
        <vt:i4>5</vt:i4>
      </vt:variant>
      <vt:variant>
        <vt:lpwstr>http://www.tc.cz/cs/</vt:lpwstr>
      </vt:variant>
      <vt:variant>
        <vt:lpwstr/>
      </vt:variant>
      <vt:variant>
        <vt:i4>6815865</vt:i4>
      </vt:variant>
      <vt:variant>
        <vt:i4>1245</vt:i4>
      </vt:variant>
      <vt:variant>
        <vt:i4>0</vt:i4>
      </vt:variant>
      <vt:variant>
        <vt:i4>5</vt:i4>
      </vt:variant>
      <vt:variant>
        <vt:lpwstr>http://tacr.cz/</vt:lpwstr>
      </vt:variant>
      <vt:variant>
        <vt:lpwstr/>
      </vt:variant>
      <vt:variant>
        <vt:i4>983058</vt:i4>
      </vt:variant>
      <vt:variant>
        <vt:i4>1242</vt:i4>
      </vt:variant>
      <vt:variant>
        <vt:i4>0</vt:i4>
      </vt:variant>
      <vt:variant>
        <vt:i4>5</vt:i4>
      </vt:variant>
      <vt:variant>
        <vt:lpwstr>http://www.mdcr.cz/cs/default.htm</vt:lpwstr>
      </vt:variant>
      <vt:variant>
        <vt:lpwstr/>
      </vt:variant>
      <vt:variant>
        <vt:i4>7405610</vt:i4>
      </vt:variant>
      <vt:variant>
        <vt:i4>1239</vt:i4>
      </vt:variant>
      <vt:variant>
        <vt:i4>0</vt:i4>
      </vt:variant>
      <vt:variant>
        <vt:i4>5</vt:i4>
      </vt:variant>
      <vt:variant>
        <vt:lpwstr>http://www.mkcr.cz/</vt:lpwstr>
      </vt:variant>
      <vt:variant>
        <vt:lpwstr/>
      </vt:variant>
      <vt:variant>
        <vt:i4>8323124</vt:i4>
      </vt:variant>
      <vt:variant>
        <vt:i4>1236</vt:i4>
      </vt:variant>
      <vt:variant>
        <vt:i4>0</vt:i4>
      </vt:variant>
      <vt:variant>
        <vt:i4>5</vt:i4>
      </vt:variant>
      <vt:variant>
        <vt:lpwstr>http://www.msmt.cz/</vt:lpwstr>
      </vt:variant>
      <vt:variant>
        <vt:lpwstr/>
      </vt:variant>
      <vt:variant>
        <vt:i4>3997757</vt:i4>
      </vt:variant>
      <vt:variant>
        <vt:i4>1233</vt:i4>
      </vt:variant>
      <vt:variant>
        <vt:i4>0</vt:i4>
      </vt:variant>
      <vt:variant>
        <vt:i4>5</vt:i4>
      </vt:variant>
      <vt:variant>
        <vt:lpwstr>http://www.praha.eu/jnp/cz/home/index.html</vt:lpwstr>
      </vt:variant>
      <vt:variant>
        <vt:lpwstr/>
      </vt:variant>
      <vt:variant>
        <vt:i4>7274534</vt:i4>
      </vt:variant>
      <vt:variant>
        <vt:i4>1230</vt:i4>
      </vt:variant>
      <vt:variant>
        <vt:i4>0</vt:i4>
      </vt:variant>
      <vt:variant>
        <vt:i4>5</vt:i4>
      </vt:variant>
      <vt:variant>
        <vt:lpwstr>http://www.czso.cz/</vt:lpwstr>
      </vt:variant>
      <vt:variant>
        <vt:lpwstr/>
      </vt:variant>
      <vt:variant>
        <vt:i4>6553716</vt:i4>
      </vt:variant>
      <vt:variant>
        <vt:i4>1227</vt:i4>
      </vt:variant>
      <vt:variant>
        <vt:i4>0</vt:i4>
      </vt:variant>
      <vt:variant>
        <vt:i4>5</vt:i4>
      </vt:variant>
      <vt:variant>
        <vt:lpwstr>http://nsmascr.cz/o-nas/mistni-akncni-skupiny/</vt:lpwstr>
      </vt:variant>
      <vt:variant>
        <vt:lpwstr/>
      </vt:variant>
      <vt:variant>
        <vt:i4>6422654</vt:i4>
      </vt:variant>
      <vt:variant>
        <vt:i4>1224</vt:i4>
      </vt:variant>
      <vt:variant>
        <vt:i4>0</vt:i4>
      </vt:variant>
      <vt:variant>
        <vt:i4>5</vt:i4>
      </vt:variant>
      <vt:variant>
        <vt:lpwstr>http://www.asociacenno.cz/</vt:lpwstr>
      </vt:variant>
      <vt:variant>
        <vt:lpwstr/>
      </vt:variant>
      <vt:variant>
        <vt:i4>1835016</vt:i4>
      </vt:variant>
      <vt:variant>
        <vt:i4>1221</vt:i4>
      </vt:variant>
      <vt:variant>
        <vt:i4>0</vt:i4>
      </vt:variant>
      <vt:variant>
        <vt:i4>5</vt:i4>
      </vt:variant>
      <vt:variant>
        <vt:lpwstr>http://www.asociacekraju.cz/</vt:lpwstr>
      </vt:variant>
      <vt:variant>
        <vt:lpwstr/>
      </vt:variant>
      <vt:variant>
        <vt:i4>7143470</vt:i4>
      </vt:variant>
      <vt:variant>
        <vt:i4>1218</vt:i4>
      </vt:variant>
      <vt:variant>
        <vt:i4>0</vt:i4>
      </vt:variant>
      <vt:variant>
        <vt:i4>5</vt:i4>
      </vt:variant>
      <vt:variant>
        <vt:lpwstr>http://www.amsp.cz/</vt:lpwstr>
      </vt:variant>
      <vt:variant>
        <vt:lpwstr/>
      </vt:variant>
      <vt:variant>
        <vt:i4>6553658</vt:i4>
      </vt:variant>
      <vt:variant>
        <vt:i4>1215</vt:i4>
      </vt:variant>
      <vt:variant>
        <vt:i4>0</vt:i4>
      </vt:variant>
      <vt:variant>
        <vt:i4>5</vt:i4>
      </vt:variant>
      <vt:variant>
        <vt:lpwstr>http://www.kzps.cz/</vt:lpwstr>
      </vt:variant>
      <vt:variant>
        <vt:lpwstr/>
      </vt:variant>
      <vt:variant>
        <vt:i4>1835014</vt:i4>
      </vt:variant>
      <vt:variant>
        <vt:i4>1212</vt:i4>
      </vt:variant>
      <vt:variant>
        <vt:i4>0</vt:i4>
      </vt:variant>
      <vt:variant>
        <vt:i4>5</vt:i4>
      </vt:variant>
      <vt:variant>
        <vt:lpwstr>http://www.cmkos.cz/</vt:lpwstr>
      </vt:variant>
      <vt:variant>
        <vt:lpwstr/>
      </vt:variant>
      <vt:variant>
        <vt:i4>1376266</vt:i4>
      </vt:variant>
      <vt:variant>
        <vt:i4>1209</vt:i4>
      </vt:variant>
      <vt:variant>
        <vt:i4>0</vt:i4>
      </vt:variant>
      <vt:variant>
        <vt:i4>5</vt:i4>
      </vt:variant>
      <vt:variant>
        <vt:lpwstr>http://www.smscr.cz/</vt:lpwstr>
      </vt:variant>
      <vt:variant>
        <vt:lpwstr/>
      </vt:variant>
      <vt:variant>
        <vt:i4>589834</vt:i4>
      </vt:variant>
      <vt:variant>
        <vt:i4>1206</vt:i4>
      </vt:variant>
      <vt:variant>
        <vt:i4>0</vt:i4>
      </vt:variant>
      <vt:variant>
        <vt:i4>5</vt:i4>
      </vt:variant>
      <vt:variant>
        <vt:lpwstr>http://www.smocr.cz/</vt:lpwstr>
      </vt:variant>
      <vt:variant>
        <vt:lpwstr/>
      </vt:variant>
      <vt:variant>
        <vt:i4>3211360</vt:i4>
      </vt:variant>
      <vt:variant>
        <vt:i4>1203</vt:i4>
      </vt:variant>
      <vt:variant>
        <vt:i4>0</vt:i4>
      </vt:variant>
      <vt:variant>
        <vt:i4>5</vt:i4>
      </vt:variant>
      <vt:variant>
        <vt:lpwstr>http://www.sps.cz/index.ASP</vt:lpwstr>
      </vt:variant>
      <vt:variant>
        <vt:lpwstr/>
      </vt:variant>
      <vt:variant>
        <vt:i4>7274542</vt:i4>
      </vt:variant>
      <vt:variant>
        <vt:i4>1200</vt:i4>
      </vt:variant>
      <vt:variant>
        <vt:i4>0</vt:i4>
      </vt:variant>
      <vt:variant>
        <vt:i4>5</vt:i4>
      </vt:variant>
      <vt:variant>
        <vt:lpwstr>http://www.socr.cz/</vt:lpwstr>
      </vt:variant>
      <vt:variant>
        <vt:lpwstr/>
      </vt:variant>
      <vt:variant>
        <vt:i4>7274545</vt:i4>
      </vt:variant>
      <vt:variant>
        <vt:i4>1197</vt:i4>
      </vt:variant>
      <vt:variant>
        <vt:i4>0</vt:i4>
      </vt:variant>
      <vt:variant>
        <vt:i4>5</vt:i4>
      </vt:variant>
      <vt:variant>
        <vt:lpwstr>http://www.spcr.cz/</vt:lpwstr>
      </vt:variant>
      <vt:variant>
        <vt:lpwstr/>
      </vt:variant>
      <vt:variant>
        <vt:i4>5898269</vt:i4>
      </vt:variant>
      <vt:variant>
        <vt:i4>1194</vt:i4>
      </vt:variant>
      <vt:variant>
        <vt:i4>0</vt:i4>
      </vt:variant>
      <vt:variant>
        <vt:i4>5</vt:i4>
      </vt:variant>
      <vt:variant>
        <vt:lpwstr>http://www.vyzkum.cz/FrontClanek.aspx?idsekce=496</vt:lpwstr>
      </vt:variant>
      <vt:variant>
        <vt:lpwstr/>
      </vt:variant>
      <vt:variant>
        <vt:i4>1835035</vt:i4>
      </vt:variant>
      <vt:variant>
        <vt:i4>1191</vt:i4>
      </vt:variant>
      <vt:variant>
        <vt:i4>0</vt:i4>
      </vt:variant>
      <vt:variant>
        <vt:i4>5</vt:i4>
      </vt:variant>
      <vt:variant>
        <vt:lpwstr>http://www.cmzrb.cz/</vt:lpwstr>
      </vt:variant>
      <vt:variant>
        <vt:lpwstr/>
      </vt:variant>
      <vt:variant>
        <vt:i4>6815865</vt:i4>
      </vt:variant>
      <vt:variant>
        <vt:i4>1188</vt:i4>
      </vt:variant>
      <vt:variant>
        <vt:i4>0</vt:i4>
      </vt:variant>
      <vt:variant>
        <vt:i4>5</vt:i4>
      </vt:variant>
      <vt:variant>
        <vt:lpwstr>http://tacr.cz/</vt:lpwstr>
      </vt:variant>
      <vt:variant>
        <vt:lpwstr/>
      </vt:variant>
      <vt:variant>
        <vt:i4>7077930</vt:i4>
      </vt:variant>
      <vt:variant>
        <vt:i4>1185</vt:i4>
      </vt:variant>
      <vt:variant>
        <vt:i4>0</vt:i4>
      </vt:variant>
      <vt:variant>
        <vt:i4>5</vt:i4>
      </vt:variant>
      <vt:variant>
        <vt:lpwstr>http://www.pkcr.cz/</vt:lpwstr>
      </vt:variant>
      <vt:variant>
        <vt:lpwstr/>
      </vt:variant>
      <vt:variant>
        <vt:i4>720978</vt:i4>
      </vt:variant>
      <vt:variant>
        <vt:i4>1182</vt:i4>
      </vt:variant>
      <vt:variant>
        <vt:i4>0</vt:i4>
      </vt:variant>
      <vt:variant>
        <vt:i4>5</vt:i4>
      </vt:variant>
      <vt:variant>
        <vt:lpwstr>http://www.komora.cz/</vt:lpwstr>
      </vt:variant>
      <vt:variant>
        <vt:lpwstr/>
      </vt:variant>
      <vt:variant>
        <vt:i4>3276832</vt:i4>
      </vt:variant>
      <vt:variant>
        <vt:i4>1179</vt:i4>
      </vt:variant>
      <vt:variant>
        <vt:i4>0</vt:i4>
      </vt:variant>
      <vt:variant>
        <vt:i4>5</vt:i4>
      </vt:variant>
      <vt:variant>
        <vt:lpwstr>http://czechinvest.org/</vt:lpwstr>
      </vt:variant>
      <vt:variant>
        <vt:lpwstr/>
      </vt:variant>
      <vt:variant>
        <vt:i4>983058</vt:i4>
      </vt:variant>
      <vt:variant>
        <vt:i4>1176</vt:i4>
      </vt:variant>
      <vt:variant>
        <vt:i4>0</vt:i4>
      </vt:variant>
      <vt:variant>
        <vt:i4>5</vt:i4>
      </vt:variant>
      <vt:variant>
        <vt:lpwstr>http://www.mdcr.cz/cs/default.htm</vt:lpwstr>
      </vt:variant>
      <vt:variant>
        <vt:lpwstr/>
      </vt:variant>
      <vt:variant>
        <vt:i4>1638426</vt:i4>
      </vt:variant>
      <vt:variant>
        <vt:i4>1173</vt:i4>
      </vt:variant>
      <vt:variant>
        <vt:i4>0</vt:i4>
      </vt:variant>
      <vt:variant>
        <vt:i4>5</vt:i4>
      </vt:variant>
      <vt:variant>
        <vt:lpwstr>http://eagri.cz/public/web/mze/ministerstvo-zemedelstvi/</vt:lpwstr>
      </vt:variant>
      <vt:variant>
        <vt:lpwstr/>
      </vt:variant>
      <vt:variant>
        <vt:i4>8323124</vt:i4>
      </vt:variant>
      <vt:variant>
        <vt:i4>1170</vt:i4>
      </vt:variant>
      <vt:variant>
        <vt:i4>0</vt:i4>
      </vt:variant>
      <vt:variant>
        <vt:i4>5</vt:i4>
      </vt:variant>
      <vt:variant>
        <vt:lpwstr>http://www.msmt.cz/</vt:lpwstr>
      </vt:variant>
      <vt:variant>
        <vt:lpwstr/>
      </vt:variant>
      <vt:variant>
        <vt:i4>2949225</vt:i4>
      </vt:variant>
      <vt:variant>
        <vt:i4>1167</vt:i4>
      </vt:variant>
      <vt:variant>
        <vt:i4>0</vt:i4>
      </vt:variant>
      <vt:variant>
        <vt:i4>5</vt:i4>
      </vt:variant>
      <vt:variant>
        <vt:lpwstr>http://www.mpsv.cz/cs/</vt:lpwstr>
      </vt:variant>
      <vt:variant>
        <vt:lpwstr/>
      </vt:variant>
      <vt:variant>
        <vt:i4>7995431</vt:i4>
      </vt:variant>
      <vt:variant>
        <vt:i4>1164</vt:i4>
      </vt:variant>
      <vt:variant>
        <vt:i4>0</vt:i4>
      </vt:variant>
      <vt:variant>
        <vt:i4>5</vt:i4>
      </vt:variant>
      <vt:variant>
        <vt:lpwstr>http://mzp.cz/</vt:lpwstr>
      </vt:variant>
      <vt:variant>
        <vt:lpwstr/>
      </vt:variant>
      <vt:variant>
        <vt:i4>4784152</vt:i4>
      </vt:variant>
      <vt:variant>
        <vt:i4>1161</vt:i4>
      </vt:variant>
      <vt:variant>
        <vt:i4>0</vt:i4>
      </vt:variant>
      <vt:variant>
        <vt:i4>5</vt:i4>
      </vt:variant>
      <vt:variant>
        <vt:lpwstr>http://www.mfcr.cz/cps/rde/xchg/</vt:lpwstr>
      </vt:variant>
      <vt:variant>
        <vt:lpwstr/>
      </vt:variant>
      <vt:variant>
        <vt:i4>2490417</vt:i4>
      </vt:variant>
      <vt:variant>
        <vt:i4>1158</vt:i4>
      </vt:variant>
      <vt:variant>
        <vt:i4>0</vt:i4>
      </vt:variant>
      <vt:variant>
        <vt:i4>5</vt:i4>
      </vt:variant>
      <vt:variant>
        <vt:lpwstr>http://www.mmr.cz/cs/Uvodni-strana</vt:lpwstr>
      </vt:variant>
      <vt:variant>
        <vt:lpwstr/>
      </vt:variant>
      <vt:variant>
        <vt:i4>5111892</vt:i4>
      </vt:variant>
      <vt:variant>
        <vt:i4>1146</vt:i4>
      </vt:variant>
      <vt:variant>
        <vt:i4>0</vt:i4>
      </vt:variant>
      <vt:variant>
        <vt:i4>5</vt:i4>
      </vt:variant>
      <vt:variant>
        <vt:lpwstr>http://www.vlada.cz/assets/evropske-zalezitosti/aktualne/NPR-2014.pdf</vt:lpwstr>
      </vt:variant>
      <vt:variant>
        <vt:lpwstr/>
      </vt:variant>
      <vt:variant>
        <vt:i4>5963805</vt:i4>
      </vt:variant>
      <vt:variant>
        <vt:i4>1143</vt:i4>
      </vt:variant>
      <vt:variant>
        <vt:i4>0</vt:i4>
      </vt:variant>
      <vt:variant>
        <vt:i4>5</vt:i4>
      </vt:variant>
      <vt:variant>
        <vt:lpwstr>http://www.mpo.cz/dokument119071.html</vt:lpwstr>
      </vt:variant>
      <vt:variant>
        <vt:lpwstr/>
      </vt:variant>
      <vt:variant>
        <vt:i4>5767196</vt:i4>
      </vt:variant>
      <vt:variant>
        <vt:i4>1140</vt:i4>
      </vt:variant>
      <vt:variant>
        <vt:i4>0</vt:i4>
      </vt:variant>
      <vt:variant>
        <vt:i4>5</vt:i4>
      </vt:variant>
      <vt:variant>
        <vt:lpwstr>http://www.vlada.cz/assets/media-centrum/aktualne/Strategie-mezinarodni-konkurenceschopnosti-Ceske-republiky.pdf</vt:lpwstr>
      </vt:variant>
      <vt:variant>
        <vt:lpwstr/>
      </vt:variant>
      <vt:variant>
        <vt:i4>6160403</vt:i4>
      </vt:variant>
      <vt:variant>
        <vt:i4>1137</vt:i4>
      </vt:variant>
      <vt:variant>
        <vt:i4>0</vt:i4>
      </vt:variant>
      <vt:variant>
        <vt:i4>5</vt:i4>
      </vt:variant>
      <vt:variant>
        <vt:lpwstr>http://www.mpo.cz/dokument144140.html</vt:lpwstr>
      </vt:variant>
      <vt:variant>
        <vt:lpwstr/>
      </vt:variant>
      <vt:variant>
        <vt:i4>5111892</vt:i4>
      </vt:variant>
      <vt:variant>
        <vt:i4>1134</vt:i4>
      </vt:variant>
      <vt:variant>
        <vt:i4>0</vt:i4>
      </vt:variant>
      <vt:variant>
        <vt:i4>5</vt:i4>
      </vt:variant>
      <vt:variant>
        <vt:lpwstr>http://www.vlada.cz/assets/evropske-zalezitosti/aktualne/NPR-2014.pdf</vt:lpwstr>
      </vt:variant>
      <vt:variant>
        <vt:lpwstr/>
      </vt:variant>
      <vt:variant>
        <vt:i4>5963805</vt:i4>
      </vt:variant>
      <vt:variant>
        <vt:i4>1131</vt:i4>
      </vt:variant>
      <vt:variant>
        <vt:i4>0</vt:i4>
      </vt:variant>
      <vt:variant>
        <vt:i4>5</vt:i4>
      </vt:variant>
      <vt:variant>
        <vt:lpwstr>http://www.mpo.cz/dokument119071.html</vt:lpwstr>
      </vt:variant>
      <vt:variant>
        <vt:lpwstr/>
      </vt:variant>
      <vt:variant>
        <vt:i4>5767196</vt:i4>
      </vt:variant>
      <vt:variant>
        <vt:i4>1128</vt:i4>
      </vt:variant>
      <vt:variant>
        <vt:i4>0</vt:i4>
      </vt:variant>
      <vt:variant>
        <vt:i4>5</vt:i4>
      </vt:variant>
      <vt:variant>
        <vt:lpwstr>http://www.vlada.cz/assets/media-centrum/aktualne/Strategie-mezinarodni-konkurenceschopnosti-Ceske-republiky.pdf</vt:lpwstr>
      </vt:variant>
      <vt:variant>
        <vt:lpwstr/>
      </vt:variant>
      <vt:variant>
        <vt:i4>6750266</vt:i4>
      </vt:variant>
      <vt:variant>
        <vt:i4>1125</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1122</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1119</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1116</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1113</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1110</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1107</vt:i4>
      </vt:variant>
      <vt:variant>
        <vt:i4>0</vt:i4>
      </vt:variant>
      <vt:variant>
        <vt:i4>5</vt:i4>
      </vt:variant>
      <vt:variant>
        <vt:lpwstr>http://portal.gov.cz/app/zakony/zakonPar.jsp?idBiblio=49962&amp;fulltext=&amp;nr=458~2F2000&amp;part=&amp;name=&amp;rpp=15</vt:lpwstr>
      </vt:variant>
      <vt:variant>
        <vt:lpwstr>local-content</vt:lpwstr>
      </vt:variant>
      <vt:variant>
        <vt:i4>1310807</vt:i4>
      </vt:variant>
      <vt:variant>
        <vt:i4>1104</vt:i4>
      </vt:variant>
      <vt:variant>
        <vt:i4>0</vt:i4>
      </vt:variant>
      <vt:variant>
        <vt:i4>5</vt:i4>
      </vt:variant>
      <vt:variant>
        <vt:lpwstr>http://databaze-strategie.cz/cz/mpo/strategie/narodni-akcni-plan-cr-pro-energii-z-obnovitelnych-zdroju-2010-2020</vt:lpwstr>
      </vt:variant>
      <vt:variant>
        <vt:lpwstr/>
      </vt:variant>
      <vt:variant>
        <vt:i4>4915239</vt:i4>
      </vt:variant>
      <vt:variant>
        <vt:i4>1101</vt:i4>
      </vt:variant>
      <vt:variant>
        <vt:i4>0</vt:i4>
      </vt:variant>
      <vt:variant>
        <vt:i4>5</vt:i4>
      </vt:variant>
      <vt:variant>
        <vt:lpwstr>http://www.eru.cz/dias-browse_articles.php?parentId=384&amp;deep=off&amp;type=</vt:lpwstr>
      </vt:variant>
      <vt:variant>
        <vt:lpwstr/>
      </vt:variant>
      <vt:variant>
        <vt:i4>6357045</vt:i4>
      </vt:variant>
      <vt:variant>
        <vt:i4>1098</vt:i4>
      </vt:variant>
      <vt:variant>
        <vt:i4>0</vt:i4>
      </vt:variant>
      <vt:variant>
        <vt:i4>5</vt:i4>
      </vt:variant>
      <vt:variant>
        <vt:lpwstr>http://portal.gov.cz/app/zakony/zakonPar.jsp?idBiblio=77573&amp;fulltext=&amp;nr=165~2F2012&amp;part=&amp;name=&amp;rpp=15</vt:lpwstr>
      </vt:variant>
      <vt:variant>
        <vt:lpwstr>local-content</vt:lpwstr>
      </vt:variant>
      <vt:variant>
        <vt:i4>2162759</vt:i4>
      </vt:variant>
      <vt:variant>
        <vt:i4>1095</vt:i4>
      </vt:variant>
      <vt:variant>
        <vt:i4>0</vt:i4>
      </vt:variant>
      <vt:variant>
        <vt:i4>5</vt:i4>
      </vt:variant>
      <vt:variant>
        <vt:lpwstr>http://www.eru.cz/dias-browse_articles.php?parentId=91&amp;deep=off&amp;type=</vt:lpwstr>
      </vt:variant>
      <vt:variant>
        <vt:lpwstr/>
      </vt:variant>
      <vt:variant>
        <vt:i4>6750266</vt:i4>
      </vt:variant>
      <vt:variant>
        <vt:i4>1092</vt:i4>
      </vt:variant>
      <vt:variant>
        <vt:i4>0</vt:i4>
      </vt:variant>
      <vt:variant>
        <vt:i4>5</vt:i4>
      </vt:variant>
      <vt:variant>
        <vt:lpwstr>http://portal.gov.cz/app/zakony/zakonPar.jsp?idBiblio=49962&amp;fulltext=&amp;nr=458~2F2000&amp;part=&amp;name=&amp;rpp=15</vt:lpwstr>
      </vt:variant>
      <vt:variant>
        <vt:lpwstr>local-content</vt:lpwstr>
      </vt:variant>
      <vt:variant>
        <vt:i4>6946875</vt:i4>
      </vt:variant>
      <vt:variant>
        <vt:i4>1089</vt:i4>
      </vt:variant>
      <vt:variant>
        <vt:i4>0</vt:i4>
      </vt:variant>
      <vt:variant>
        <vt:i4>5</vt:i4>
      </vt:variant>
      <vt:variant>
        <vt:lpwstr>http://portal.gov.cz/app/zakony/zakonPar.jsp?idBiblio=49857&amp;fulltext=&amp;nr=406~2F2000&amp;part=&amp;name=&amp;rpp=15</vt:lpwstr>
      </vt:variant>
      <vt:variant>
        <vt:lpwstr>local-content</vt:lpwstr>
      </vt:variant>
      <vt:variant>
        <vt:i4>2162759</vt:i4>
      </vt:variant>
      <vt:variant>
        <vt:i4>1086</vt:i4>
      </vt:variant>
      <vt:variant>
        <vt:i4>0</vt:i4>
      </vt:variant>
      <vt:variant>
        <vt:i4>5</vt:i4>
      </vt:variant>
      <vt:variant>
        <vt:lpwstr>http://www.eru.cz/dias-browse_articles.php?parentId=91&amp;deep=off&amp;type=</vt:lpwstr>
      </vt:variant>
      <vt:variant>
        <vt:lpwstr/>
      </vt:variant>
      <vt:variant>
        <vt:i4>6750266</vt:i4>
      </vt:variant>
      <vt:variant>
        <vt:i4>1083</vt:i4>
      </vt:variant>
      <vt:variant>
        <vt:i4>0</vt:i4>
      </vt:variant>
      <vt:variant>
        <vt:i4>5</vt:i4>
      </vt:variant>
      <vt:variant>
        <vt:lpwstr>http://portal.gov.cz/app/zakony/zakonPar.jsp?idBiblio=49962&amp;fulltext=&amp;nr=458~2F2000&amp;part=&amp;name=&amp;rpp=15</vt:lpwstr>
      </vt:variant>
      <vt:variant>
        <vt:lpwstr>local-content</vt:lpwstr>
      </vt:variant>
      <vt:variant>
        <vt:i4>6946875</vt:i4>
      </vt:variant>
      <vt:variant>
        <vt:i4>1080</vt:i4>
      </vt:variant>
      <vt:variant>
        <vt:i4>0</vt:i4>
      </vt:variant>
      <vt:variant>
        <vt:i4>5</vt:i4>
      </vt:variant>
      <vt:variant>
        <vt:lpwstr>http://portal.gov.cz/app/zakony/zakonPar.jsp?idBiblio=49857&amp;fulltext=&amp;nr=406~2F2000&amp;part=&amp;name=&amp;rpp=15</vt:lpwstr>
      </vt:variant>
      <vt:variant>
        <vt:lpwstr>local-content</vt:lpwstr>
      </vt:variant>
      <vt:variant>
        <vt:i4>1245231</vt:i4>
      </vt:variant>
      <vt:variant>
        <vt:i4>1077</vt:i4>
      </vt:variant>
      <vt:variant>
        <vt:i4>0</vt:i4>
      </vt:variant>
      <vt:variant>
        <vt:i4>5</vt:i4>
      </vt:variant>
      <vt:variant>
        <vt:lpwstr>http://ec.europa.eu/energy/efficiency/eed/reporting_en.htm</vt:lpwstr>
      </vt:variant>
      <vt:variant>
        <vt:lpwstr/>
      </vt:variant>
      <vt:variant>
        <vt:i4>7209012</vt:i4>
      </vt:variant>
      <vt:variant>
        <vt:i4>1074</vt:i4>
      </vt:variant>
      <vt:variant>
        <vt:i4>0</vt:i4>
      </vt:variant>
      <vt:variant>
        <vt:i4>5</vt:i4>
      </vt:variant>
      <vt:variant>
        <vt:lpwstr>http://portal.gov.cz/app/zakony/zakonPar.jsp?idBiblio=78282&amp;fulltext=&amp;nr=318~2F2012&amp;part=&amp;name=&amp;rpp=15</vt:lpwstr>
      </vt:variant>
      <vt:variant>
        <vt:lpwstr>local-content</vt:lpwstr>
      </vt:variant>
      <vt:variant>
        <vt:i4>6946875</vt:i4>
      </vt:variant>
      <vt:variant>
        <vt:i4>1071</vt:i4>
      </vt:variant>
      <vt:variant>
        <vt:i4>0</vt:i4>
      </vt:variant>
      <vt:variant>
        <vt:i4>5</vt:i4>
      </vt:variant>
      <vt:variant>
        <vt:lpwstr>http://portal.gov.cz/app/zakony/zakonPar.jsp?idBiblio=49857&amp;fulltext=&amp;nr=406~2F2000&amp;part=&amp;name=&amp;rpp=15</vt:lpwstr>
      </vt:variant>
      <vt:variant>
        <vt:lpwstr>local-content</vt:lpwstr>
      </vt:variant>
      <vt:variant>
        <vt:i4>7209012</vt:i4>
      </vt:variant>
      <vt:variant>
        <vt:i4>1068</vt:i4>
      </vt:variant>
      <vt:variant>
        <vt:i4>0</vt:i4>
      </vt:variant>
      <vt:variant>
        <vt:i4>5</vt:i4>
      </vt:variant>
      <vt:variant>
        <vt:lpwstr>http://portal.gov.cz/app/zakony/zakonPar.jsp?idBiblio=78282&amp;fulltext=&amp;nr=318~2F2012&amp;part=&amp;name=&amp;rpp=15</vt:lpwstr>
      </vt:variant>
      <vt:variant>
        <vt:lpwstr>local-content</vt:lpwstr>
      </vt:variant>
      <vt:variant>
        <vt:i4>6946875</vt:i4>
      </vt:variant>
      <vt:variant>
        <vt:i4>1065</vt:i4>
      </vt:variant>
      <vt:variant>
        <vt:i4>0</vt:i4>
      </vt:variant>
      <vt:variant>
        <vt:i4>5</vt:i4>
      </vt:variant>
      <vt:variant>
        <vt:lpwstr>http://portal.gov.cz/app/zakony/zakonPar.jsp?idBiblio=49857&amp;fulltext=&amp;nr=406~2F2000&amp;part=&amp;name=&amp;rpp=15</vt:lpwstr>
      </vt:variant>
      <vt:variant>
        <vt:lpwstr>local-content</vt:lpwstr>
      </vt:variant>
      <vt:variant>
        <vt:i4>6291511</vt:i4>
      </vt:variant>
      <vt:variant>
        <vt:i4>1062</vt:i4>
      </vt:variant>
      <vt:variant>
        <vt:i4>0</vt:i4>
      </vt:variant>
      <vt:variant>
        <vt:i4>5</vt:i4>
      </vt:variant>
      <vt:variant>
        <vt:lpwstr>http://www.vlada.cz/assets/ppov/lrv/ria/metodiky/Uplne-zneni-Obecnych-zasad-_ucinnost-od-1-2--2014_.pdf</vt:lpwstr>
      </vt:variant>
      <vt:variant>
        <vt:lpwstr/>
      </vt:variant>
      <vt:variant>
        <vt:i4>1245205</vt:i4>
      </vt:variant>
      <vt:variant>
        <vt:i4>1059</vt:i4>
      </vt:variant>
      <vt:variant>
        <vt:i4>0</vt:i4>
      </vt:variant>
      <vt:variant>
        <vt:i4>5</vt:i4>
      </vt:variant>
      <vt:variant>
        <vt:lpwstr>http://www.sbirka.cz/POSL4TYD/NOVE/13-304.htm</vt:lpwstr>
      </vt:variant>
      <vt:variant>
        <vt:lpwstr/>
      </vt:variant>
      <vt:variant>
        <vt:i4>5111892</vt:i4>
      </vt:variant>
      <vt:variant>
        <vt:i4>1056</vt:i4>
      </vt:variant>
      <vt:variant>
        <vt:i4>0</vt:i4>
      </vt:variant>
      <vt:variant>
        <vt:i4>5</vt:i4>
      </vt:variant>
      <vt:variant>
        <vt:lpwstr>http://www.vlada.cz/assets/evropske-zalezitosti/aktualne/NPR-2014.pdf</vt:lpwstr>
      </vt:variant>
      <vt:variant>
        <vt:lpwstr/>
      </vt:variant>
      <vt:variant>
        <vt:i4>5767196</vt:i4>
      </vt:variant>
      <vt:variant>
        <vt:i4>1053</vt:i4>
      </vt:variant>
      <vt:variant>
        <vt:i4>0</vt:i4>
      </vt:variant>
      <vt:variant>
        <vt:i4>5</vt:i4>
      </vt:variant>
      <vt:variant>
        <vt:lpwstr>http://www.vlada.cz/assets/media-centrum/aktualne/Strategie-mezinarodni-konkurenceschopnosti-Ceske-republiky.pdf</vt:lpwstr>
      </vt:variant>
      <vt:variant>
        <vt:lpwstr/>
      </vt:variant>
      <vt:variant>
        <vt:i4>2424959</vt:i4>
      </vt:variant>
      <vt:variant>
        <vt:i4>1050</vt:i4>
      </vt:variant>
      <vt:variant>
        <vt:i4>0</vt:i4>
      </vt:variant>
      <vt:variant>
        <vt:i4>5</vt:i4>
      </vt:variant>
      <vt:variant>
        <vt:lpwstr>http://www.mpo.cz/assets/cz/e-komunikace-a-posta/Internet/2013/4/Digi_esko_v.2.0.pdf</vt:lpwstr>
      </vt:variant>
      <vt:variant>
        <vt:lpwstr/>
      </vt:variant>
      <vt:variant>
        <vt:i4>6225985</vt:i4>
      </vt:variant>
      <vt:variant>
        <vt:i4>1047</vt:i4>
      </vt:variant>
      <vt:variant>
        <vt:i4>0</vt:i4>
      </vt:variant>
      <vt:variant>
        <vt:i4>5</vt:i4>
      </vt:variant>
      <vt:variant>
        <vt:lpwstr>http://www.mpo.cz/dokument83642.html</vt:lpwstr>
      </vt:variant>
      <vt:variant>
        <vt:lpwstr/>
      </vt:variant>
      <vt:variant>
        <vt:i4>2424959</vt:i4>
      </vt:variant>
      <vt:variant>
        <vt:i4>1044</vt:i4>
      </vt:variant>
      <vt:variant>
        <vt:i4>0</vt:i4>
      </vt:variant>
      <vt:variant>
        <vt:i4>5</vt:i4>
      </vt:variant>
      <vt:variant>
        <vt:lpwstr>http://www.mpo.cz/assets/cz/e-komunikace-a-posta/Internet/2013/4/Digi_esko_v.2.0.pdf</vt:lpwstr>
      </vt:variant>
      <vt:variant>
        <vt:lpwstr/>
      </vt:variant>
      <vt:variant>
        <vt:i4>2424959</vt:i4>
      </vt:variant>
      <vt:variant>
        <vt:i4>1041</vt:i4>
      </vt:variant>
      <vt:variant>
        <vt:i4>0</vt:i4>
      </vt:variant>
      <vt:variant>
        <vt:i4>5</vt:i4>
      </vt:variant>
      <vt:variant>
        <vt:lpwstr>http://www.mpo.cz/assets/cz/e-komunikace-a-posta/Internet/2013/4/Digi_esko_v.2.0.pdf</vt:lpwstr>
      </vt:variant>
      <vt:variant>
        <vt:lpwstr/>
      </vt:variant>
      <vt:variant>
        <vt:i4>5963805</vt:i4>
      </vt:variant>
      <vt:variant>
        <vt:i4>1038</vt:i4>
      </vt:variant>
      <vt:variant>
        <vt:i4>0</vt:i4>
      </vt:variant>
      <vt:variant>
        <vt:i4>5</vt:i4>
      </vt:variant>
      <vt:variant>
        <vt:lpwstr>http://www.mpo.cz/dokument119071.html</vt:lpwstr>
      </vt:variant>
      <vt:variant>
        <vt:lpwstr/>
      </vt:variant>
      <vt:variant>
        <vt:i4>2424959</vt:i4>
      </vt:variant>
      <vt:variant>
        <vt:i4>1035</vt:i4>
      </vt:variant>
      <vt:variant>
        <vt:i4>0</vt:i4>
      </vt:variant>
      <vt:variant>
        <vt:i4>5</vt:i4>
      </vt:variant>
      <vt:variant>
        <vt:lpwstr>http://www.mpo.cz/assets/cz/e-komunikace-a-posta/Internet/2013/4/Digi_esko_v.2.0.pdf</vt:lpwstr>
      </vt:variant>
      <vt:variant>
        <vt:lpwstr/>
      </vt:variant>
      <vt:variant>
        <vt:i4>6225985</vt:i4>
      </vt:variant>
      <vt:variant>
        <vt:i4>1032</vt:i4>
      </vt:variant>
      <vt:variant>
        <vt:i4>0</vt:i4>
      </vt:variant>
      <vt:variant>
        <vt:i4>5</vt:i4>
      </vt:variant>
      <vt:variant>
        <vt:lpwstr>http://www.mpo.cz/dokument83642.html</vt:lpwstr>
      </vt:variant>
      <vt:variant>
        <vt:lpwstr/>
      </vt:variant>
      <vt:variant>
        <vt:i4>3014661</vt:i4>
      </vt:variant>
      <vt:variant>
        <vt:i4>1029</vt:i4>
      </vt:variant>
      <vt:variant>
        <vt:i4>0</vt:i4>
      </vt:variant>
      <vt:variant>
        <vt:i4>5</vt:i4>
      </vt:variant>
      <vt:variant>
        <vt:lpwstr>http://www.czso.cz/csu/redakce.nsf/i/informacni_ekonomika</vt:lpwstr>
      </vt:variant>
      <vt:variant>
        <vt:lpwstr/>
      </vt:variant>
      <vt:variant>
        <vt:i4>5963805</vt:i4>
      </vt:variant>
      <vt:variant>
        <vt:i4>1026</vt:i4>
      </vt:variant>
      <vt:variant>
        <vt:i4>0</vt:i4>
      </vt:variant>
      <vt:variant>
        <vt:i4>5</vt:i4>
      </vt:variant>
      <vt:variant>
        <vt:lpwstr>http://www.mpo.cz/dokument119071.html</vt:lpwstr>
      </vt:variant>
      <vt:variant>
        <vt:lpwstr/>
      </vt:variant>
      <vt:variant>
        <vt:i4>2424959</vt:i4>
      </vt:variant>
      <vt:variant>
        <vt:i4>1023</vt:i4>
      </vt:variant>
      <vt:variant>
        <vt:i4>0</vt:i4>
      </vt:variant>
      <vt:variant>
        <vt:i4>5</vt:i4>
      </vt:variant>
      <vt:variant>
        <vt:lpwstr>http://www.mpo.cz/assets/cz/e-komunikace-a-posta/Internet/2013/4/Digi_esko_v.2.0.pdf</vt:lpwstr>
      </vt:variant>
      <vt:variant>
        <vt:lpwstr/>
      </vt:variant>
      <vt:variant>
        <vt:i4>2424959</vt:i4>
      </vt:variant>
      <vt:variant>
        <vt:i4>1020</vt:i4>
      </vt:variant>
      <vt:variant>
        <vt:i4>0</vt:i4>
      </vt:variant>
      <vt:variant>
        <vt:i4>5</vt:i4>
      </vt:variant>
      <vt:variant>
        <vt:lpwstr>http://www.mpo.cz/assets/cz/e-komunikace-a-posta/Internet/2013/4/Digi_esko_v.2.0.pdf</vt:lpwstr>
      </vt:variant>
      <vt:variant>
        <vt:lpwstr/>
      </vt:variant>
      <vt:variant>
        <vt:i4>5963805</vt:i4>
      </vt:variant>
      <vt:variant>
        <vt:i4>1017</vt:i4>
      </vt:variant>
      <vt:variant>
        <vt:i4>0</vt:i4>
      </vt:variant>
      <vt:variant>
        <vt:i4>5</vt:i4>
      </vt:variant>
      <vt:variant>
        <vt:lpwstr>http://www.mpo.cz/dokument119071.html</vt:lpwstr>
      </vt:variant>
      <vt:variant>
        <vt:lpwstr/>
      </vt:variant>
      <vt:variant>
        <vt:i4>2424959</vt:i4>
      </vt:variant>
      <vt:variant>
        <vt:i4>1014</vt:i4>
      </vt:variant>
      <vt:variant>
        <vt:i4>0</vt:i4>
      </vt:variant>
      <vt:variant>
        <vt:i4>5</vt:i4>
      </vt:variant>
      <vt:variant>
        <vt:lpwstr>http://www.mpo.cz/assets/cz/e-komunikace-a-posta/Internet/2013/4/Digi_esko_v.2.0.pdf</vt:lpwstr>
      </vt:variant>
      <vt:variant>
        <vt:lpwstr/>
      </vt:variant>
      <vt:variant>
        <vt:i4>6225985</vt:i4>
      </vt:variant>
      <vt:variant>
        <vt:i4>1011</vt:i4>
      </vt:variant>
      <vt:variant>
        <vt:i4>0</vt:i4>
      </vt:variant>
      <vt:variant>
        <vt:i4>5</vt:i4>
      </vt:variant>
      <vt:variant>
        <vt:lpwstr>http://www.mpo.cz/dokument83642.html</vt:lpwstr>
      </vt:variant>
      <vt:variant>
        <vt:lpwstr/>
      </vt:variant>
      <vt:variant>
        <vt:i4>5963805</vt:i4>
      </vt:variant>
      <vt:variant>
        <vt:i4>1008</vt:i4>
      </vt:variant>
      <vt:variant>
        <vt:i4>0</vt:i4>
      </vt:variant>
      <vt:variant>
        <vt:i4>5</vt:i4>
      </vt:variant>
      <vt:variant>
        <vt:lpwstr>http://www.mpo.cz/dokument119071.html</vt:lpwstr>
      </vt:variant>
      <vt:variant>
        <vt:lpwstr/>
      </vt:variant>
      <vt:variant>
        <vt:i4>2424959</vt:i4>
      </vt:variant>
      <vt:variant>
        <vt:i4>1005</vt:i4>
      </vt:variant>
      <vt:variant>
        <vt:i4>0</vt:i4>
      </vt:variant>
      <vt:variant>
        <vt:i4>5</vt:i4>
      </vt:variant>
      <vt:variant>
        <vt:lpwstr>http://www.mpo.cz/assets/cz/e-komunikace-a-posta/Internet/2013/4/Digi_esko_v.2.0.pdf</vt:lpwstr>
      </vt:variant>
      <vt:variant>
        <vt:lpwstr/>
      </vt:variant>
      <vt:variant>
        <vt:i4>5963805</vt:i4>
      </vt:variant>
      <vt:variant>
        <vt:i4>1002</vt:i4>
      </vt:variant>
      <vt:variant>
        <vt:i4>0</vt:i4>
      </vt:variant>
      <vt:variant>
        <vt:i4>5</vt:i4>
      </vt:variant>
      <vt:variant>
        <vt:lpwstr>http://www.mpo.cz/dokument119071.html</vt:lpwstr>
      </vt:variant>
      <vt:variant>
        <vt:lpwstr/>
      </vt:variant>
      <vt:variant>
        <vt:i4>2424959</vt:i4>
      </vt:variant>
      <vt:variant>
        <vt:i4>999</vt:i4>
      </vt:variant>
      <vt:variant>
        <vt:i4>0</vt:i4>
      </vt:variant>
      <vt:variant>
        <vt:i4>5</vt:i4>
      </vt:variant>
      <vt:variant>
        <vt:lpwstr>http://www.mpo.cz/assets/cz/e-komunikace-a-posta/Internet/2013/4/Digi_esko_v.2.0.pdf</vt:lpwstr>
      </vt:variant>
      <vt:variant>
        <vt:lpwstr/>
      </vt:variant>
      <vt:variant>
        <vt:i4>6225985</vt:i4>
      </vt:variant>
      <vt:variant>
        <vt:i4>996</vt:i4>
      </vt:variant>
      <vt:variant>
        <vt:i4>0</vt:i4>
      </vt:variant>
      <vt:variant>
        <vt:i4>5</vt:i4>
      </vt:variant>
      <vt:variant>
        <vt:lpwstr>http://www.mpo.cz/dokument83642.html</vt:lpwstr>
      </vt:variant>
      <vt:variant>
        <vt:lpwstr/>
      </vt:variant>
      <vt:variant>
        <vt:i4>6226012</vt:i4>
      </vt:variant>
      <vt:variant>
        <vt:i4>993</vt:i4>
      </vt:variant>
      <vt:variant>
        <vt:i4>0</vt:i4>
      </vt:variant>
      <vt:variant>
        <vt:i4>5</vt:i4>
      </vt:variant>
      <vt:variant>
        <vt:lpwstr>http://portal.cenia.cz/eiasea/osoby/osoby</vt:lpwstr>
      </vt:variant>
      <vt:variant>
        <vt:lpwstr/>
      </vt:variant>
      <vt:variant>
        <vt:i4>655486</vt:i4>
      </vt:variant>
      <vt:variant>
        <vt:i4>990</vt:i4>
      </vt:variant>
      <vt:variant>
        <vt:i4>0</vt:i4>
      </vt:variant>
      <vt:variant>
        <vt:i4>5</vt:i4>
      </vt:variant>
      <vt:variant>
        <vt:lpwstr>http://portal.cenia.cz/eiasea/view/SEA100_koncepce</vt:lpwstr>
      </vt:variant>
      <vt:variant>
        <vt:lpwstr/>
      </vt:variant>
      <vt:variant>
        <vt:i4>7798802</vt:i4>
      </vt:variant>
      <vt:variant>
        <vt:i4>987</vt:i4>
      </vt:variant>
      <vt:variant>
        <vt:i4>0</vt:i4>
      </vt:variant>
      <vt:variant>
        <vt:i4>5</vt:i4>
      </vt:variant>
      <vt:variant>
        <vt:lpwstr>http://portal.cenia.cz/eiasea/view/eia100_cr</vt:lpwstr>
      </vt:variant>
      <vt:variant>
        <vt:lpwstr/>
      </vt:variant>
      <vt:variant>
        <vt:i4>5963834</vt:i4>
      </vt:variant>
      <vt:variant>
        <vt:i4>984</vt:i4>
      </vt:variant>
      <vt:variant>
        <vt:i4>0</vt:i4>
      </vt:variant>
      <vt:variant>
        <vt:i4>5</vt:i4>
      </vt:variant>
      <vt:variant>
        <vt:lpwstr>http://www.mzp.cz/cz/posuzovani_vlivu_zivotni_prostredi</vt:lpwstr>
      </vt:variant>
      <vt:variant>
        <vt:lpwstr/>
      </vt:variant>
      <vt:variant>
        <vt:i4>655486</vt:i4>
      </vt:variant>
      <vt:variant>
        <vt:i4>981</vt:i4>
      </vt:variant>
      <vt:variant>
        <vt:i4>0</vt:i4>
      </vt:variant>
      <vt:variant>
        <vt:i4>5</vt:i4>
      </vt:variant>
      <vt:variant>
        <vt:lpwstr>http://portal.cenia.cz/eiasea/view/SEA100_koncepce</vt:lpwstr>
      </vt:variant>
      <vt:variant>
        <vt:lpwstr/>
      </vt:variant>
      <vt:variant>
        <vt:i4>7798802</vt:i4>
      </vt:variant>
      <vt:variant>
        <vt:i4>978</vt:i4>
      </vt:variant>
      <vt:variant>
        <vt:i4>0</vt:i4>
      </vt:variant>
      <vt:variant>
        <vt:i4>5</vt:i4>
      </vt:variant>
      <vt:variant>
        <vt:lpwstr>http://portal.cenia.cz/eiasea/view/eia100_cr</vt:lpwstr>
      </vt:variant>
      <vt:variant>
        <vt:lpwstr/>
      </vt:variant>
      <vt:variant>
        <vt:i4>7798802</vt:i4>
      </vt:variant>
      <vt:variant>
        <vt:i4>975</vt:i4>
      </vt:variant>
      <vt:variant>
        <vt:i4>0</vt:i4>
      </vt:variant>
      <vt:variant>
        <vt:i4>5</vt:i4>
      </vt:variant>
      <vt:variant>
        <vt:lpwstr>http://portal.cenia.cz/eiasea/view/eia100_cr</vt:lpwstr>
      </vt:variant>
      <vt:variant>
        <vt:lpwstr/>
      </vt:variant>
      <vt:variant>
        <vt:i4>5963834</vt:i4>
      </vt:variant>
      <vt:variant>
        <vt:i4>972</vt:i4>
      </vt:variant>
      <vt:variant>
        <vt:i4>0</vt:i4>
      </vt:variant>
      <vt:variant>
        <vt:i4>5</vt:i4>
      </vt:variant>
      <vt:variant>
        <vt:lpwstr>http://www.mzp.cz/cz/posuzovani_vlivu_zivotni_prostredi</vt:lpwstr>
      </vt:variant>
      <vt:variant>
        <vt:lpwstr/>
      </vt:variant>
      <vt:variant>
        <vt:i4>393253</vt:i4>
      </vt:variant>
      <vt:variant>
        <vt:i4>969</vt:i4>
      </vt:variant>
      <vt:variant>
        <vt:i4>0</vt:i4>
      </vt:variant>
      <vt:variant>
        <vt:i4>5</vt:i4>
      </vt:variant>
      <vt:variant>
        <vt:lpwstr>http://portal.cenia.cz/eiasea/static/eia_legislativa</vt:lpwstr>
      </vt:variant>
      <vt:variant>
        <vt:lpwstr/>
      </vt:variant>
      <vt:variant>
        <vt:i4>1048617</vt:i4>
      </vt:variant>
      <vt:variant>
        <vt:i4>966</vt:i4>
      </vt:variant>
      <vt:variant>
        <vt:i4>0</vt:i4>
      </vt:variant>
      <vt:variant>
        <vt:i4>5</vt:i4>
      </vt:variant>
      <vt:variant>
        <vt:lpwstr>http://portal.cenia.cz/eiasea/static/sea_legislativa</vt:lpwstr>
      </vt:variant>
      <vt:variant>
        <vt:lpwstr/>
      </vt:variant>
      <vt:variant>
        <vt:i4>4784192</vt:i4>
      </vt:variant>
      <vt:variant>
        <vt:i4>963</vt:i4>
      </vt:variant>
      <vt:variant>
        <vt:i4>0</vt:i4>
      </vt:variant>
      <vt:variant>
        <vt:i4>5</vt:i4>
      </vt:variant>
      <vt:variant>
        <vt:lpwstr>http://www.strukturalni-fondy.cz/</vt:lpwstr>
      </vt:variant>
      <vt:variant>
        <vt:lpwstr/>
      </vt:variant>
      <vt:variant>
        <vt:i4>327748</vt:i4>
      </vt:variant>
      <vt:variant>
        <vt:i4>960</vt:i4>
      </vt:variant>
      <vt:variant>
        <vt:i4>0</vt:i4>
      </vt:variant>
      <vt:variant>
        <vt:i4>5</vt:i4>
      </vt:variant>
      <vt:variant>
        <vt:lpwstr>http://www.vzdelavaninsrr.cz/</vt:lpwstr>
      </vt:variant>
      <vt:variant>
        <vt:lpwstr/>
      </vt:variant>
      <vt:variant>
        <vt:i4>4390942</vt:i4>
      </vt:variant>
      <vt:variant>
        <vt:i4>957</vt:i4>
      </vt:variant>
      <vt:variant>
        <vt:i4>0</vt:i4>
      </vt:variant>
      <vt:variant>
        <vt:i4>5</vt:i4>
      </vt:variant>
      <vt:variant>
        <vt:lpwstr>http://www.uohs.cz/cs/verejna-podpora/akuality-z-verejne-podpory.html</vt:lpwstr>
      </vt:variant>
      <vt:variant>
        <vt:lpwstr/>
      </vt:variant>
      <vt:variant>
        <vt:i4>393281</vt:i4>
      </vt:variant>
      <vt:variant>
        <vt:i4>954</vt:i4>
      </vt:variant>
      <vt:variant>
        <vt:i4>0</vt:i4>
      </vt:variant>
      <vt:variant>
        <vt:i4>5</vt:i4>
      </vt:variant>
      <vt:variant>
        <vt:lpwstr>http://eagri.cz/public/web/mze/farmar/registr-podpor-de-minimis/</vt:lpwstr>
      </vt:variant>
      <vt:variant>
        <vt:lpwstr/>
      </vt:variant>
      <vt:variant>
        <vt:i4>1048581</vt:i4>
      </vt:variant>
      <vt:variant>
        <vt:i4>951</vt:i4>
      </vt:variant>
      <vt:variant>
        <vt:i4>0</vt:i4>
      </vt:variant>
      <vt:variant>
        <vt:i4>5</vt:i4>
      </vt:variant>
      <vt:variant>
        <vt:lpwstr>http://www.uohs.cz/cs/verejna-podpora/manualy-metodiky-a-dalsi-dokumenty.html</vt:lpwstr>
      </vt:variant>
      <vt:variant>
        <vt:lpwstr/>
      </vt:variant>
      <vt:variant>
        <vt:i4>7012387</vt:i4>
      </vt:variant>
      <vt:variant>
        <vt:i4>948</vt:i4>
      </vt:variant>
      <vt:variant>
        <vt:i4>0</vt:i4>
      </vt:variant>
      <vt:variant>
        <vt:i4>5</vt:i4>
      </vt:variant>
      <vt:variant>
        <vt:lpwstr>http://www.mfcr.cz/cs/legislativa/metodiky/2014/metodika-financnich-toku-a-kontroly-prog-17121</vt:lpwstr>
      </vt:variant>
      <vt:variant>
        <vt:lpwstr/>
      </vt:variant>
      <vt:variant>
        <vt:i4>8061042</vt:i4>
      </vt:variant>
      <vt:variant>
        <vt:i4>945</vt:i4>
      </vt:variant>
      <vt:variant>
        <vt:i4>0</vt:i4>
      </vt:variant>
      <vt:variant>
        <vt:i4>5</vt:i4>
      </vt:variant>
      <vt:variant>
        <vt:lpwstr>http://www.uohs.cz/cs/legislativa/verejna-podpora.html</vt:lpwstr>
      </vt:variant>
      <vt:variant>
        <vt:lpwstr/>
      </vt:variant>
      <vt:variant>
        <vt:i4>6029387</vt:i4>
      </vt:variant>
      <vt:variant>
        <vt:i4>942</vt:i4>
      </vt:variant>
      <vt:variant>
        <vt:i4>0</vt:i4>
      </vt:variant>
      <vt:variant>
        <vt:i4>5</vt:i4>
      </vt:variant>
      <vt:variant>
        <vt:lpwstr>http://www.portal-vz.cz/cs/Spoluprace-a-vymena-informaci/Info-forum/Otazky-a-odpovedi</vt:lpwstr>
      </vt:variant>
      <vt:variant>
        <vt:lpwstr/>
      </vt:variant>
      <vt:variant>
        <vt:i4>6946918</vt:i4>
      </vt:variant>
      <vt:variant>
        <vt:i4>939</vt:i4>
      </vt:variant>
      <vt:variant>
        <vt:i4>0</vt:i4>
      </vt:variant>
      <vt:variant>
        <vt:i4>5</vt:i4>
      </vt:variant>
      <vt:variant>
        <vt:lpwstr>http://www.vestnikverejnychzakazek.cz/</vt:lpwstr>
      </vt:variant>
      <vt:variant>
        <vt:lpwstr/>
      </vt:variant>
      <vt:variant>
        <vt:i4>6160476</vt:i4>
      </vt:variant>
      <vt:variant>
        <vt:i4>936</vt:i4>
      </vt:variant>
      <vt:variant>
        <vt:i4>0</vt:i4>
      </vt:variant>
      <vt:variant>
        <vt:i4>5</vt:i4>
      </vt:variant>
      <vt:variant>
        <vt:lpwstr>http://www.portal-vz.cz/cs/Jak-na-zadavani-verejnych-zakazek/Metodiky-stanoviska/Metodicke-pokyny</vt:lpwstr>
      </vt:variant>
      <vt:variant>
        <vt:lpwstr/>
      </vt:variant>
      <vt:variant>
        <vt:i4>7143463</vt:i4>
      </vt:variant>
      <vt:variant>
        <vt:i4>933</vt:i4>
      </vt:variant>
      <vt:variant>
        <vt:i4>0</vt:i4>
      </vt:variant>
      <vt:variant>
        <vt:i4>5</vt:i4>
      </vt:variant>
      <vt:variant>
        <vt:lpwstr>http://www.portal-vz.cz/cs/Jak-na-zadavani-verejnych-zakazek/Legislativa-a-Judikatura/Legislativa/Narodni-legislativa-aktualni-a-uplne-zneni-z-(1)</vt:lpwstr>
      </vt:variant>
      <vt:variant>
        <vt:lpwstr/>
      </vt:variant>
      <vt:variant>
        <vt:i4>7798907</vt:i4>
      </vt:variant>
      <vt:variant>
        <vt:i4>930</vt:i4>
      </vt:variant>
      <vt:variant>
        <vt:i4>0</vt:i4>
      </vt:variant>
      <vt:variant>
        <vt:i4>5</vt:i4>
      </vt:variant>
      <vt:variant>
        <vt:lpwstr>http://www.strukturalni-fondy.cz/cs/Fondy-EU/Narodni-organ-pro-koordinaci/Dokumenty</vt:lpwstr>
      </vt:variant>
      <vt:variant>
        <vt:lpwstr/>
      </vt:variant>
      <vt:variant>
        <vt:i4>5242944</vt:i4>
      </vt:variant>
      <vt:variant>
        <vt:i4>927</vt:i4>
      </vt:variant>
      <vt:variant>
        <vt:i4>0</vt:i4>
      </vt:variant>
      <vt:variant>
        <vt:i4>5</vt:i4>
      </vt:variant>
      <vt:variant>
        <vt:lpwstr>http://www.portal-vz.cz/cs/Jak-na-zadavani-verejnych-zakazek/Metodiky-stanoviska</vt:lpwstr>
      </vt:variant>
      <vt:variant>
        <vt:lpwstr/>
      </vt:variant>
      <vt:variant>
        <vt:i4>7143463</vt:i4>
      </vt:variant>
      <vt:variant>
        <vt:i4>924</vt:i4>
      </vt:variant>
      <vt:variant>
        <vt:i4>0</vt:i4>
      </vt:variant>
      <vt:variant>
        <vt:i4>5</vt:i4>
      </vt:variant>
      <vt:variant>
        <vt:lpwstr>http://www.portal-vz.cz/cs/Jak-na-zadavani-verejnych-zakazek/Legislativa-a-Judikatura/Legislativa/Narodni-legislativa-aktualni-a-uplne-zneni-z-(1)</vt:lpwstr>
      </vt:variant>
      <vt:variant>
        <vt:lpwstr/>
      </vt:variant>
      <vt:variant>
        <vt:i4>8060984</vt:i4>
      </vt:variant>
      <vt:variant>
        <vt:i4>921</vt:i4>
      </vt:variant>
      <vt:variant>
        <vt:i4>0</vt:i4>
      </vt:variant>
      <vt:variant>
        <vt:i4>5</vt:i4>
      </vt:variant>
      <vt:variant>
        <vt:lpwstr>http://www.vlada.cz/cz/ppov/vvzpo/dokumenty/narodni-plan-vytvareni-rovnych-prilezitosti-pro-osoby-se-zdravotnim-postizenim-na-obdobi-2010---2014-70026/</vt:lpwstr>
      </vt:variant>
      <vt:variant>
        <vt:lpwstr/>
      </vt:variant>
      <vt:variant>
        <vt:i4>2490407</vt:i4>
      </vt:variant>
      <vt:variant>
        <vt:i4>918</vt:i4>
      </vt:variant>
      <vt:variant>
        <vt:i4>0</vt:i4>
      </vt:variant>
      <vt:variant>
        <vt:i4>5</vt:i4>
      </vt:variant>
      <vt:variant>
        <vt:lpwstr>http://www.vlada.cz/cz/ppov/vvzpo/dokumenty/zprava-o-plneni-opatreni-narodniho-planu-vytvareni-rovnych-prilezitosti-pro-osoby-se-zdravotnim-postizenim-na-obdobi-2010-2014-v-roce-2012-110987/</vt:lpwstr>
      </vt:variant>
      <vt:variant>
        <vt:lpwstr/>
      </vt:variant>
      <vt:variant>
        <vt:i4>8060984</vt:i4>
      </vt:variant>
      <vt:variant>
        <vt:i4>915</vt:i4>
      </vt:variant>
      <vt:variant>
        <vt:i4>0</vt:i4>
      </vt:variant>
      <vt:variant>
        <vt:i4>5</vt:i4>
      </vt:variant>
      <vt:variant>
        <vt:lpwstr>http://www.vlada.cz/cz/ppov/vvzpo/dokumenty/narodni-plan-vytvareni-rovnych-prilezitosti-pro-osoby-se-zdravotnim-postizenim-na-obdobi-2010---2014-70026/</vt:lpwstr>
      </vt:variant>
      <vt:variant>
        <vt:lpwstr/>
      </vt:variant>
      <vt:variant>
        <vt:i4>2752617</vt:i4>
      </vt:variant>
      <vt:variant>
        <vt:i4>912</vt:i4>
      </vt:variant>
      <vt:variant>
        <vt:i4>0</vt:i4>
      </vt:variant>
      <vt:variant>
        <vt:i4>5</vt:i4>
      </vt:variant>
      <vt:variant>
        <vt:lpwstr>http://www.mpsv.cz/cs/12152</vt:lpwstr>
      </vt:variant>
      <vt:variant>
        <vt:lpwstr/>
      </vt:variant>
      <vt:variant>
        <vt:i4>6029333</vt:i4>
      </vt:variant>
      <vt:variant>
        <vt:i4>909</vt:i4>
      </vt:variant>
      <vt:variant>
        <vt:i4>0</vt:i4>
      </vt:variant>
      <vt:variant>
        <vt:i4>5</vt:i4>
      </vt:variant>
      <vt:variant>
        <vt:lpwstr>http://www.ochrance.cz/en/discrimination/</vt:lpwstr>
      </vt:variant>
      <vt:variant>
        <vt:lpwstr/>
      </vt:variant>
      <vt:variant>
        <vt:i4>6029333</vt:i4>
      </vt:variant>
      <vt:variant>
        <vt:i4>906</vt:i4>
      </vt:variant>
      <vt:variant>
        <vt:i4>0</vt:i4>
      </vt:variant>
      <vt:variant>
        <vt:i4>5</vt:i4>
      </vt:variant>
      <vt:variant>
        <vt:lpwstr>http://www.ochrance.cz/en/discrimination/</vt:lpwstr>
      </vt:variant>
      <vt:variant>
        <vt:lpwstr/>
      </vt:variant>
      <vt:variant>
        <vt:i4>3145831</vt:i4>
      </vt:variant>
      <vt:variant>
        <vt:i4>888</vt:i4>
      </vt:variant>
      <vt:variant>
        <vt:i4>0</vt:i4>
      </vt:variant>
      <vt:variant>
        <vt:i4>5</vt:i4>
      </vt:variant>
      <vt:variant>
        <vt:lpwstr>http://eur-lex.europa.eu/LexUriServ/LexUriServ.do?uri=CONSLEG:2006R1828:20091013:EN:HTML</vt:lpwstr>
      </vt:variant>
      <vt:variant>
        <vt:lpwstr>E0079#E0079</vt:lpwstr>
      </vt:variant>
      <vt:variant>
        <vt:i4>1507389</vt:i4>
      </vt:variant>
      <vt:variant>
        <vt:i4>704</vt:i4>
      </vt:variant>
      <vt:variant>
        <vt:i4>0</vt:i4>
      </vt:variant>
      <vt:variant>
        <vt:i4>5</vt:i4>
      </vt:variant>
      <vt:variant>
        <vt:lpwstr/>
      </vt:variant>
      <vt:variant>
        <vt:lpwstr>_Toc390179910</vt:lpwstr>
      </vt:variant>
      <vt:variant>
        <vt:i4>1441853</vt:i4>
      </vt:variant>
      <vt:variant>
        <vt:i4>698</vt:i4>
      </vt:variant>
      <vt:variant>
        <vt:i4>0</vt:i4>
      </vt:variant>
      <vt:variant>
        <vt:i4>5</vt:i4>
      </vt:variant>
      <vt:variant>
        <vt:lpwstr/>
      </vt:variant>
      <vt:variant>
        <vt:lpwstr>_Toc390179909</vt:lpwstr>
      </vt:variant>
      <vt:variant>
        <vt:i4>1441853</vt:i4>
      </vt:variant>
      <vt:variant>
        <vt:i4>692</vt:i4>
      </vt:variant>
      <vt:variant>
        <vt:i4>0</vt:i4>
      </vt:variant>
      <vt:variant>
        <vt:i4>5</vt:i4>
      </vt:variant>
      <vt:variant>
        <vt:lpwstr/>
      </vt:variant>
      <vt:variant>
        <vt:lpwstr>_Toc390179908</vt:lpwstr>
      </vt:variant>
      <vt:variant>
        <vt:i4>1441853</vt:i4>
      </vt:variant>
      <vt:variant>
        <vt:i4>686</vt:i4>
      </vt:variant>
      <vt:variant>
        <vt:i4>0</vt:i4>
      </vt:variant>
      <vt:variant>
        <vt:i4>5</vt:i4>
      </vt:variant>
      <vt:variant>
        <vt:lpwstr/>
      </vt:variant>
      <vt:variant>
        <vt:lpwstr>_Toc390179907</vt:lpwstr>
      </vt:variant>
      <vt:variant>
        <vt:i4>1441853</vt:i4>
      </vt:variant>
      <vt:variant>
        <vt:i4>680</vt:i4>
      </vt:variant>
      <vt:variant>
        <vt:i4>0</vt:i4>
      </vt:variant>
      <vt:variant>
        <vt:i4>5</vt:i4>
      </vt:variant>
      <vt:variant>
        <vt:lpwstr/>
      </vt:variant>
      <vt:variant>
        <vt:lpwstr>_Toc390179906</vt:lpwstr>
      </vt:variant>
      <vt:variant>
        <vt:i4>1441853</vt:i4>
      </vt:variant>
      <vt:variant>
        <vt:i4>674</vt:i4>
      </vt:variant>
      <vt:variant>
        <vt:i4>0</vt:i4>
      </vt:variant>
      <vt:variant>
        <vt:i4>5</vt:i4>
      </vt:variant>
      <vt:variant>
        <vt:lpwstr/>
      </vt:variant>
      <vt:variant>
        <vt:lpwstr>_Toc390179905</vt:lpwstr>
      </vt:variant>
      <vt:variant>
        <vt:i4>1441853</vt:i4>
      </vt:variant>
      <vt:variant>
        <vt:i4>668</vt:i4>
      </vt:variant>
      <vt:variant>
        <vt:i4>0</vt:i4>
      </vt:variant>
      <vt:variant>
        <vt:i4>5</vt:i4>
      </vt:variant>
      <vt:variant>
        <vt:lpwstr/>
      </vt:variant>
      <vt:variant>
        <vt:lpwstr>_Toc390179904</vt:lpwstr>
      </vt:variant>
      <vt:variant>
        <vt:i4>1441853</vt:i4>
      </vt:variant>
      <vt:variant>
        <vt:i4>662</vt:i4>
      </vt:variant>
      <vt:variant>
        <vt:i4>0</vt:i4>
      </vt:variant>
      <vt:variant>
        <vt:i4>5</vt:i4>
      </vt:variant>
      <vt:variant>
        <vt:lpwstr/>
      </vt:variant>
      <vt:variant>
        <vt:lpwstr>_Toc390179903</vt:lpwstr>
      </vt:variant>
      <vt:variant>
        <vt:i4>1441853</vt:i4>
      </vt:variant>
      <vt:variant>
        <vt:i4>656</vt:i4>
      </vt:variant>
      <vt:variant>
        <vt:i4>0</vt:i4>
      </vt:variant>
      <vt:variant>
        <vt:i4>5</vt:i4>
      </vt:variant>
      <vt:variant>
        <vt:lpwstr/>
      </vt:variant>
      <vt:variant>
        <vt:lpwstr>_Toc390179902</vt:lpwstr>
      </vt:variant>
      <vt:variant>
        <vt:i4>1441853</vt:i4>
      </vt:variant>
      <vt:variant>
        <vt:i4>650</vt:i4>
      </vt:variant>
      <vt:variant>
        <vt:i4>0</vt:i4>
      </vt:variant>
      <vt:variant>
        <vt:i4>5</vt:i4>
      </vt:variant>
      <vt:variant>
        <vt:lpwstr/>
      </vt:variant>
      <vt:variant>
        <vt:lpwstr>_Toc390179901</vt:lpwstr>
      </vt:variant>
      <vt:variant>
        <vt:i4>1441853</vt:i4>
      </vt:variant>
      <vt:variant>
        <vt:i4>644</vt:i4>
      </vt:variant>
      <vt:variant>
        <vt:i4>0</vt:i4>
      </vt:variant>
      <vt:variant>
        <vt:i4>5</vt:i4>
      </vt:variant>
      <vt:variant>
        <vt:lpwstr/>
      </vt:variant>
      <vt:variant>
        <vt:lpwstr>_Toc390179900</vt:lpwstr>
      </vt:variant>
      <vt:variant>
        <vt:i4>2031676</vt:i4>
      </vt:variant>
      <vt:variant>
        <vt:i4>638</vt:i4>
      </vt:variant>
      <vt:variant>
        <vt:i4>0</vt:i4>
      </vt:variant>
      <vt:variant>
        <vt:i4>5</vt:i4>
      </vt:variant>
      <vt:variant>
        <vt:lpwstr/>
      </vt:variant>
      <vt:variant>
        <vt:lpwstr>_Toc390179899</vt:lpwstr>
      </vt:variant>
      <vt:variant>
        <vt:i4>2031676</vt:i4>
      </vt:variant>
      <vt:variant>
        <vt:i4>632</vt:i4>
      </vt:variant>
      <vt:variant>
        <vt:i4>0</vt:i4>
      </vt:variant>
      <vt:variant>
        <vt:i4>5</vt:i4>
      </vt:variant>
      <vt:variant>
        <vt:lpwstr/>
      </vt:variant>
      <vt:variant>
        <vt:lpwstr>_Toc390179898</vt:lpwstr>
      </vt:variant>
      <vt:variant>
        <vt:i4>2031676</vt:i4>
      </vt:variant>
      <vt:variant>
        <vt:i4>626</vt:i4>
      </vt:variant>
      <vt:variant>
        <vt:i4>0</vt:i4>
      </vt:variant>
      <vt:variant>
        <vt:i4>5</vt:i4>
      </vt:variant>
      <vt:variant>
        <vt:lpwstr/>
      </vt:variant>
      <vt:variant>
        <vt:lpwstr>_Toc390179897</vt:lpwstr>
      </vt:variant>
      <vt:variant>
        <vt:i4>2031676</vt:i4>
      </vt:variant>
      <vt:variant>
        <vt:i4>620</vt:i4>
      </vt:variant>
      <vt:variant>
        <vt:i4>0</vt:i4>
      </vt:variant>
      <vt:variant>
        <vt:i4>5</vt:i4>
      </vt:variant>
      <vt:variant>
        <vt:lpwstr/>
      </vt:variant>
      <vt:variant>
        <vt:lpwstr>_Toc390179896</vt:lpwstr>
      </vt:variant>
      <vt:variant>
        <vt:i4>2031676</vt:i4>
      </vt:variant>
      <vt:variant>
        <vt:i4>614</vt:i4>
      </vt:variant>
      <vt:variant>
        <vt:i4>0</vt:i4>
      </vt:variant>
      <vt:variant>
        <vt:i4>5</vt:i4>
      </vt:variant>
      <vt:variant>
        <vt:lpwstr/>
      </vt:variant>
      <vt:variant>
        <vt:lpwstr>_Toc390179895</vt:lpwstr>
      </vt:variant>
      <vt:variant>
        <vt:i4>2031676</vt:i4>
      </vt:variant>
      <vt:variant>
        <vt:i4>608</vt:i4>
      </vt:variant>
      <vt:variant>
        <vt:i4>0</vt:i4>
      </vt:variant>
      <vt:variant>
        <vt:i4>5</vt:i4>
      </vt:variant>
      <vt:variant>
        <vt:lpwstr/>
      </vt:variant>
      <vt:variant>
        <vt:lpwstr>_Toc390179894</vt:lpwstr>
      </vt:variant>
      <vt:variant>
        <vt:i4>2031676</vt:i4>
      </vt:variant>
      <vt:variant>
        <vt:i4>602</vt:i4>
      </vt:variant>
      <vt:variant>
        <vt:i4>0</vt:i4>
      </vt:variant>
      <vt:variant>
        <vt:i4>5</vt:i4>
      </vt:variant>
      <vt:variant>
        <vt:lpwstr/>
      </vt:variant>
      <vt:variant>
        <vt:lpwstr>_Toc390179893</vt:lpwstr>
      </vt:variant>
      <vt:variant>
        <vt:i4>2031676</vt:i4>
      </vt:variant>
      <vt:variant>
        <vt:i4>596</vt:i4>
      </vt:variant>
      <vt:variant>
        <vt:i4>0</vt:i4>
      </vt:variant>
      <vt:variant>
        <vt:i4>5</vt:i4>
      </vt:variant>
      <vt:variant>
        <vt:lpwstr/>
      </vt:variant>
      <vt:variant>
        <vt:lpwstr>_Toc390179892</vt:lpwstr>
      </vt:variant>
      <vt:variant>
        <vt:i4>2031676</vt:i4>
      </vt:variant>
      <vt:variant>
        <vt:i4>590</vt:i4>
      </vt:variant>
      <vt:variant>
        <vt:i4>0</vt:i4>
      </vt:variant>
      <vt:variant>
        <vt:i4>5</vt:i4>
      </vt:variant>
      <vt:variant>
        <vt:lpwstr/>
      </vt:variant>
      <vt:variant>
        <vt:lpwstr>_Toc390179891</vt:lpwstr>
      </vt:variant>
      <vt:variant>
        <vt:i4>2031676</vt:i4>
      </vt:variant>
      <vt:variant>
        <vt:i4>584</vt:i4>
      </vt:variant>
      <vt:variant>
        <vt:i4>0</vt:i4>
      </vt:variant>
      <vt:variant>
        <vt:i4>5</vt:i4>
      </vt:variant>
      <vt:variant>
        <vt:lpwstr/>
      </vt:variant>
      <vt:variant>
        <vt:lpwstr>_Toc390179890</vt:lpwstr>
      </vt:variant>
      <vt:variant>
        <vt:i4>1966140</vt:i4>
      </vt:variant>
      <vt:variant>
        <vt:i4>578</vt:i4>
      </vt:variant>
      <vt:variant>
        <vt:i4>0</vt:i4>
      </vt:variant>
      <vt:variant>
        <vt:i4>5</vt:i4>
      </vt:variant>
      <vt:variant>
        <vt:lpwstr/>
      </vt:variant>
      <vt:variant>
        <vt:lpwstr>_Toc390179889</vt:lpwstr>
      </vt:variant>
      <vt:variant>
        <vt:i4>1966140</vt:i4>
      </vt:variant>
      <vt:variant>
        <vt:i4>572</vt:i4>
      </vt:variant>
      <vt:variant>
        <vt:i4>0</vt:i4>
      </vt:variant>
      <vt:variant>
        <vt:i4>5</vt:i4>
      </vt:variant>
      <vt:variant>
        <vt:lpwstr/>
      </vt:variant>
      <vt:variant>
        <vt:lpwstr>_Toc390179888</vt:lpwstr>
      </vt:variant>
      <vt:variant>
        <vt:i4>1966140</vt:i4>
      </vt:variant>
      <vt:variant>
        <vt:i4>566</vt:i4>
      </vt:variant>
      <vt:variant>
        <vt:i4>0</vt:i4>
      </vt:variant>
      <vt:variant>
        <vt:i4>5</vt:i4>
      </vt:variant>
      <vt:variant>
        <vt:lpwstr/>
      </vt:variant>
      <vt:variant>
        <vt:lpwstr>_Toc390179887</vt:lpwstr>
      </vt:variant>
      <vt:variant>
        <vt:i4>1966140</vt:i4>
      </vt:variant>
      <vt:variant>
        <vt:i4>560</vt:i4>
      </vt:variant>
      <vt:variant>
        <vt:i4>0</vt:i4>
      </vt:variant>
      <vt:variant>
        <vt:i4>5</vt:i4>
      </vt:variant>
      <vt:variant>
        <vt:lpwstr/>
      </vt:variant>
      <vt:variant>
        <vt:lpwstr>_Toc390179886</vt:lpwstr>
      </vt:variant>
      <vt:variant>
        <vt:i4>1966140</vt:i4>
      </vt:variant>
      <vt:variant>
        <vt:i4>554</vt:i4>
      </vt:variant>
      <vt:variant>
        <vt:i4>0</vt:i4>
      </vt:variant>
      <vt:variant>
        <vt:i4>5</vt:i4>
      </vt:variant>
      <vt:variant>
        <vt:lpwstr/>
      </vt:variant>
      <vt:variant>
        <vt:lpwstr>_Toc390179885</vt:lpwstr>
      </vt:variant>
      <vt:variant>
        <vt:i4>1966140</vt:i4>
      </vt:variant>
      <vt:variant>
        <vt:i4>548</vt:i4>
      </vt:variant>
      <vt:variant>
        <vt:i4>0</vt:i4>
      </vt:variant>
      <vt:variant>
        <vt:i4>5</vt:i4>
      </vt:variant>
      <vt:variant>
        <vt:lpwstr/>
      </vt:variant>
      <vt:variant>
        <vt:lpwstr>_Toc390179884</vt:lpwstr>
      </vt:variant>
      <vt:variant>
        <vt:i4>1966140</vt:i4>
      </vt:variant>
      <vt:variant>
        <vt:i4>542</vt:i4>
      </vt:variant>
      <vt:variant>
        <vt:i4>0</vt:i4>
      </vt:variant>
      <vt:variant>
        <vt:i4>5</vt:i4>
      </vt:variant>
      <vt:variant>
        <vt:lpwstr/>
      </vt:variant>
      <vt:variant>
        <vt:lpwstr>_Toc390179883</vt:lpwstr>
      </vt:variant>
      <vt:variant>
        <vt:i4>1966140</vt:i4>
      </vt:variant>
      <vt:variant>
        <vt:i4>536</vt:i4>
      </vt:variant>
      <vt:variant>
        <vt:i4>0</vt:i4>
      </vt:variant>
      <vt:variant>
        <vt:i4>5</vt:i4>
      </vt:variant>
      <vt:variant>
        <vt:lpwstr/>
      </vt:variant>
      <vt:variant>
        <vt:lpwstr>_Toc390179882</vt:lpwstr>
      </vt:variant>
      <vt:variant>
        <vt:i4>1966140</vt:i4>
      </vt:variant>
      <vt:variant>
        <vt:i4>530</vt:i4>
      </vt:variant>
      <vt:variant>
        <vt:i4>0</vt:i4>
      </vt:variant>
      <vt:variant>
        <vt:i4>5</vt:i4>
      </vt:variant>
      <vt:variant>
        <vt:lpwstr/>
      </vt:variant>
      <vt:variant>
        <vt:lpwstr>_Toc390179881</vt:lpwstr>
      </vt:variant>
      <vt:variant>
        <vt:i4>1966140</vt:i4>
      </vt:variant>
      <vt:variant>
        <vt:i4>524</vt:i4>
      </vt:variant>
      <vt:variant>
        <vt:i4>0</vt:i4>
      </vt:variant>
      <vt:variant>
        <vt:i4>5</vt:i4>
      </vt:variant>
      <vt:variant>
        <vt:lpwstr/>
      </vt:variant>
      <vt:variant>
        <vt:lpwstr>_Toc390179880</vt:lpwstr>
      </vt:variant>
      <vt:variant>
        <vt:i4>1114172</vt:i4>
      </vt:variant>
      <vt:variant>
        <vt:i4>518</vt:i4>
      </vt:variant>
      <vt:variant>
        <vt:i4>0</vt:i4>
      </vt:variant>
      <vt:variant>
        <vt:i4>5</vt:i4>
      </vt:variant>
      <vt:variant>
        <vt:lpwstr/>
      </vt:variant>
      <vt:variant>
        <vt:lpwstr>_Toc390179879</vt:lpwstr>
      </vt:variant>
      <vt:variant>
        <vt:i4>1114172</vt:i4>
      </vt:variant>
      <vt:variant>
        <vt:i4>512</vt:i4>
      </vt:variant>
      <vt:variant>
        <vt:i4>0</vt:i4>
      </vt:variant>
      <vt:variant>
        <vt:i4>5</vt:i4>
      </vt:variant>
      <vt:variant>
        <vt:lpwstr/>
      </vt:variant>
      <vt:variant>
        <vt:lpwstr>_Toc390179878</vt:lpwstr>
      </vt:variant>
      <vt:variant>
        <vt:i4>1114172</vt:i4>
      </vt:variant>
      <vt:variant>
        <vt:i4>506</vt:i4>
      </vt:variant>
      <vt:variant>
        <vt:i4>0</vt:i4>
      </vt:variant>
      <vt:variant>
        <vt:i4>5</vt:i4>
      </vt:variant>
      <vt:variant>
        <vt:lpwstr/>
      </vt:variant>
      <vt:variant>
        <vt:lpwstr>_Toc390179877</vt:lpwstr>
      </vt:variant>
      <vt:variant>
        <vt:i4>1114172</vt:i4>
      </vt:variant>
      <vt:variant>
        <vt:i4>500</vt:i4>
      </vt:variant>
      <vt:variant>
        <vt:i4>0</vt:i4>
      </vt:variant>
      <vt:variant>
        <vt:i4>5</vt:i4>
      </vt:variant>
      <vt:variant>
        <vt:lpwstr/>
      </vt:variant>
      <vt:variant>
        <vt:lpwstr>_Toc390179876</vt:lpwstr>
      </vt:variant>
      <vt:variant>
        <vt:i4>1114172</vt:i4>
      </vt:variant>
      <vt:variant>
        <vt:i4>494</vt:i4>
      </vt:variant>
      <vt:variant>
        <vt:i4>0</vt:i4>
      </vt:variant>
      <vt:variant>
        <vt:i4>5</vt:i4>
      </vt:variant>
      <vt:variant>
        <vt:lpwstr/>
      </vt:variant>
      <vt:variant>
        <vt:lpwstr>_Toc390179875</vt:lpwstr>
      </vt:variant>
      <vt:variant>
        <vt:i4>1114172</vt:i4>
      </vt:variant>
      <vt:variant>
        <vt:i4>488</vt:i4>
      </vt:variant>
      <vt:variant>
        <vt:i4>0</vt:i4>
      </vt:variant>
      <vt:variant>
        <vt:i4>5</vt:i4>
      </vt:variant>
      <vt:variant>
        <vt:lpwstr/>
      </vt:variant>
      <vt:variant>
        <vt:lpwstr>_Toc390179874</vt:lpwstr>
      </vt:variant>
      <vt:variant>
        <vt:i4>1114172</vt:i4>
      </vt:variant>
      <vt:variant>
        <vt:i4>482</vt:i4>
      </vt:variant>
      <vt:variant>
        <vt:i4>0</vt:i4>
      </vt:variant>
      <vt:variant>
        <vt:i4>5</vt:i4>
      </vt:variant>
      <vt:variant>
        <vt:lpwstr/>
      </vt:variant>
      <vt:variant>
        <vt:lpwstr>_Toc390179873</vt:lpwstr>
      </vt:variant>
      <vt:variant>
        <vt:i4>1114172</vt:i4>
      </vt:variant>
      <vt:variant>
        <vt:i4>476</vt:i4>
      </vt:variant>
      <vt:variant>
        <vt:i4>0</vt:i4>
      </vt:variant>
      <vt:variant>
        <vt:i4>5</vt:i4>
      </vt:variant>
      <vt:variant>
        <vt:lpwstr/>
      </vt:variant>
      <vt:variant>
        <vt:lpwstr>_Toc390179872</vt:lpwstr>
      </vt:variant>
      <vt:variant>
        <vt:i4>1114172</vt:i4>
      </vt:variant>
      <vt:variant>
        <vt:i4>470</vt:i4>
      </vt:variant>
      <vt:variant>
        <vt:i4>0</vt:i4>
      </vt:variant>
      <vt:variant>
        <vt:i4>5</vt:i4>
      </vt:variant>
      <vt:variant>
        <vt:lpwstr/>
      </vt:variant>
      <vt:variant>
        <vt:lpwstr>_Toc390179871</vt:lpwstr>
      </vt:variant>
      <vt:variant>
        <vt:i4>1114172</vt:i4>
      </vt:variant>
      <vt:variant>
        <vt:i4>464</vt:i4>
      </vt:variant>
      <vt:variant>
        <vt:i4>0</vt:i4>
      </vt:variant>
      <vt:variant>
        <vt:i4>5</vt:i4>
      </vt:variant>
      <vt:variant>
        <vt:lpwstr/>
      </vt:variant>
      <vt:variant>
        <vt:lpwstr>_Toc390179870</vt:lpwstr>
      </vt:variant>
      <vt:variant>
        <vt:i4>1048636</vt:i4>
      </vt:variant>
      <vt:variant>
        <vt:i4>458</vt:i4>
      </vt:variant>
      <vt:variant>
        <vt:i4>0</vt:i4>
      </vt:variant>
      <vt:variant>
        <vt:i4>5</vt:i4>
      </vt:variant>
      <vt:variant>
        <vt:lpwstr/>
      </vt:variant>
      <vt:variant>
        <vt:lpwstr>_Toc390179869</vt:lpwstr>
      </vt:variant>
      <vt:variant>
        <vt:i4>1048636</vt:i4>
      </vt:variant>
      <vt:variant>
        <vt:i4>452</vt:i4>
      </vt:variant>
      <vt:variant>
        <vt:i4>0</vt:i4>
      </vt:variant>
      <vt:variant>
        <vt:i4>5</vt:i4>
      </vt:variant>
      <vt:variant>
        <vt:lpwstr/>
      </vt:variant>
      <vt:variant>
        <vt:lpwstr>_Toc390179868</vt:lpwstr>
      </vt:variant>
      <vt:variant>
        <vt:i4>1048636</vt:i4>
      </vt:variant>
      <vt:variant>
        <vt:i4>446</vt:i4>
      </vt:variant>
      <vt:variant>
        <vt:i4>0</vt:i4>
      </vt:variant>
      <vt:variant>
        <vt:i4>5</vt:i4>
      </vt:variant>
      <vt:variant>
        <vt:lpwstr/>
      </vt:variant>
      <vt:variant>
        <vt:lpwstr>_Toc390179867</vt:lpwstr>
      </vt:variant>
      <vt:variant>
        <vt:i4>1048636</vt:i4>
      </vt:variant>
      <vt:variant>
        <vt:i4>440</vt:i4>
      </vt:variant>
      <vt:variant>
        <vt:i4>0</vt:i4>
      </vt:variant>
      <vt:variant>
        <vt:i4>5</vt:i4>
      </vt:variant>
      <vt:variant>
        <vt:lpwstr/>
      </vt:variant>
      <vt:variant>
        <vt:lpwstr>_Toc390179866</vt:lpwstr>
      </vt:variant>
      <vt:variant>
        <vt:i4>1048636</vt:i4>
      </vt:variant>
      <vt:variant>
        <vt:i4>434</vt:i4>
      </vt:variant>
      <vt:variant>
        <vt:i4>0</vt:i4>
      </vt:variant>
      <vt:variant>
        <vt:i4>5</vt:i4>
      </vt:variant>
      <vt:variant>
        <vt:lpwstr/>
      </vt:variant>
      <vt:variant>
        <vt:lpwstr>_Toc390179865</vt:lpwstr>
      </vt:variant>
      <vt:variant>
        <vt:i4>1048636</vt:i4>
      </vt:variant>
      <vt:variant>
        <vt:i4>428</vt:i4>
      </vt:variant>
      <vt:variant>
        <vt:i4>0</vt:i4>
      </vt:variant>
      <vt:variant>
        <vt:i4>5</vt:i4>
      </vt:variant>
      <vt:variant>
        <vt:lpwstr/>
      </vt:variant>
      <vt:variant>
        <vt:lpwstr>_Toc390179864</vt:lpwstr>
      </vt:variant>
      <vt:variant>
        <vt:i4>1048636</vt:i4>
      </vt:variant>
      <vt:variant>
        <vt:i4>422</vt:i4>
      </vt:variant>
      <vt:variant>
        <vt:i4>0</vt:i4>
      </vt:variant>
      <vt:variant>
        <vt:i4>5</vt:i4>
      </vt:variant>
      <vt:variant>
        <vt:lpwstr/>
      </vt:variant>
      <vt:variant>
        <vt:lpwstr>_Toc390179863</vt:lpwstr>
      </vt:variant>
      <vt:variant>
        <vt:i4>1048636</vt:i4>
      </vt:variant>
      <vt:variant>
        <vt:i4>416</vt:i4>
      </vt:variant>
      <vt:variant>
        <vt:i4>0</vt:i4>
      </vt:variant>
      <vt:variant>
        <vt:i4>5</vt:i4>
      </vt:variant>
      <vt:variant>
        <vt:lpwstr/>
      </vt:variant>
      <vt:variant>
        <vt:lpwstr>_Toc390179862</vt:lpwstr>
      </vt:variant>
      <vt:variant>
        <vt:i4>1048636</vt:i4>
      </vt:variant>
      <vt:variant>
        <vt:i4>410</vt:i4>
      </vt:variant>
      <vt:variant>
        <vt:i4>0</vt:i4>
      </vt:variant>
      <vt:variant>
        <vt:i4>5</vt:i4>
      </vt:variant>
      <vt:variant>
        <vt:lpwstr/>
      </vt:variant>
      <vt:variant>
        <vt:lpwstr>_Toc390179861</vt:lpwstr>
      </vt:variant>
      <vt:variant>
        <vt:i4>1048636</vt:i4>
      </vt:variant>
      <vt:variant>
        <vt:i4>404</vt:i4>
      </vt:variant>
      <vt:variant>
        <vt:i4>0</vt:i4>
      </vt:variant>
      <vt:variant>
        <vt:i4>5</vt:i4>
      </vt:variant>
      <vt:variant>
        <vt:lpwstr/>
      </vt:variant>
      <vt:variant>
        <vt:lpwstr>_Toc390179860</vt:lpwstr>
      </vt:variant>
      <vt:variant>
        <vt:i4>1245244</vt:i4>
      </vt:variant>
      <vt:variant>
        <vt:i4>398</vt:i4>
      </vt:variant>
      <vt:variant>
        <vt:i4>0</vt:i4>
      </vt:variant>
      <vt:variant>
        <vt:i4>5</vt:i4>
      </vt:variant>
      <vt:variant>
        <vt:lpwstr/>
      </vt:variant>
      <vt:variant>
        <vt:lpwstr>_Toc390179859</vt:lpwstr>
      </vt:variant>
      <vt:variant>
        <vt:i4>1245244</vt:i4>
      </vt:variant>
      <vt:variant>
        <vt:i4>392</vt:i4>
      </vt:variant>
      <vt:variant>
        <vt:i4>0</vt:i4>
      </vt:variant>
      <vt:variant>
        <vt:i4>5</vt:i4>
      </vt:variant>
      <vt:variant>
        <vt:lpwstr/>
      </vt:variant>
      <vt:variant>
        <vt:lpwstr>_Toc390179858</vt:lpwstr>
      </vt:variant>
      <vt:variant>
        <vt:i4>1245244</vt:i4>
      </vt:variant>
      <vt:variant>
        <vt:i4>386</vt:i4>
      </vt:variant>
      <vt:variant>
        <vt:i4>0</vt:i4>
      </vt:variant>
      <vt:variant>
        <vt:i4>5</vt:i4>
      </vt:variant>
      <vt:variant>
        <vt:lpwstr/>
      </vt:variant>
      <vt:variant>
        <vt:lpwstr>_Toc390179857</vt:lpwstr>
      </vt:variant>
      <vt:variant>
        <vt:i4>1245244</vt:i4>
      </vt:variant>
      <vt:variant>
        <vt:i4>380</vt:i4>
      </vt:variant>
      <vt:variant>
        <vt:i4>0</vt:i4>
      </vt:variant>
      <vt:variant>
        <vt:i4>5</vt:i4>
      </vt:variant>
      <vt:variant>
        <vt:lpwstr/>
      </vt:variant>
      <vt:variant>
        <vt:lpwstr>_Toc390179856</vt:lpwstr>
      </vt:variant>
      <vt:variant>
        <vt:i4>1245244</vt:i4>
      </vt:variant>
      <vt:variant>
        <vt:i4>374</vt:i4>
      </vt:variant>
      <vt:variant>
        <vt:i4>0</vt:i4>
      </vt:variant>
      <vt:variant>
        <vt:i4>5</vt:i4>
      </vt:variant>
      <vt:variant>
        <vt:lpwstr/>
      </vt:variant>
      <vt:variant>
        <vt:lpwstr>_Toc390179855</vt:lpwstr>
      </vt:variant>
      <vt:variant>
        <vt:i4>1245244</vt:i4>
      </vt:variant>
      <vt:variant>
        <vt:i4>368</vt:i4>
      </vt:variant>
      <vt:variant>
        <vt:i4>0</vt:i4>
      </vt:variant>
      <vt:variant>
        <vt:i4>5</vt:i4>
      </vt:variant>
      <vt:variant>
        <vt:lpwstr/>
      </vt:variant>
      <vt:variant>
        <vt:lpwstr>_Toc390179854</vt:lpwstr>
      </vt:variant>
      <vt:variant>
        <vt:i4>1245244</vt:i4>
      </vt:variant>
      <vt:variant>
        <vt:i4>362</vt:i4>
      </vt:variant>
      <vt:variant>
        <vt:i4>0</vt:i4>
      </vt:variant>
      <vt:variant>
        <vt:i4>5</vt:i4>
      </vt:variant>
      <vt:variant>
        <vt:lpwstr/>
      </vt:variant>
      <vt:variant>
        <vt:lpwstr>_Toc390179853</vt:lpwstr>
      </vt:variant>
      <vt:variant>
        <vt:i4>1245244</vt:i4>
      </vt:variant>
      <vt:variant>
        <vt:i4>356</vt:i4>
      </vt:variant>
      <vt:variant>
        <vt:i4>0</vt:i4>
      </vt:variant>
      <vt:variant>
        <vt:i4>5</vt:i4>
      </vt:variant>
      <vt:variant>
        <vt:lpwstr/>
      </vt:variant>
      <vt:variant>
        <vt:lpwstr>_Toc390179852</vt:lpwstr>
      </vt:variant>
      <vt:variant>
        <vt:i4>1245244</vt:i4>
      </vt:variant>
      <vt:variant>
        <vt:i4>350</vt:i4>
      </vt:variant>
      <vt:variant>
        <vt:i4>0</vt:i4>
      </vt:variant>
      <vt:variant>
        <vt:i4>5</vt:i4>
      </vt:variant>
      <vt:variant>
        <vt:lpwstr/>
      </vt:variant>
      <vt:variant>
        <vt:lpwstr>_Toc390179851</vt:lpwstr>
      </vt:variant>
      <vt:variant>
        <vt:i4>1245244</vt:i4>
      </vt:variant>
      <vt:variant>
        <vt:i4>344</vt:i4>
      </vt:variant>
      <vt:variant>
        <vt:i4>0</vt:i4>
      </vt:variant>
      <vt:variant>
        <vt:i4>5</vt:i4>
      </vt:variant>
      <vt:variant>
        <vt:lpwstr/>
      </vt:variant>
      <vt:variant>
        <vt:lpwstr>_Toc390179850</vt:lpwstr>
      </vt:variant>
      <vt:variant>
        <vt:i4>1179708</vt:i4>
      </vt:variant>
      <vt:variant>
        <vt:i4>338</vt:i4>
      </vt:variant>
      <vt:variant>
        <vt:i4>0</vt:i4>
      </vt:variant>
      <vt:variant>
        <vt:i4>5</vt:i4>
      </vt:variant>
      <vt:variant>
        <vt:lpwstr/>
      </vt:variant>
      <vt:variant>
        <vt:lpwstr>_Toc390179849</vt:lpwstr>
      </vt:variant>
      <vt:variant>
        <vt:i4>1179708</vt:i4>
      </vt:variant>
      <vt:variant>
        <vt:i4>332</vt:i4>
      </vt:variant>
      <vt:variant>
        <vt:i4>0</vt:i4>
      </vt:variant>
      <vt:variant>
        <vt:i4>5</vt:i4>
      </vt:variant>
      <vt:variant>
        <vt:lpwstr/>
      </vt:variant>
      <vt:variant>
        <vt:lpwstr>_Toc390179848</vt:lpwstr>
      </vt:variant>
      <vt:variant>
        <vt:i4>1179708</vt:i4>
      </vt:variant>
      <vt:variant>
        <vt:i4>326</vt:i4>
      </vt:variant>
      <vt:variant>
        <vt:i4>0</vt:i4>
      </vt:variant>
      <vt:variant>
        <vt:i4>5</vt:i4>
      </vt:variant>
      <vt:variant>
        <vt:lpwstr/>
      </vt:variant>
      <vt:variant>
        <vt:lpwstr>_Toc390179847</vt:lpwstr>
      </vt:variant>
      <vt:variant>
        <vt:i4>1179708</vt:i4>
      </vt:variant>
      <vt:variant>
        <vt:i4>320</vt:i4>
      </vt:variant>
      <vt:variant>
        <vt:i4>0</vt:i4>
      </vt:variant>
      <vt:variant>
        <vt:i4>5</vt:i4>
      </vt:variant>
      <vt:variant>
        <vt:lpwstr/>
      </vt:variant>
      <vt:variant>
        <vt:lpwstr>_Toc390179846</vt:lpwstr>
      </vt:variant>
      <vt:variant>
        <vt:i4>1179708</vt:i4>
      </vt:variant>
      <vt:variant>
        <vt:i4>314</vt:i4>
      </vt:variant>
      <vt:variant>
        <vt:i4>0</vt:i4>
      </vt:variant>
      <vt:variant>
        <vt:i4>5</vt:i4>
      </vt:variant>
      <vt:variant>
        <vt:lpwstr/>
      </vt:variant>
      <vt:variant>
        <vt:lpwstr>_Toc390179845</vt:lpwstr>
      </vt:variant>
      <vt:variant>
        <vt:i4>1179708</vt:i4>
      </vt:variant>
      <vt:variant>
        <vt:i4>308</vt:i4>
      </vt:variant>
      <vt:variant>
        <vt:i4>0</vt:i4>
      </vt:variant>
      <vt:variant>
        <vt:i4>5</vt:i4>
      </vt:variant>
      <vt:variant>
        <vt:lpwstr/>
      </vt:variant>
      <vt:variant>
        <vt:lpwstr>_Toc390179844</vt:lpwstr>
      </vt:variant>
      <vt:variant>
        <vt:i4>1179708</vt:i4>
      </vt:variant>
      <vt:variant>
        <vt:i4>302</vt:i4>
      </vt:variant>
      <vt:variant>
        <vt:i4>0</vt:i4>
      </vt:variant>
      <vt:variant>
        <vt:i4>5</vt:i4>
      </vt:variant>
      <vt:variant>
        <vt:lpwstr/>
      </vt:variant>
      <vt:variant>
        <vt:lpwstr>_Toc390179843</vt:lpwstr>
      </vt:variant>
      <vt:variant>
        <vt:i4>1179708</vt:i4>
      </vt:variant>
      <vt:variant>
        <vt:i4>296</vt:i4>
      </vt:variant>
      <vt:variant>
        <vt:i4>0</vt:i4>
      </vt:variant>
      <vt:variant>
        <vt:i4>5</vt:i4>
      </vt:variant>
      <vt:variant>
        <vt:lpwstr/>
      </vt:variant>
      <vt:variant>
        <vt:lpwstr>_Toc390179842</vt:lpwstr>
      </vt:variant>
      <vt:variant>
        <vt:i4>1179708</vt:i4>
      </vt:variant>
      <vt:variant>
        <vt:i4>290</vt:i4>
      </vt:variant>
      <vt:variant>
        <vt:i4>0</vt:i4>
      </vt:variant>
      <vt:variant>
        <vt:i4>5</vt:i4>
      </vt:variant>
      <vt:variant>
        <vt:lpwstr/>
      </vt:variant>
      <vt:variant>
        <vt:lpwstr>_Toc390179841</vt:lpwstr>
      </vt:variant>
      <vt:variant>
        <vt:i4>1179708</vt:i4>
      </vt:variant>
      <vt:variant>
        <vt:i4>284</vt:i4>
      </vt:variant>
      <vt:variant>
        <vt:i4>0</vt:i4>
      </vt:variant>
      <vt:variant>
        <vt:i4>5</vt:i4>
      </vt:variant>
      <vt:variant>
        <vt:lpwstr/>
      </vt:variant>
      <vt:variant>
        <vt:lpwstr>_Toc390179840</vt:lpwstr>
      </vt:variant>
      <vt:variant>
        <vt:i4>1376316</vt:i4>
      </vt:variant>
      <vt:variant>
        <vt:i4>278</vt:i4>
      </vt:variant>
      <vt:variant>
        <vt:i4>0</vt:i4>
      </vt:variant>
      <vt:variant>
        <vt:i4>5</vt:i4>
      </vt:variant>
      <vt:variant>
        <vt:lpwstr/>
      </vt:variant>
      <vt:variant>
        <vt:lpwstr>_Toc390179839</vt:lpwstr>
      </vt:variant>
      <vt:variant>
        <vt:i4>1376316</vt:i4>
      </vt:variant>
      <vt:variant>
        <vt:i4>272</vt:i4>
      </vt:variant>
      <vt:variant>
        <vt:i4>0</vt:i4>
      </vt:variant>
      <vt:variant>
        <vt:i4>5</vt:i4>
      </vt:variant>
      <vt:variant>
        <vt:lpwstr/>
      </vt:variant>
      <vt:variant>
        <vt:lpwstr>_Toc390179838</vt:lpwstr>
      </vt:variant>
      <vt:variant>
        <vt:i4>1376316</vt:i4>
      </vt:variant>
      <vt:variant>
        <vt:i4>266</vt:i4>
      </vt:variant>
      <vt:variant>
        <vt:i4>0</vt:i4>
      </vt:variant>
      <vt:variant>
        <vt:i4>5</vt:i4>
      </vt:variant>
      <vt:variant>
        <vt:lpwstr/>
      </vt:variant>
      <vt:variant>
        <vt:lpwstr>_Toc390179837</vt:lpwstr>
      </vt:variant>
      <vt:variant>
        <vt:i4>1376316</vt:i4>
      </vt:variant>
      <vt:variant>
        <vt:i4>260</vt:i4>
      </vt:variant>
      <vt:variant>
        <vt:i4>0</vt:i4>
      </vt:variant>
      <vt:variant>
        <vt:i4>5</vt:i4>
      </vt:variant>
      <vt:variant>
        <vt:lpwstr/>
      </vt:variant>
      <vt:variant>
        <vt:lpwstr>_Toc390179836</vt:lpwstr>
      </vt:variant>
      <vt:variant>
        <vt:i4>1376316</vt:i4>
      </vt:variant>
      <vt:variant>
        <vt:i4>254</vt:i4>
      </vt:variant>
      <vt:variant>
        <vt:i4>0</vt:i4>
      </vt:variant>
      <vt:variant>
        <vt:i4>5</vt:i4>
      </vt:variant>
      <vt:variant>
        <vt:lpwstr/>
      </vt:variant>
      <vt:variant>
        <vt:lpwstr>_Toc390179835</vt:lpwstr>
      </vt:variant>
      <vt:variant>
        <vt:i4>1376316</vt:i4>
      </vt:variant>
      <vt:variant>
        <vt:i4>248</vt:i4>
      </vt:variant>
      <vt:variant>
        <vt:i4>0</vt:i4>
      </vt:variant>
      <vt:variant>
        <vt:i4>5</vt:i4>
      </vt:variant>
      <vt:variant>
        <vt:lpwstr/>
      </vt:variant>
      <vt:variant>
        <vt:lpwstr>_Toc390179834</vt:lpwstr>
      </vt:variant>
      <vt:variant>
        <vt:i4>1376316</vt:i4>
      </vt:variant>
      <vt:variant>
        <vt:i4>242</vt:i4>
      </vt:variant>
      <vt:variant>
        <vt:i4>0</vt:i4>
      </vt:variant>
      <vt:variant>
        <vt:i4>5</vt:i4>
      </vt:variant>
      <vt:variant>
        <vt:lpwstr/>
      </vt:variant>
      <vt:variant>
        <vt:lpwstr>_Toc390179833</vt:lpwstr>
      </vt:variant>
      <vt:variant>
        <vt:i4>1376316</vt:i4>
      </vt:variant>
      <vt:variant>
        <vt:i4>236</vt:i4>
      </vt:variant>
      <vt:variant>
        <vt:i4>0</vt:i4>
      </vt:variant>
      <vt:variant>
        <vt:i4>5</vt:i4>
      </vt:variant>
      <vt:variant>
        <vt:lpwstr/>
      </vt:variant>
      <vt:variant>
        <vt:lpwstr>_Toc390179832</vt:lpwstr>
      </vt:variant>
      <vt:variant>
        <vt:i4>1376316</vt:i4>
      </vt:variant>
      <vt:variant>
        <vt:i4>230</vt:i4>
      </vt:variant>
      <vt:variant>
        <vt:i4>0</vt:i4>
      </vt:variant>
      <vt:variant>
        <vt:i4>5</vt:i4>
      </vt:variant>
      <vt:variant>
        <vt:lpwstr/>
      </vt:variant>
      <vt:variant>
        <vt:lpwstr>_Toc390179831</vt:lpwstr>
      </vt:variant>
      <vt:variant>
        <vt:i4>1376316</vt:i4>
      </vt:variant>
      <vt:variant>
        <vt:i4>224</vt:i4>
      </vt:variant>
      <vt:variant>
        <vt:i4>0</vt:i4>
      </vt:variant>
      <vt:variant>
        <vt:i4>5</vt:i4>
      </vt:variant>
      <vt:variant>
        <vt:lpwstr/>
      </vt:variant>
      <vt:variant>
        <vt:lpwstr>_Toc390179830</vt:lpwstr>
      </vt:variant>
      <vt:variant>
        <vt:i4>1310780</vt:i4>
      </vt:variant>
      <vt:variant>
        <vt:i4>218</vt:i4>
      </vt:variant>
      <vt:variant>
        <vt:i4>0</vt:i4>
      </vt:variant>
      <vt:variant>
        <vt:i4>5</vt:i4>
      </vt:variant>
      <vt:variant>
        <vt:lpwstr/>
      </vt:variant>
      <vt:variant>
        <vt:lpwstr>_Toc390179829</vt:lpwstr>
      </vt:variant>
      <vt:variant>
        <vt:i4>1310780</vt:i4>
      </vt:variant>
      <vt:variant>
        <vt:i4>212</vt:i4>
      </vt:variant>
      <vt:variant>
        <vt:i4>0</vt:i4>
      </vt:variant>
      <vt:variant>
        <vt:i4>5</vt:i4>
      </vt:variant>
      <vt:variant>
        <vt:lpwstr/>
      </vt:variant>
      <vt:variant>
        <vt:lpwstr>_Toc390179828</vt:lpwstr>
      </vt:variant>
      <vt:variant>
        <vt:i4>1310780</vt:i4>
      </vt:variant>
      <vt:variant>
        <vt:i4>206</vt:i4>
      </vt:variant>
      <vt:variant>
        <vt:i4>0</vt:i4>
      </vt:variant>
      <vt:variant>
        <vt:i4>5</vt:i4>
      </vt:variant>
      <vt:variant>
        <vt:lpwstr/>
      </vt:variant>
      <vt:variant>
        <vt:lpwstr>_Toc390179827</vt:lpwstr>
      </vt:variant>
      <vt:variant>
        <vt:i4>1310780</vt:i4>
      </vt:variant>
      <vt:variant>
        <vt:i4>200</vt:i4>
      </vt:variant>
      <vt:variant>
        <vt:i4>0</vt:i4>
      </vt:variant>
      <vt:variant>
        <vt:i4>5</vt:i4>
      </vt:variant>
      <vt:variant>
        <vt:lpwstr/>
      </vt:variant>
      <vt:variant>
        <vt:lpwstr>_Toc390179826</vt:lpwstr>
      </vt:variant>
      <vt:variant>
        <vt:i4>1310780</vt:i4>
      </vt:variant>
      <vt:variant>
        <vt:i4>194</vt:i4>
      </vt:variant>
      <vt:variant>
        <vt:i4>0</vt:i4>
      </vt:variant>
      <vt:variant>
        <vt:i4>5</vt:i4>
      </vt:variant>
      <vt:variant>
        <vt:lpwstr/>
      </vt:variant>
      <vt:variant>
        <vt:lpwstr>_Toc390179825</vt:lpwstr>
      </vt:variant>
      <vt:variant>
        <vt:i4>1310780</vt:i4>
      </vt:variant>
      <vt:variant>
        <vt:i4>188</vt:i4>
      </vt:variant>
      <vt:variant>
        <vt:i4>0</vt:i4>
      </vt:variant>
      <vt:variant>
        <vt:i4>5</vt:i4>
      </vt:variant>
      <vt:variant>
        <vt:lpwstr/>
      </vt:variant>
      <vt:variant>
        <vt:lpwstr>_Toc390179824</vt:lpwstr>
      </vt:variant>
      <vt:variant>
        <vt:i4>1310780</vt:i4>
      </vt:variant>
      <vt:variant>
        <vt:i4>182</vt:i4>
      </vt:variant>
      <vt:variant>
        <vt:i4>0</vt:i4>
      </vt:variant>
      <vt:variant>
        <vt:i4>5</vt:i4>
      </vt:variant>
      <vt:variant>
        <vt:lpwstr/>
      </vt:variant>
      <vt:variant>
        <vt:lpwstr>_Toc390179823</vt:lpwstr>
      </vt:variant>
      <vt:variant>
        <vt:i4>1310780</vt:i4>
      </vt:variant>
      <vt:variant>
        <vt:i4>176</vt:i4>
      </vt:variant>
      <vt:variant>
        <vt:i4>0</vt:i4>
      </vt:variant>
      <vt:variant>
        <vt:i4>5</vt:i4>
      </vt:variant>
      <vt:variant>
        <vt:lpwstr/>
      </vt:variant>
      <vt:variant>
        <vt:lpwstr>_Toc390179822</vt:lpwstr>
      </vt:variant>
      <vt:variant>
        <vt:i4>1310780</vt:i4>
      </vt:variant>
      <vt:variant>
        <vt:i4>170</vt:i4>
      </vt:variant>
      <vt:variant>
        <vt:i4>0</vt:i4>
      </vt:variant>
      <vt:variant>
        <vt:i4>5</vt:i4>
      </vt:variant>
      <vt:variant>
        <vt:lpwstr/>
      </vt:variant>
      <vt:variant>
        <vt:lpwstr>_Toc390179821</vt:lpwstr>
      </vt:variant>
      <vt:variant>
        <vt:i4>1310780</vt:i4>
      </vt:variant>
      <vt:variant>
        <vt:i4>164</vt:i4>
      </vt:variant>
      <vt:variant>
        <vt:i4>0</vt:i4>
      </vt:variant>
      <vt:variant>
        <vt:i4>5</vt:i4>
      </vt:variant>
      <vt:variant>
        <vt:lpwstr/>
      </vt:variant>
      <vt:variant>
        <vt:lpwstr>_Toc390179820</vt:lpwstr>
      </vt:variant>
      <vt:variant>
        <vt:i4>1507388</vt:i4>
      </vt:variant>
      <vt:variant>
        <vt:i4>158</vt:i4>
      </vt:variant>
      <vt:variant>
        <vt:i4>0</vt:i4>
      </vt:variant>
      <vt:variant>
        <vt:i4>5</vt:i4>
      </vt:variant>
      <vt:variant>
        <vt:lpwstr/>
      </vt:variant>
      <vt:variant>
        <vt:lpwstr>_Toc390179819</vt:lpwstr>
      </vt:variant>
      <vt:variant>
        <vt:i4>1507388</vt:i4>
      </vt:variant>
      <vt:variant>
        <vt:i4>152</vt:i4>
      </vt:variant>
      <vt:variant>
        <vt:i4>0</vt:i4>
      </vt:variant>
      <vt:variant>
        <vt:i4>5</vt:i4>
      </vt:variant>
      <vt:variant>
        <vt:lpwstr/>
      </vt:variant>
      <vt:variant>
        <vt:lpwstr>_Toc390179818</vt:lpwstr>
      </vt:variant>
      <vt:variant>
        <vt:i4>1507388</vt:i4>
      </vt:variant>
      <vt:variant>
        <vt:i4>146</vt:i4>
      </vt:variant>
      <vt:variant>
        <vt:i4>0</vt:i4>
      </vt:variant>
      <vt:variant>
        <vt:i4>5</vt:i4>
      </vt:variant>
      <vt:variant>
        <vt:lpwstr/>
      </vt:variant>
      <vt:variant>
        <vt:lpwstr>_Toc390179817</vt:lpwstr>
      </vt:variant>
      <vt:variant>
        <vt:i4>1507388</vt:i4>
      </vt:variant>
      <vt:variant>
        <vt:i4>140</vt:i4>
      </vt:variant>
      <vt:variant>
        <vt:i4>0</vt:i4>
      </vt:variant>
      <vt:variant>
        <vt:i4>5</vt:i4>
      </vt:variant>
      <vt:variant>
        <vt:lpwstr/>
      </vt:variant>
      <vt:variant>
        <vt:lpwstr>_Toc390179816</vt:lpwstr>
      </vt:variant>
      <vt:variant>
        <vt:i4>1507388</vt:i4>
      </vt:variant>
      <vt:variant>
        <vt:i4>134</vt:i4>
      </vt:variant>
      <vt:variant>
        <vt:i4>0</vt:i4>
      </vt:variant>
      <vt:variant>
        <vt:i4>5</vt:i4>
      </vt:variant>
      <vt:variant>
        <vt:lpwstr/>
      </vt:variant>
      <vt:variant>
        <vt:lpwstr>_Toc390179815</vt:lpwstr>
      </vt:variant>
      <vt:variant>
        <vt:i4>1507388</vt:i4>
      </vt:variant>
      <vt:variant>
        <vt:i4>128</vt:i4>
      </vt:variant>
      <vt:variant>
        <vt:i4>0</vt:i4>
      </vt:variant>
      <vt:variant>
        <vt:i4>5</vt:i4>
      </vt:variant>
      <vt:variant>
        <vt:lpwstr/>
      </vt:variant>
      <vt:variant>
        <vt:lpwstr>_Toc390179814</vt:lpwstr>
      </vt:variant>
      <vt:variant>
        <vt:i4>1507388</vt:i4>
      </vt:variant>
      <vt:variant>
        <vt:i4>122</vt:i4>
      </vt:variant>
      <vt:variant>
        <vt:i4>0</vt:i4>
      </vt:variant>
      <vt:variant>
        <vt:i4>5</vt:i4>
      </vt:variant>
      <vt:variant>
        <vt:lpwstr/>
      </vt:variant>
      <vt:variant>
        <vt:lpwstr>_Toc390179813</vt:lpwstr>
      </vt:variant>
      <vt:variant>
        <vt:i4>1507388</vt:i4>
      </vt:variant>
      <vt:variant>
        <vt:i4>116</vt:i4>
      </vt:variant>
      <vt:variant>
        <vt:i4>0</vt:i4>
      </vt:variant>
      <vt:variant>
        <vt:i4>5</vt:i4>
      </vt:variant>
      <vt:variant>
        <vt:lpwstr/>
      </vt:variant>
      <vt:variant>
        <vt:lpwstr>_Toc390179812</vt:lpwstr>
      </vt:variant>
      <vt:variant>
        <vt:i4>1507388</vt:i4>
      </vt:variant>
      <vt:variant>
        <vt:i4>110</vt:i4>
      </vt:variant>
      <vt:variant>
        <vt:i4>0</vt:i4>
      </vt:variant>
      <vt:variant>
        <vt:i4>5</vt:i4>
      </vt:variant>
      <vt:variant>
        <vt:lpwstr/>
      </vt:variant>
      <vt:variant>
        <vt:lpwstr>_Toc390179811</vt:lpwstr>
      </vt:variant>
      <vt:variant>
        <vt:i4>1507388</vt:i4>
      </vt:variant>
      <vt:variant>
        <vt:i4>104</vt:i4>
      </vt:variant>
      <vt:variant>
        <vt:i4>0</vt:i4>
      </vt:variant>
      <vt:variant>
        <vt:i4>5</vt:i4>
      </vt:variant>
      <vt:variant>
        <vt:lpwstr/>
      </vt:variant>
      <vt:variant>
        <vt:lpwstr>_Toc390179810</vt:lpwstr>
      </vt:variant>
      <vt:variant>
        <vt:i4>1441852</vt:i4>
      </vt:variant>
      <vt:variant>
        <vt:i4>98</vt:i4>
      </vt:variant>
      <vt:variant>
        <vt:i4>0</vt:i4>
      </vt:variant>
      <vt:variant>
        <vt:i4>5</vt:i4>
      </vt:variant>
      <vt:variant>
        <vt:lpwstr/>
      </vt:variant>
      <vt:variant>
        <vt:lpwstr>_Toc390179809</vt:lpwstr>
      </vt:variant>
      <vt:variant>
        <vt:i4>1441852</vt:i4>
      </vt:variant>
      <vt:variant>
        <vt:i4>92</vt:i4>
      </vt:variant>
      <vt:variant>
        <vt:i4>0</vt:i4>
      </vt:variant>
      <vt:variant>
        <vt:i4>5</vt:i4>
      </vt:variant>
      <vt:variant>
        <vt:lpwstr/>
      </vt:variant>
      <vt:variant>
        <vt:lpwstr>_Toc390179808</vt:lpwstr>
      </vt:variant>
      <vt:variant>
        <vt:i4>1441852</vt:i4>
      </vt:variant>
      <vt:variant>
        <vt:i4>86</vt:i4>
      </vt:variant>
      <vt:variant>
        <vt:i4>0</vt:i4>
      </vt:variant>
      <vt:variant>
        <vt:i4>5</vt:i4>
      </vt:variant>
      <vt:variant>
        <vt:lpwstr/>
      </vt:variant>
      <vt:variant>
        <vt:lpwstr>_Toc390179807</vt:lpwstr>
      </vt:variant>
      <vt:variant>
        <vt:i4>1441852</vt:i4>
      </vt:variant>
      <vt:variant>
        <vt:i4>80</vt:i4>
      </vt:variant>
      <vt:variant>
        <vt:i4>0</vt:i4>
      </vt:variant>
      <vt:variant>
        <vt:i4>5</vt:i4>
      </vt:variant>
      <vt:variant>
        <vt:lpwstr/>
      </vt:variant>
      <vt:variant>
        <vt:lpwstr>_Toc390179806</vt:lpwstr>
      </vt:variant>
      <vt:variant>
        <vt:i4>1441852</vt:i4>
      </vt:variant>
      <vt:variant>
        <vt:i4>74</vt:i4>
      </vt:variant>
      <vt:variant>
        <vt:i4>0</vt:i4>
      </vt:variant>
      <vt:variant>
        <vt:i4>5</vt:i4>
      </vt:variant>
      <vt:variant>
        <vt:lpwstr/>
      </vt:variant>
      <vt:variant>
        <vt:lpwstr>_Toc390179805</vt:lpwstr>
      </vt:variant>
      <vt:variant>
        <vt:i4>1441852</vt:i4>
      </vt:variant>
      <vt:variant>
        <vt:i4>68</vt:i4>
      </vt:variant>
      <vt:variant>
        <vt:i4>0</vt:i4>
      </vt:variant>
      <vt:variant>
        <vt:i4>5</vt:i4>
      </vt:variant>
      <vt:variant>
        <vt:lpwstr/>
      </vt:variant>
      <vt:variant>
        <vt:lpwstr>_Toc390179804</vt:lpwstr>
      </vt:variant>
      <vt:variant>
        <vt:i4>1441852</vt:i4>
      </vt:variant>
      <vt:variant>
        <vt:i4>62</vt:i4>
      </vt:variant>
      <vt:variant>
        <vt:i4>0</vt:i4>
      </vt:variant>
      <vt:variant>
        <vt:i4>5</vt:i4>
      </vt:variant>
      <vt:variant>
        <vt:lpwstr/>
      </vt:variant>
      <vt:variant>
        <vt:lpwstr>_Toc390179803</vt:lpwstr>
      </vt:variant>
      <vt:variant>
        <vt:i4>1441852</vt:i4>
      </vt:variant>
      <vt:variant>
        <vt:i4>56</vt:i4>
      </vt:variant>
      <vt:variant>
        <vt:i4>0</vt:i4>
      </vt:variant>
      <vt:variant>
        <vt:i4>5</vt:i4>
      </vt:variant>
      <vt:variant>
        <vt:lpwstr/>
      </vt:variant>
      <vt:variant>
        <vt:lpwstr>_Toc390179802</vt:lpwstr>
      </vt:variant>
      <vt:variant>
        <vt:i4>1441852</vt:i4>
      </vt:variant>
      <vt:variant>
        <vt:i4>50</vt:i4>
      </vt:variant>
      <vt:variant>
        <vt:i4>0</vt:i4>
      </vt:variant>
      <vt:variant>
        <vt:i4>5</vt:i4>
      </vt:variant>
      <vt:variant>
        <vt:lpwstr/>
      </vt:variant>
      <vt:variant>
        <vt:lpwstr>_Toc390179801</vt:lpwstr>
      </vt:variant>
      <vt:variant>
        <vt:i4>1441852</vt:i4>
      </vt:variant>
      <vt:variant>
        <vt:i4>44</vt:i4>
      </vt:variant>
      <vt:variant>
        <vt:i4>0</vt:i4>
      </vt:variant>
      <vt:variant>
        <vt:i4>5</vt:i4>
      </vt:variant>
      <vt:variant>
        <vt:lpwstr/>
      </vt:variant>
      <vt:variant>
        <vt:lpwstr>_Toc390179800</vt:lpwstr>
      </vt:variant>
      <vt:variant>
        <vt:i4>2031667</vt:i4>
      </vt:variant>
      <vt:variant>
        <vt:i4>38</vt:i4>
      </vt:variant>
      <vt:variant>
        <vt:i4>0</vt:i4>
      </vt:variant>
      <vt:variant>
        <vt:i4>5</vt:i4>
      </vt:variant>
      <vt:variant>
        <vt:lpwstr/>
      </vt:variant>
      <vt:variant>
        <vt:lpwstr>_Toc390179799</vt:lpwstr>
      </vt:variant>
      <vt:variant>
        <vt:i4>2031667</vt:i4>
      </vt:variant>
      <vt:variant>
        <vt:i4>32</vt:i4>
      </vt:variant>
      <vt:variant>
        <vt:i4>0</vt:i4>
      </vt:variant>
      <vt:variant>
        <vt:i4>5</vt:i4>
      </vt:variant>
      <vt:variant>
        <vt:lpwstr/>
      </vt:variant>
      <vt:variant>
        <vt:lpwstr>_Toc390179798</vt:lpwstr>
      </vt:variant>
      <vt:variant>
        <vt:i4>2031667</vt:i4>
      </vt:variant>
      <vt:variant>
        <vt:i4>26</vt:i4>
      </vt:variant>
      <vt:variant>
        <vt:i4>0</vt:i4>
      </vt:variant>
      <vt:variant>
        <vt:i4>5</vt:i4>
      </vt:variant>
      <vt:variant>
        <vt:lpwstr/>
      </vt:variant>
      <vt:variant>
        <vt:lpwstr>_Toc390179797</vt:lpwstr>
      </vt:variant>
      <vt:variant>
        <vt:i4>2031667</vt:i4>
      </vt:variant>
      <vt:variant>
        <vt:i4>20</vt:i4>
      </vt:variant>
      <vt:variant>
        <vt:i4>0</vt:i4>
      </vt:variant>
      <vt:variant>
        <vt:i4>5</vt:i4>
      </vt:variant>
      <vt:variant>
        <vt:lpwstr/>
      </vt:variant>
      <vt:variant>
        <vt:lpwstr>_Toc390179796</vt:lpwstr>
      </vt:variant>
      <vt:variant>
        <vt:i4>2031667</vt:i4>
      </vt:variant>
      <vt:variant>
        <vt:i4>14</vt:i4>
      </vt:variant>
      <vt:variant>
        <vt:i4>0</vt:i4>
      </vt:variant>
      <vt:variant>
        <vt:i4>5</vt:i4>
      </vt:variant>
      <vt:variant>
        <vt:lpwstr/>
      </vt:variant>
      <vt:variant>
        <vt:lpwstr>_Toc390179795</vt:lpwstr>
      </vt:variant>
      <vt:variant>
        <vt:i4>2031667</vt:i4>
      </vt:variant>
      <vt:variant>
        <vt:i4>8</vt:i4>
      </vt:variant>
      <vt:variant>
        <vt:i4>0</vt:i4>
      </vt:variant>
      <vt:variant>
        <vt:i4>5</vt:i4>
      </vt:variant>
      <vt:variant>
        <vt:lpwstr/>
      </vt:variant>
      <vt:variant>
        <vt:lpwstr>_Toc390179794</vt:lpwstr>
      </vt:variant>
      <vt:variant>
        <vt:i4>2031667</vt:i4>
      </vt:variant>
      <vt:variant>
        <vt:i4>2</vt:i4>
      </vt:variant>
      <vt:variant>
        <vt:i4>0</vt:i4>
      </vt:variant>
      <vt:variant>
        <vt:i4>5</vt:i4>
      </vt:variant>
      <vt:variant>
        <vt:lpwstr/>
      </vt:variant>
      <vt:variant>
        <vt:lpwstr>_Toc390179793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PRŮMYSLU A OBCHODU</dc:title>
  <dc:creator>MPO</dc:creator>
  <cp:lastModifiedBy>Tůma Petr</cp:lastModifiedBy>
  <cp:revision>527</cp:revision>
  <cp:lastPrinted>2015-04-09T10:47:00Z</cp:lastPrinted>
  <dcterms:created xsi:type="dcterms:W3CDTF">2015-01-09T13:46:00Z</dcterms:created>
  <dcterms:modified xsi:type="dcterms:W3CDTF">2018-02-20T13:16:00Z</dcterms:modified>
</cp:coreProperties>
</file>